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jc w:val="center"/>
        <w:rPr>
          <w:noProof/>
        </w:rPr>
      </w:pPr>
      <w:bookmarkStart w:id="0" w:name="_GoBack"/>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0;width:487.8pt;height:630.8pt;z-index:251676160;mso-position-horizontal:center;mso-position-horizontal-relative:margin;mso-position-vertical:center;mso-position-vertical-relative:margin">
            <v:imagedata r:id="rId8" o:title=""/>
            <w10:wrap type="square" anchorx="margin" anchory="margin"/>
          </v:shape>
        </w:pict>
      </w:r>
      <w:r>
        <w:rPr>
          <w:b/>
          <w:bCs/>
          <w:sz w:val="21"/>
          <w:szCs w:val="21"/>
        </w:rPr>
        <w:br w:type="page"/>
      </w:r>
    </w:p>
    <w:p>
      <w:pPr>
        <w:pStyle w:val="TOC1"/>
        <w:rPr>
          <w:rFonts w:ascii="Times New Roman" w:hAnsi="Times New Roman"/>
          <w:b w:val="0"/>
          <w:sz w:val="24"/>
          <w:szCs w:val="24"/>
          <w:lang w:eastAsia="en-US"/>
        </w:rPr>
      </w:pPr>
      <w:r>
        <w:t>PRESIDENT’S MESSAGE</w:t>
      </w:r>
      <w:r>
        <w:rPr>
          <w:webHidden/>
        </w:rPr>
        <w:tab/>
        <w:t>iv</w:t>
      </w:r>
    </w:p>
    <w:p>
      <w:pPr>
        <w:pStyle w:val="TOC2"/>
        <w:tabs>
          <w:tab w:val="right" w:leader="dot" w:pos="9350"/>
        </w:tabs>
        <w:rPr>
          <w:rFonts w:ascii="Times New Roman" w:hAnsi="Times New Roman"/>
          <w:i w:val="0"/>
          <w:noProof/>
          <w:sz w:val="24"/>
          <w:szCs w:val="24"/>
          <w:lang w:eastAsia="en-US"/>
        </w:rPr>
      </w:pPr>
      <w:r>
        <w:rPr>
          <w:noProof/>
        </w:rPr>
        <w:t>By: Theodore Freeman</w:t>
      </w:r>
    </w:p>
    <w:p>
      <w:pPr>
        <w:pStyle w:val="TOC1"/>
        <w:rPr>
          <w:rFonts w:ascii="Times New Roman" w:hAnsi="Times New Roman"/>
          <w:b w:val="0"/>
          <w:sz w:val="24"/>
          <w:szCs w:val="24"/>
          <w:lang w:eastAsia="en-US"/>
        </w:rPr>
      </w:pPr>
      <w:r>
        <w:t>EDITOR’S ACKNOWLEDGEMENT</w:t>
      </w:r>
      <w:r>
        <w:rPr>
          <w:webHidden/>
        </w:rPr>
        <w:tab/>
        <w:t>v</w:t>
      </w:r>
    </w:p>
    <w:p>
      <w:pPr>
        <w:pStyle w:val="TOC2"/>
        <w:tabs>
          <w:tab w:val="right" w:leader="dot" w:pos="9350"/>
        </w:tabs>
        <w:rPr>
          <w:rFonts w:ascii="Times New Roman" w:hAnsi="Times New Roman"/>
          <w:i w:val="0"/>
          <w:noProof/>
          <w:sz w:val="24"/>
          <w:szCs w:val="24"/>
          <w:lang w:eastAsia="en-US"/>
        </w:rPr>
      </w:pPr>
      <w:r>
        <w:rPr>
          <w:noProof/>
        </w:rPr>
        <w:t>By: Hall F. McKinley, III</w:t>
      </w:r>
    </w:p>
    <w:p>
      <w:pPr>
        <w:pStyle w:val="TOC1"/>
        <w:rPr>
          <w:rFonts w:ascii="Times New Roman" w:hAnsi="Times New Roman"/>
          <w:b w:val="0"/>
          <w:sz w:val="24"/>
          <w:szCs w:val="24"/>
          <w:lang w:eastAsia="en-US"/>
        </w:rPr>
      </w:pPr>
      <w:r>
        <w:t>The Evolution of Spoliation</w:t>
      </w:r>
      <w:r>
        <w:rPr>
          <w:webHidden/>
        </w:rPr>
        <w:tab/>
        <w:t>1</w:t>
      </w:r>
    </w:p>
    <w:p>
      <w:pPr>
        <w:pStyle w:val="TOC2"/>
        <w:tabs>
          <w:tab w:val="right" w:leader="dot" w:pos="9350"/>
        </w:tabs>
        <w:rPr>
          <w:rFonts w:ascii="Times New Roman" w:hAnsi="Times New Roman"/>
          <w:i w:val="0"/>
          <w:noProof/>
          <w:sz w:val="24"/>
          <w:szCs w:val="24"/>
          <w:lang w:eastAsia="en-US"/>
        </w:rPr>
      </w:pPr>
      <w:r>
        <w:rPr>
          <w:noProof/>
        </w:rPr>
        <w:t>By: Honorable D. Todd Markle</w:t>
      </w:r>
    </w:p>
    <w:p>
      <w:pPr>
        <w:pStyle w:val="TOC1"/>
        <w:rPr>
          <w:rFonts w:ascii="Times New Roman" w:hAnsi="Times New Roman"/>
          <w:b w:val="0"/>
          <w:sz w:val="24"/>
          <w:szCs w:val="24"/>
          <w:lang w:eastAsia="en-US"/>
        </w:rPr>
      </w:pPr>
      <w:r>
        <w:t>Unsettling News:  Recent Developments in Georgia Law and Issues Faced by Defendants in Making and Responding to Settlement Offers</w:t>
      </w:r>
      <w:r>
        <w:rPr>
          <w:webHidden/>
        </w:rPr>
        <w:tab/>
        <w:t>8</w:t>
      </w:r>
    </w:p>
    <w:p>
      <w:pPr>
        <w:pStyle w:val="TOC2"/>
        <w:tabs>
          <w:tab w:val="right" w:leader="dot" w:pos="9350"/>
        </w:tabs>
        <w:rPr>
          <w:rFonts w:ascii="Times New Roman" w:hAnsi="Times New Roman"/>
          <w:i w:val="0"/>
          <w:noProof/>
          <w:sz w:val="24"/>
          <w:szCs w:val="24"/>
          <w:lang w:eastAsia="en-US"/>
        </w:rPr>
      </w:pPr>
      <w:r>
        <w:rPr>
          <w:noProof/>
        </w:rPr>
        <w:t>By: Martin A. Levinson</w:t>
      </w:r>
    </w:p>
    <w:p>
      <w:pPr>
        <w:pStyle w:val="TOC1"/>
        <w:rPr>
          <w:rFonts w:ascii="Times New Roman" w:hAnsi="Times New Roman"/>
          <w:b w:val="0"/>
          <w:sz w:val="24"/>
          <w:szCs w:val="24"/>
          <w:lang w:eastAsia="en-US"/>
        </w:rPr>
      </w:pPr>
      <w:r>
        <w:t>The New Federal Motor Carrier Regulations Governing a Driver’s Hours-of-Service:  Proving Compliance and Managing Document Preservation Letters</w:t>
      </w:r>
      <w:r>
        <w:rPr>
          <w:webHidden/>
        </w:rPr>
        <w:tab/>
        <w:t>23</w:t>
      </w:r>
    </w:p>
    <w:p>
      <w:pPr>
        <w:pStyle w:val="TOC2"/>
        <w:tabs>
          <w:tab w:val="right" w:leader="dot" w:pos="9350"/>
        </w:tabs>
        <w:rPr>
          <w:rFonts w:ascii="Times New Roman" w:hAnsi="Times New Roman"/>
          <w:i w:val="0"/>
          <w:noProof/>
          <w:sz w:val="24"/>
          <w:szCs w:val="24"/>
          <w:lang w:eastAsia="en-US"/>
        </w:rPr>
      </w:pPr>
      <w:r>
        <w:rPr>
          <w:noProof/>
        </w:rPr>
        <w:t>By: John L. McKinley, Jr., and Bridgette E. Eckerson</w:t>
      </w:r>
    </w:p>
    <w:p>
      <w:pPr>
        <w:pStyle w:val="TOC1"/>
        <w:rPr>
          <w:rFonts w:ascii="Times New Roman" w:hAnsi="Times New Roman"/>
          <w:b w:val="0"/>
          <w:sz w:val="24"/>
          <w:szCs w:val="24"/>
          <w:lang w:eastAsia="en-US"/>
        </w:rPr>
      </w:pPr>
      <w:r>
        <w:t>Georgia’s Direct Action Statute — A Statutory Exception to the General Rule</w:t>
      </w:r>
      <w:r>
        <w:rPr>
          <w:webHidden/>
        </w:rPr>
        <w:tab/>
        <w:t>32</w:t>
      </w:r>
    </w:p>
    <w:p>
      <w:pPr>
        <w:pStyle w:val="TOC2"/>
        <w:tabs>
          <w:tab w:val="right" w:leader="dot" w:pos="9350"/>
        </w:tabs>
        <w:rPr>
          <w:rFonts w:ascii="Times New Roman" w:hAnsi="Times New Roman"/>
          <w:i w:val="0"/>
          <w:noProof/>
          <w:sz w:val="24"/>
          <w:szCs w:val="24"/>
          <w:lang w:eastAsia="en-US"/>
        </w:rPr>
      </w:pPr>
      <w:r>
        <w:rPr>
          <w:noProof/>
        </w:rPr>
        <w:t>By: Scott W. McMickle and Stephanie F. Brown</w:t>
      </w:r>
    </w:p>
    <w:p>
      <w:pPr>
        <w:pStyle w:val="TOC1"/>
        <w:rPr>
          <w:rFonts w:ascii="Times New Roman" w:hAnsi="Times New Roman"/>
          <w:b w:val="0"/>
          <w:sz w:val="24"/>
          <w:szCs w:val="24"/>
          <w:lang w:eastAsia="en-US"/>
        </w:rPr>
      </w:pPr>
      <w:r>
        <w:t>Attorney’s Fees, Offer-Acceptance, and a Dash of UM:  2014 Auto Liability Case Law Update</w:t>
      </w:r>
      <w:r>
        <w:rPr>
          <w:webHidden/>
        </w:rPr>
        <w:tab/>
        <w:t>45</w:t>
      </w:r>
    </w:p>
    <w:p>
      <w:pPr>
        <w:pStyle w:val="TOC2"/>
        <w:tabs>
          <w:tab w:val="right" w:leader="dot" w:pos="9350"/>
        </w:tabs>
        <w:rPr>
          <w:rFonts w:ascii="Times New Roman" w:hAnsi="Times New Roman"/>
          <w:i w:val="0"/>
          <w:noProof/>
          <w:sz w:val="24"/>
          <w:szCs w:val="24"/>
          <w:lang w:eastAsia="en-US"/>
        </w:rPr>
      </w:pPr>
      <w:r>
        <w:rPr>
          <w:noProof/>
        </w:rPr>
        <w:t>By: Ashley Rice</w:t>
      </w:r>
    </w:p>
    <w:p>
      <w:pPr>
        <w:pStyle w:val="TOC1"/>
        <w:rPr>
          <w:rFonts w:ascii="Times New Roman" w:hAnsi="Times New Roman"/>
          <w:b w:val="0"/>
          <w:sz w:val="24"/>
          <w:szCs w:val="24"/>
          <w:lang w:eastAsia="en-US"/>
        </w:rPr>
      </w:pPr>
      <w:r>
        <w:t>Suing the State:  A Guide to State-Law Governmental Immunities for Counties, School Districts, and Municipalities</w:t>
      </w:r>
      <w:r>
        <w:rPr>
          <w:webHidden/>
        </w:rPr>
        <w:tab/>
        <w:t>61</w:t>
      </w:r>
    </w:p>
    <w:p>
      <w:pPr>
        <w:pStyle w:val="TOC2"/>
        <w:tabs>
          <w:tab w:val="right" w:leader="dot" w:pos="9350"/>
        </w:tabs>
        <w:rPr>
          <w:rFonts w:ascii="Times New Roman" w:hAnsi="Times New Roman"/>
          <w:i w:val="0"/>
          <w:noProof/>
          <w:sz w:val="24"/>
          <w:szCs w:val="24"/>
          <w:lang w:eastAsia="en-US"/>
        </w:rPr>
      </w:pPr>
      <w:r>
        <w:rPr>
          <w:noProof/>
        </w:rPr>
        <w:t>By: Sun S. Choy and Peter L. Munk</w:t>
      </w:r>
    </w:p>
    <w:p>
      <w:pPr>
        <w:pStyle w:val="TOC1"/>
        <w:rPr>
          <w:rFonts w:ascii="Times New Roman" w:hAnsi="Times New Roman"/>
          <w:b w:val="0"/>
          <w:sz w:val="24"/>
          <w:szCs w:val="24"/>
          <w:lang w:eastAsia="en-US"/>
        </w:rPr>
      </w:pPr>
      <w:r>
        <w:t>Recent Case Law Developments in Georgia Workers’ Compensation Law</w:t>
      </w:r>
      <w:r>
        <w:rPr>
          <w:webHidden/>
        </w:rPr>
        <w:tab/>
        <w:t>73</w:t>
      </w:r>
    </w:p>
    <w:p>
      <w:pPr>
        <w:pStyle w:val="TOC2"/>
        <w:tabs>
          <w:tab w:val="right" w:leader="dot" w:pos="9350"/>
        </w:tabs>
        <w:rPr>
          <w:rFonts w:ascii="Times New Roman" w:hAnsi="Times New Roman"/>
          <w:i w:val="0"/>
          <w:noProof/>
          <w:sz w:val="24"/>
          <w:szCs w:val="24"/>
          <w:lang w:eastAsia="en-US"/>
        </w:rPr>
      </w:pPr>
      <w:r>
        <w:rPr>
          <w:noProof/>
        </w:rPr>
        <w:t>By: Ryan V. Klee and Stephen J. Graham</w:t>
      </w:r>
    </w:p>
    <w:p>
      <w:pPr>
        <w:pStyle w:val="TOC1"/>
        <w:rPr>
          <w:rFonts w:ascii="Times New Roman" w:hAnsi="Times New Roman"/>
          <w:b w:val="0"/>
          <w:sz w:val="24"/>
          <w:szCs w:val="24"/>
          <w:lang w:eastAsia="en-US"/>
        </w:rPr>
      </w:pPr>
      <w:r>
        <w:t>The Lead Stories:  Recent Developments in Labor and Employment Law</w:t>
      </w:r>
      <w:r>
        <w:rPr>
          <w:webHidden/>
        </w:rPr>
        <w:tab/>
        <w:t>85</w:t>
      </w:r>
    </w:p>
    <w:p>
      <w:pPr>
        <w:pStyle w:val="TOC2"/>
        <w:tabs>
          <w:tab w:val="right" w:leader="dot" w:pos="9350"/>
        </w:tabs>
        <w:rPr>
          <w:rFonts w:ascii="Times New Roman" w:hAnsi="Times New Roman"/>
          <w:i w:val="0"/>
          <w:noProof/>
          <w:sz w:val="24"/>
          <w:szCs w:val="24"/>
          <w:lang w:eastAsia="en-US"/>
        </w:rPr>
      </w:pPr>
      <w:r>
        <w:rPr>
          <w:noProof/>
        </w:rPr>
        <w:t>By: W. Melvin  Haas, III, W. Jonathan Martin, II, Jason C. Logan and Sarah M.  Phaff</w:t>
      </w:r>
    </w:p>
    <w:p>
      <w:pPr>
        <w:pStyle w:val="TOC1"/>
        <w:rPr>
          <w:rFonts w:ascii="Times New Roman" w:hAnsi="Times New Roman"/>
          <w:b w:val="0"/>
          <w:sz w:val="24"/>
          <w:szCs w:val="24"/>
          <w:lang w:eastAsia="en-US"/>
        </w:rPr>
      </w:pPr>
      <w:r>
        <w:t>Daubert and Medical Causation:  Wading Through the Metaphysical Swamp</w:t>
      </w:r>
      <w:r>
        <w:rPr>
          <w:webHidden/>
        </w:rPr>
        <w:tab/>
        <w:t>116</w:t>
      </w:r>
    </w:p>
    <w:p>
      <w:pPr>
        <w:pStyle w:val="TOC2"/>
        <w:tabs>
          <w:tab w:val="right" w:leader="dot" w:pos="9350"/>
        </w:tabs>
        <w:rPr>
          <w:rFonts w:ascii="Times New Roman" w:hAnsi="Times New Roman"/>
          <w:i w:val="0"/>
          <w:noProof/>
          <w:sz w:val="24"/>
          <w:szCs w:val="24"/>
          <w:lang w:eastAsia="en-US"/>
        </w:rPr>
      </w:pPr>
      <w:r>
        <w:rPr>
          <w:bCs/>
          <w:noProof/>
        </w:rPr>
        <w:t>By: Nathan A. Gaffney</w:t>
      </w:r>
    </w:p>
    <w:p>
      <w:pPr>
        <w:pStyle w:val="TOC1"/>
        <w:rPr>
          <w:rFonts w:ascii="Times New Roman" w:hAnsi="Times New Roman"/>
          <w:b w:val="0"/>
          <w:sz w:val="24"/>
          <w:szCs w:val="24"/>
          <w:lang w:eastAsia="en-US"/>
        </w:rPr>
      </w:pPr>
      <w:r>
        <w:t>When Do Post-Sale Duties to Warn and Recall Arise in Georgia?</w:t>
      </w:r>
      <w:r>
        <w:rPr>
          <w:webHidden/>
        </w:rPr>
        <w:tab/>
        <w:t>129</w:t>
      </w:r>
    </w:p>
    <w:p>
      <w:pPr>
        <w:pStyle w:val="TOC2"/>
        <w:tabs>
          <w:tab w:val="right" w:leader="dot" w:pos="9350"/>
        </w:tabs>
        <w:rPr>
          <w:rFonts w:ascii="Times New Roman" w:hAnsi="Times New Roman"/>
          <w:i w:val="0"/>
          <w:noProof/>
          <w:sz w:val="24"/>
          <w:szCs w:val="24"/>
          <w:lang w:eastAsia="en-US"/>
        </w:rPr>
      </w:pPr>
      <w:r>
        <w:rPr>
          <w:noProof/>
        </w:rPr>
        <w:t>By: James Dartlin Meadows, James L. Hollis and Lorna McGilvray Norton</w:t>
      </w:r>
    </w:p>
    <w:p>
      <w:pPr>
        <w:pStyle w:val="TOC1"/>
        <w:rPr>
          <w:rFonts w:ascii="Times New Roman" w:hAnsi="Times New Roman"/>
          <w:b w:val="0"/>
          <w:sz w:val="24"/>
          <w:szCs w:val="24"/>
          <w:lang w:eastAsia="en-US"/>
        </w:rPr>
      </w:pPr>
      <w:r>
        <w:t>Keep Your Head On A Swivel:  Recent Developments In Professional Malpractice Claims</w:t>
      </w:r>
      <w:r>
        <w:rPr>
          <w:webHidden/>
        </w:rPr>
        <w:tab/>
        <w:t>148</w:t>
      </w:r>
    </w:p>
    <w:p>
      <w:pPr>
        <w:pStyle w:val="TOC2"/>
        <w:tabs>
          <w:tab w:val="right" w:leader="dot" w:pos="9350"/>
        </w:tabs>
      </w:pPr>
      <w:r>
        <w:rPr>
          <w:noProof/>
        </w:rPr>
        <w:t>By: Jamie Weston</w:t>
      </w:r>
    </w:p>
    <w:p>
      <w:pPr>
        <w:rPr>
          <w:lang w:eastAsia="ja-JP"/>
        </w:rPr>
      </w:pPr>
    </w:p>
    <w:p>
      <w:pPr>
        <w:rPr>
          <w:lang w:eastAsia="ja-JP"/>
        </w:rPr>
      </w:pPr>
    </w:p>
    <w:p>
      <w:pPr>
        <w:pStyle w:val="TOC1"/>
        <w:rPr>
          <w:rFonts w:ascii="Times New Roman" w:hAnsi="Times New Roman"/>
          <w:b w:val="0"/>
          <w:sz w:val="24"/>
          <w:szCs w:val="24"/>
          <w:lang w:eastAsia="en-US"/>
        </w:rPr>
      </w:pPr>
      <w:r>
        <w:lastRenderedPageBreak/>
        <w:t>Getting Holt Demands Back on Track: Significant Court Decisions and the Impact of 2013 Legislation</w:t>
      </w:r>
      <w:r>
        <w:rPr>
          <w:webHidden/>
        </w:rPr>
        <w:tab/>
        <w:t>159</w:t>
      </w:r>
    </w:p>
    <w:p>
      <w:pPr>
        <w:pStyle w:val="TOC2"/>
        <w:tabs>
          <w:tab w:val="right" w:leader="dot" w:pos="9350"/>
        </w:tabs>
        <w:rPr>
          <w:rFonts w:ascii="Times New Roman" w:hAnsi="Times New Roman"/>
          <w:i w:val="0"/>
          <w:noProof/>
          <w:sz w:val="24"/>
          <w:szCs w:val="24"/>
          <w:lang w:eastAsia="en-US"/>
        </w:rPr>
      </w:pPr>
      <w:r>
        <w:rPr>
          <w:noProof/>
        </w:rPr>
        <w:t>By: Thomas Peter Allen III</w:t>
      </w:r>
    </w:p>
    <w:p>
      <w:pPr>
        <w:pStyle w:val="TOC1"/>
        <w:rPr>
          <w:rFonts w:ascii="Times New Roman" w:hAnsi="Times New Roman"/>
          <w:b w:val="0"/>
          <w:sz w:val="24"/>
          <w:szCs w:val="24"/>
          <w:lang w:eastAsia="en-US"/>
        </w:rPr>
      </w:pPr>
      <w:r>
        <w:t>Construction Law Update</w:t>
      </w:r>
      <w:r>
        <w:rPr>
          <w:webHidden/>
        </w:rPr>
        <w:tab/>
        <w:t>174</w:t>
      </w:r>
    </w:p>
    <w:p>
      <w:pPr>
        <w:pStyle w:val="TOC2"/>
        <w:tabs>
          <w:tab w:val="right" w:leader="dot" w:pos="9350"/>
        </w:tabs>
        <w:rPr>
          <w:rFonts w:ascii="Times New Roman" w:hAnsi="Times New Roman"/>
          <w:i w:val="0"/>
          <w:noProof/>
          <w:sz w:val="24"/>
          <w:szCs w:val="24"/>
          <w:lang w:eastAsia="en-US"/>
        </w:rPr>
      </w:pPr>
      <w:r>
        <w:rPr>
          <w:noProof/>
        </w:rPr>
        <w:t>By: Angela H. Smith</w:t>
      </w:r>
    </w:p>
    <w:p>
      <w:pPr>
        <w:pStyle w:val="TOC1"/>
        <w:rPr>
          <w:rFonts w:ascii="Times New Roman" w:hAnsi="Times New Roman"/>
          <w:b w:val="0"/>
          <w:sz w:val="24"/>
          <w:szCs w:val="24"/>
          <w:lang w:eastAsia="en-US"/>
        </w:rPr>
      </w:pPr>
      <w:r>
        <w:t>Apportionment Verdicts:  Is This Real Life?</w:t>
      </w:r>
      <w:r>
        <w:rPr>
          <w:webHidden/>
        </w:rPr>
        <w:tab/>
        <w:t>181</w:t>
      </w:r>
    </w:p>
    <w:p>
      <w:pPr>
        <w:pStyle w:val="TOC2"/>
        <w:tabs>
          <w:tab w:val="right" w:leader="dot" w:pos="9350"/>
        </w:tabs>
        <w:rPr>
          <w:rFonts w:ascii="Times New Roman" w:hAnsi="Times New Roman"/>
          <w:i w:val="0"/>
          <w:noProof/>
          <w:sz w:val="24"/>
          <w:szCs w:val="24"/>
          <w:lang w:eastAsia="en-US"/>
        </w:rPr>
      </w:pPr>
      <w:r>
        <w:rPr>
          <w:noProof/>
        </w:rPr>
        <w:t>By: C. Shane Keith and Pamela N. Lee</w:t>
      </w:r>
    </w:p>
    <w:p>
      <w:pPr>
        <w:pStyle w:val="TOC1"/>
        <w:rPr>
          <w:rFonts w:ascii="Times New Roman" w:hAnsi="Times New Roman"/>
          <w:b w:val="0"/>
          <w:sz w:val="24"/>
          <w:szCs w:val="24"/>
          <w:lang w:eastAsia="en-US"/>
        </w:rPr>
      </w:pPr>
      <w:r>
        <w:t>Apportionment and the Tort Reform Act of 2005:  Where Do We Stand after Nearly Ten Years of Litigation?</w:t>
      </w:r>
      <w:r>
        <w:rPr>
          <w:webHidden/>
        </w:rPr>
        <w:tab/>
        <w:t>194</w:t>
      </w:r>
    </w:p>
    <w:p>
      <w:pPr>
        <w:pStyle w:val="TOC2"/>
        <w:tabs>
          <w:tab w:val="right" w:leader="dot" w:pos="9350"/>
        </w:tabs>
        <w:rPr>
          <w:rFonts w:ascii="Times New Roman" w:hAnsi="Times New Roman"/>
          <w:i w:val="0"/>
          <w:noProof/>
          <w:sz w:val="24"/>
          <w:szCs w:val="24"/>
          <w:lang w:eastAsia="en-US"/>
        </w:rPr>
      </w:pPr>
      <w:r>
        <w:rPr>
          <w:rFonts w:ascii="Century" w:hAnsi="Century"/>
          <w:noProof/>
        </w:rPr>
        <w:t>By: Brian T. Moore and Myles Levelle</w:t>
      </w:r>
    </w:p>
    <w:p>
      <w:pPr>
        <w:jc w:val="center"/>
        <w:rPr>
          <w:rFonts w:ascii="Times New Roman" w:hAnsi="Times New Roman"/>
          <w:b/>
          <w:sz w:val="24"/>
          <w:szCs w:val="24"/>
        </w:rPr>
      </w:pPr>
    </w:p>
    <w:p>
      <w:pPr>
        <w:spacing w:after="0"/>
        <w:jc w:val="center"/>
        <w:rPr>
          <w:i/>
          <w:sz w:val="16"/>
          <w:szCs w:val="20"/>
        </w:rPr>
      </w:pPr>
    </w:p>
    <w:p>
      <w:pPr>
        <w:jc w:val="center"/>
        <w:rPr>
          <w:b/>
          <w:bCs/>
          <w:sz w:val="23"/>
          <w:szCs w:val="23"/>
        </w:rPr>
        <w:sectPr>
          <w:headerReference w:type="even" r:id="rId9"/>
          <w:headerReference w:type="default" r:id="rId10"/>
          <w:footerReference w:type="even" r:id="rId11"/>
          <w:footerReference w:type="default" r:id="rId12"/>
          <w:headerReference w:type="first" r:id="rId13"/>
          <w:footerReference w:type="first" r:id="rId14"/>
          <w:footnotePr>
            <w:numRestart w:val="eachSect"/>
          </w:footnotePr>
          <w:endnotePr>
            <w:numFmt w:val="decimal"/>
            <w:numRestart w:val="eachSect"/>
          </w:endnotePr>
          <w:pgSz w:w="12240" w:h="15840"/>
          <w:pgMar w:top="1440" w:right="1440" w:bottom="1440" w:left="1440" w:header="720" w:footer="720" w:gutter="0"/>
          <w:pgNumType w:start="1"/>
          <w:cols w:space="720"/>
          <w:docGrid w:linePitch="360"/>
        </w:sectPr>
      </w:pPr>
    </w:p>
    <w:p>
      <w:pPr>
        <w:pStyle w:val="Heading1"/>
      </w:pPr>
      <w:bookmarkStart w:id="3" w:name="_Toc387223597"/>
      <w:bookmarkStart w:id="4" w:name="_Toc384899954"/>
      <w:r>
        <w:lastRenderedPageBreak/>
        <w:t>PRESIDENT’S MESSAGE</w:t>
      </w:r>
      <w:bookmarkEnd w:id="3"/>
    </w:p>
    <w:p>
      <w:pPr>
        <w:pBdr>
          <w:top w:val="single" w:sz="4" w:space="1" w:color="auto"/>
          <w:left w:val="single" w:sz="4" w:space="4" w:color="auto"/>
          <w:bottom w:val="single" w:sz="4" w:space="1" w:color="auto"/>
          <w:right w:val="single" w:sz="4" w:space="4" w:color="auto"/>
        </w:pBdr>
        <w:shd w:val="clear" w:color="auto" w:fill="D9D9D9"/>
        <w:jc w:val="both"/>
        <w:rPr>
          <w:rFonts w:ascii="Times New Roman" w:hAnsi="Times New Roman"/>
          <w:sz w:val="24"/>
          <w:szCs w:val="24"/>
        </w:rPr>
      </w:pPr>
      <w:r>
        <w:rPr>
          <w:noProof/>
        </w:rPr>
        <w:pict>
          <v:shape id="Picture 6" o:spid="_x0000_s1027" type="#_x0000_t75" alt="http://www.fmglaw.com/photos/freeman_port.jpg" style="position:absolute;left:0;text-align:left;margin-left:-1.2pt;margin-top:3.95pt;width:90.2pt;height:131.45pt;z-index:251658752;visibility:visible;mso-position-horizontal-relative:text;mso-position-vertical-relative:text">
            <v:imagedata r:id="rId15" o:title=""/>
            <w10:wrap type="square"/>
          </v:shape>
        </w:pict>
      </w:r>
      <w:r>
        <w:rPr>
          <w:b/>
        </w:rPr>
        <w:t>Theodore Freeman</w:t>
      </w:r>
      <w:r>
        <w:t xml:space="preserve"> is the partner in charge of the Governmental Law and Commercial and Complex Litigation practice groups and has over 35 years’ experience in governmental and corporate liability, civil rights and general litigation.  Mr. Freeman speaks and writes on a national basis on issues affecting local governments, and he has successfully argued several of the most significant civil rights and tort decisions in the appellate courts. In April, 2012, Mr. Freeman won a unanimous decision in the United States Supreme Court in a case in which he co-authored the merits brief and assisted with the presentation of oral argument.</w:t>
      </w:r>
    </w:p>
    <w:p>
      <w:pPr>
        <w:pStyle w:val="BodyTextFirstIndent"/>
      </w:pPr>
      <w:r>
        <w:t xml:space="preserve">As I wrote several years ago when I served as Editor of the </w:t>
      </w:r>
      <w:r>
        <w:rPr>
          <w:i/>
        </w:rPr>
        <w:t>Law Journal</w:t>
      </w:r>
      <w:r>
        <w:t>, this publication does not just happen.  It exists only because of the dedication and hard work of many.</w:t>
      </w:r>
    </w:p>
    <w:p>
      <w:pPr>
        <w:pStyle w:val="BodyTextFirstIndent"/>
      </w:pPr>
      <w:r>
        <w:t xml:space="preserve">It starts, of course, with the Editor.  The Editor must first identify for publication the most timely articles on topics which will have the broadest appeal to the members and judges to whom they are sent.  The Editor must then recruit the authors, make sure the articles are submitted by the deadlines, appropriately edit them, and otherwise ensure that the entire publication is worthy to bear the name Georgia Defense Lawyers Association </w:t>
      </w:r>
      <w:r>
        <w:rPr>
          <w:i/>
        </w:rPr>
        <w:t>Law Journal</w:t>
      </w:r>
      <w:r>
        <w:t xml:space="preserve">.  It is a huge undertaking.  This year, Hall McKinley has done an outstanding job as our Editor, and I want to personally thank him on behalf of the entire Association for his considerable efforts.  It certainly shows in the quality of this year’s </w:t>
      </w:r>
      <w:r>
        <w:rPr>
          <w:i/>
        </w:rPr>
        <w:t>Journal</w:t>
      </w:r>
      <w:r>
        <w:t>.</w:t>
      </w:r>
    </w:p>
    <w:p>
      <w:pPr>
        <w:pStyle w:val="BodyTextFirstIndent"/>
      </w:pPr>
      <w:r>
        <w:t xml:space="preserve">But without the authors, there would be nothing for Hall to edit.  This year, 15 talented attorneys have taken time away from their busy practices to prepare 14 insightful and practical articles to benefit us all.  We all owe them a debt of gratitude for their hard work in making the </w:t>
      </w:r>
      <w:r>
        <w:rPr>
          <w:i/>
        </w:rPr>
        <w:t>Journal</w:t>
      </w:r>
      <w:r>
        <w:t xml:space="preserve"> the absolutely first-rate publication that it is.</w:t>
      </w:r>
    </w:p>
    <w:p>
      <w:pPr>
        <w:pStyle w:val="BodyTextFirstIndent"/>
      </w:pPr>
      <w:r>
        <w:t xml:space="preserve">Finally, I would be remiss if I did not take a moment to recognize the super-human efforts of our Executive Director, Jennifer Davis, not only in getting the </w:t>
      </w:r>
      <w:r>
        <w:rPr>
          <w:i/>
        </w:rPr>
        <w:t>Journal</w:t>
      </w:r>
      <w:r>
        <w:t xml:space="preserve"> out the door, but in everything she does to make the GDLA better.  One cannot truly appreciate how good Jennifer is until you have served as an officer of the Association and had her watch your back.  Jennifer is simply the best at what she does, period, and we are so incredibly fortunate to have her as a member of the team.</w:t>
      </w:r>
    </w:p>
    <w:p>
      <w:pPr>
        <w:pStyle w:val="BodyTextFirstIndent"/>
      </w:pPr>
      <w:r>
        <w:t>As my term in office draws to a close, I want to thank you for the privilege of serving as your president for the past year.  It has been a labor of love.</w:t>
      </w:r>
    </w:p>
    <w:p>
      <w:pPr>
        <w:pStyle w:val="BodyTextFirstIndent"/>
      </w:pPr>
      <w:r>
        <w:t xml:space="preserve">I hope you enjoy this year’s </w:t>
      </w:r>
      <w:r>
        <w:rPr>
          <w:i/>
        </w:rPr>
        <w:t>Journal</w:t>
      </w:r>
      <w:r>
        <w:t>.</w:t>
      </w:r>
    </w:p>
    <w:p>
      <w:pPr>
        <w:pStyle w:val="Signature"/>
      </w:pPr>
      <w:r>
        <w:t>For the defense,</w:t>
      </w:r>
    </w:p>
    <w:p>
      <w:pPr>
        <w:pStyle w:val="Signature"/>
      </w:pPr>
      <w:r>
        <w:rPr>
          <w:noProof/>
        </w:rPr>
        <w:pict>
          <v:shape id="Picture 1" o:spid="_x0000_i1025" type="#_x0000_t75" alt="Ted_Freeman_Signature" style="width:194.25pt;height:30.75pt;visibility:visible">
            <v:imagedata r:id="rId16" o:title=""/>
          </v:shape>
        </w:pict>
      </w:r>
    </w:p>
    <w:p>
      <w:pPr>
        <w:pStyle w:val="Signature"/>
      </w:pPr>
    </w:p>
    <w:p>
      <w:pPr>
        <w:pStyle w:val="Signature"/>
      </w:pPr>
      <w:r>
        <w:t>Theodore Freeman</w:t>
      </w:r>
    </w:p>
    <w:p>
      <w:pPr>
        <w:pStyle w:val="Signature"/>
      </w:pPr>
      <w:r>
        <w:t>GDLA President</w:t>
      </w:r>
    </w:p>
    <w:p>
      <w:pPr>
        <w:pStyle w:val="Signature"/>
        <w:rPr>
          <w:rFonts w:ascii="Times New Roman" w:hAnsi="Times New Roman"/>
          <w:sz w:val="24"/>
        </w:rPr>
      </w:pPr>
      <w:r>
        <w:t>Freeman Mathis &amp; Gary, LLP</w:t>
      </w:r>
    </w:p>
    <w:p>
      <w:pPr>
        <w:jc w:val="center"/>
        <w:rPr>
          <w:b/>
          <w:sz w:val="27"/>
          <w:szCs w:val="27"/>
        </w:rPr>
        <w:sectPr>
          <w:footerReference w:type="default" r:id="rId17"/>
          <w:footnotePr>
            <w:numRestart w:val="eachSect"/>
          </w:footnotePr>
          <w:endnotePr>
            <w:numFmt w:val="decimal"/>
            <w:numRestart w:val="eachSect"/>
          </w:endnotePr>
          <w:pgSz w:w="12240" w:h="15840"/>
          <w:pgMar w:top="720" w:right="1440" w:bottom="576" w:left="1440" w:header="720" w:footer="720" w:gutter="0"/>
          <w:pgNumType w:fmt="lowerRoman" w:start="4"/>
          <w:cols w:space="720"/>
          <w:docGrid w:linePitch="360"/>
        </w:sectPr>
      </w:pPr>
    </w:p>
    <w:p>
      <w:pPr>
        <w:pStyle w:val="Heading1"/>
      </w:pPr>
      <w:bookmarkStart w:id="5" w:name="_Toc387223599"/>
      <w:r>
        <w:lastRenderedPageBreak/>
        <w:t>EDITOR’S ACKNOWLEDGEMENT</w:t>
      </w:r>
      <w:bookmarkEnd w:id="4"/>
      <w:bookmarkEnd w:id="5"/>
    </w:p>
    <w:p>
      <w:pPr>
        <w:pStyle w:val="GDLA"/>
        <w:pBdr>
          <w:top w:val="single" w:sz="4" w:space="1" w:color="auto"/>
          <w:left w:val="single" w:sz="4" w:space="4" w:color="auto"/>
          <w:bottom w:val="single" w:sz="4" w:space="1" w:color="auto"/>
          <w:right w:val="single" w:sz="4" w:space="4" w:color="auto"/>
        </w:pBdr>
        <w:shd w:val="clear" w:color="auto" w:fill="C2D69B"/>
        <w:jc w:val="both"/>
        <w:rPr>
          <w:b w:val="0"/>
          <w:noProof/>
          <w:sz w:val="20"/>
        </w:rPr>
      </w:pPr>
      <w:r>
        <w:rPr>
          <w:noProof/>
        </w:rPr>
        <w:pict>
          <v:shape id="Picture 39" o:spid="_x0000_s1028" type="#_x0000_t75" alt="Hall" style="position:absolute;left:0;text-align:left;margin-left:5.05pt;margin-top:.05pt;width:107.15pt;height:140.6pt;z-index:-251665920;visibility:visible;mso-position-horizontal-relative:text;mso-position-vertical-relative:text" wrapcoords="-302 -231 -302 21716 21902 21716 21902 -231 -302 -231" stroked="t" strokeweight="1.5pt">
            <v:imagedata r:id="rId18" o:title=""/>
            <w10:wrap type="tight"/>
          </v:shape>
        </w:pict>
      </w:r>
      <w:r>
        <w:rPr>
          <w:noProof/>
          <w:sz w:val="22"/>
        </w:rPr>
        <w:t>Hall F. McKinley, III</w:t>
      </w:r>
      <w:r>
        <w:rPr>
          <w:b w:val="0"/>
          <w:noProof/>
          <w:sz w:val="22"/>
        </w:rPr>
        <w:t>,</w:t>
      </w:r>
      <w:r>
        <w:rPr>
          <w:noProof/>
          <w:sz w:val="22"/>
        </w:rPr>
        <w:t xml:space="preserve"> </w:t>
      </w:r>
      <w:r>
        <w:rPr>
          <w:b w:val="0"/>
          <w:noProof/>
          <w:sz w:val="22"/>
        </w:rPr>
        <w:t>is a partner in the Atlanta office of Drew, Eckl &amp; Farnham where he has practiced for over thirty years.  Hall handles a wide-range of defense litigation, including transportation/trucking, premises and product liability, and professional negligence throughout the State of Georgia.  He is a Vice-President of the Georgia Defense Lawyers Association, and also serves as a Council member of the Tort, Trial and Insurance Practice Section of the American Bar Association.  He is a member of DRI and IADC, and graduated from Princeton University in 1978 and the University of Georgia Law School in 1981</w:t>
      </w:r>
      <w:r>
        <w:rPr>
          <w:b w:val="0"/>
          <w:noProof/>
          <w:sz w:val="20"/>
        </w:rPr>
        <w:t>.</w:t>
      </w:r>
    </w:p>
    <w:p>
      <w:pPr>
        <w:pStyle w:val="GDLA"/>
        <w:pBdr>
          <w:top w:val="single" w:sz="4" w:space="1" w:color="auto"/>
          <w:left w:val="single" w:sz="4" w:space="4" w:color="auto"/>
          <w:bottom w:val="single" w:sz="4" w:space="1" w:color="auto"/>
          <w:right w:val="single" w:sz="4" w:space="4" w:color="auto"/>
        </w:pBdr>
        <w:shd w:val="clear" w:color="auto" w:fill="C2D69B"/>
        <w:jc w:val="both"/>
        <w:rPr>
          <w:b w:val="0"/>
          <w:noProof/>
          <w:sz w:val="20"/>
        </w:rPr>
      </w:pPr>
    </w:p>
    <w:p>
      <w:pPr>
        <w:pStyle w:val="GDLA"/>
        <w:pBdr>
          <w:top w:val="single" w:sz="4" w:space="1" w:color="auto"/>
          <w:left w:val="single" w:sz="4" w:space="4" w:color="auto"/>
          <w:bottom w:val="single" w:sz="4" w:space="1" w:color="auto"/>
          <w:right w:val="single" w:sz="4" w:space="4" w:color="auto"/>
        </w:pBdr>
        <w:shd w:val="clear" w:color="auto" w:fill="C2D69B"/>
        <w:jc w:val="both"/>
        <w:rPr>
          <w:b w:val="0"/>
          <w:noProof/>
          <w:sz w:val="20"/>
        </w:rPr>
      </w:pPr>
    </w:p>
    <w:p>
      <w:pPr>
        <w:pStyle w:val="GDLA"/>
        <w:jc w:val="both"/>
        <w:rPr>
          <w:b w:val="0"/>
          <w:sz w:val="21"/>
          <w:szCs w:val="21"/>
        </w:rPr>
      </w:pPr>
    </w:p>
    <w:p>
      <w:pPr>
        <w:pStyle w:val="BodyTextFirstIndent"/>
      </w:pPr>
      <w:r>
        <w:t xml:space="preserve">On behalf of the Georgia Defense Lawyers Association, I am proud to present to you the 2014 edition of the GDLA </w:t>
      </w:r>
      <w:r>
        <w:rPr>
          <w:i/>
        </w:rPr>
        <w:t>Law Journal</w:t>
      </w:r>
      <w:r>
        <w:t xml:space="preserve">.  The </w:t>
      </w:r>
      <w:r>
        <w:rPr>
          <w:i/>
        </w:rPr>
        <w:t>Law Journal</w:t>
      </w:r>
      <w:r>
        <w:t xml:space="preserve"> includes fourteen articles on cutting edge legal issues prepared by well-respected members of our organization.  In fact, many are chairs and vice-chairs of our substantive law committees.  This year’s </w:t>
      </w:r>
      <w:r>
        <w:rPr>
          <w:i/>
        </w:rPr>
        <w:t>Journal</w:t>
      </w:r>
      <w:r>
        <w:t xml:space="preserve"> also includes an article by a former member, and current Superior Court Judge, The Honorable D. Todd Markle, and we thank him for his contribution.  This </w:t>
      </w:r>
      <w:r>
        <w:rPr>
          <w:i/>
        </w:rPr>
        <w:t>Law Journal</w:t>
      </w:r>
      <w:r>
        <w:t xml:space="preserve"> should be a great resource in the coming year.  I want to thank all of the authors, whose bios are included with each article, for their great work and contributions to the Georgia Defense Lawyers Association and the 2014 </w:t>
      </w:r>
      <w:r>
        <w:rPr>
          <w:i/>
        </w:rPr>
        <w:t>Law Journal</w:t>
      </w:r>
      <w:r>
        <w:t>.</w:t>
      </w:r>
    </w:p>
    <w:p>
      <w:pPr>
        <w:pStyle w:val="BodyTextFirstIndent"/>
      </w:pPr>
      <w:r>
        <w:rPr>
          <w:noProof/>
        </w:rPr>
        <w:pict>
          <v:shape id="Picture 45" o:spid="_x0000_s1029" type="#_x0000_t75" alt="RyanKlee" style="position:absolute;left:0;text-align:left;margin-left:369pt;margin-top:102pt;width:83.9pt;height:110.2pt;z-index:251654656;visibility:visible" stroked="t" strokeweight="1.5pt">
            <v:imagedata r:id="rId19" o:title=""/>
            <w10:wrap type="square"/>
          </v:shape>
        </w:pict>
      </w:r>
      <w:r>
        <w:rPr>
          <w:noProof/>
        </w:rPr>
        <w:pict>
          <v:shape id="Picture 44" o:spid="_x0000_s1030" type="#_x0000_t75" alt="ElizabethRose" style="position:absolute;left:0;text-align:left;margin-left:243pt;margin-top:102pt;width:83.9pt;height:110.2pt;z-index:251653632;visibility:visible" stroked="t" strokeweight="1.5pt">
            <v:imagedata r:id="rId20" o:title=""/>
            <w10:wrap type="square"/>
          </v:shape>
        </w:pict>
      </w:r>
      <w:r>
        <w:rPr>
          <w:noProof/>
        </w:rPr>
        <w:pict>
          <v:shape id="Picture 43" o:spid="_x0000_s1031" type="#_x0000_t75" alt="EricMull" style="position:absolute;left:0;text-align:left;margin-left:135pt;margin-top:102pt;width:83.9pt;height:110.2pt;z-index:251652608;visibility:visible" stroked="t" strokeweight="1.5pt">
            <v:imagedata r:id="rId21" o:title=""/>
            <w10:wrap type="square"/>
          </v:shape>
        </w:pict>
      </w:r>
      <w:r>
        <w:rPr>
          <w:noProof/>
        </w:rPr>
        <w:pict>
          <v:shape id="Picture 40" o:spid="_x0000_s1032" type="#_x0000_t75" alt="SaraSMith" style="position:absolute;left:0;text-align:left;margin-left:18pt;margin-top:102pt;width:84.5pt;height:110.8pt;z-index:-251664896;visibility:visible" stroked="t" strokeweight="1.5pt">
            <v:imagedata r:id="rId22" o:title=""/>
            <w10:wrap type="square"/>
          </v:shape>
        </w:pict>
      </w:r>
      <w:r>
        <w:t xml:space="preserve">I also want to recognize the great work of my associate editors, Sarah Smith, Eric Mull, Elizabeth Rose, and Ryan Klee.  All are senior associates or young partners at Drew, Eckl &amp; Farnham and their editorial work on this </w:t>
      </w:r>
      <w:r>
        <w:rPr>
          <w:i/>
        </w:rPr>
        <w:t>Journal</w:t>
      </w:r>
      <w:r>
        <w:t xml:space="preserve"> was a lifesaver.  I want to thank them for their time and effort and recognize them by including their photos in this acknowledgment.  I also wanted to recognize our great IT staff, Pamela Hamilton and Belinda Carpenter, for their work.</w:t>
      </w:r>
    </w:p>
    <w:p>
      <w:pPr>
        <w:pStyle w:val="BodyTextFirstIndent"/>
      </w:pPr>
    </w:p>
    <w:p>
      <w:pPr>
        <w:pStyle w:val="BodyTextFirstIndent"/>
      </w:pPr>
    </w:p>
    <w:p>
      <w:pPr>
        <w:pStyle w:val="BodyTextFirstIndent"/>
      </w:pPr>
    </w:p>
    <w:p>
      <w:pPr>
        <w:pStyle w:val="BodyTextFirstIndent"/>
      </w:pPr>
    </w:p>
    <w:p>
      <w:pPr>
        <w:pStyle w:val="BodyTextFirstIndent"/>
      </w:pPr>
    </w:p>
    <w:p>
      <w:pPr>
        <w:pStyle w:val="BodyTextFirstIndent"/>
      </w:pPr>
    </w:p>
    <w:p>
      <w:pPr>
        <w:pStyle w:val="BodyTextFirstIndent"/>
      </w:pPr>
    </w:p>
    <w:p>
      <w:pPr>
        <w:pStyle w:val="BodyTextFirstIndent"/>
      </w:pPr>
      <w:r>
        <w:t xml:space="preserve">I thank our tireless Executive Director, Jennifer Davis, for her work in completing the publication and distribution of this </w:t>
      </w:r>
      <w:r>
        <w:rPr>
          <w:i/>
        </w:rPr>
        <w:t>Journal</w:t>
      </w:r>
      <w:r>
        <w:t>.</w:t>
      </w:r>
    </w:p>
    <w:p>
      <w:pPr>
        <w:pStyle w:val="BodyTextFirstIndent"/>
        <w:keepNext/>
        <w:keepLines/>
        <w:sectPr>
          <w:footerReference w:type="default" r:id="rId23"/>
          <w:footnotePr>
            <w:numRestart w:val="eachSect"/>
          </w:footnotePr>
          <w:endnotePr>
            <w:numFmt w:val="decimal"/>
            <w:numRestart w:val="eachSect"/>
          </w:endnotePr>
          <w:pgSz w:w="12240" w:h="15840"/>
          <w:pgMar w:top="1440" w:right="1440" w:bottom="1440" w:left="1440" w:header="720" w:footer="720" w:gutter="0"/>
          <w:pgNumType w:fmt="lowerRoman" w:start="5"/>
          <w:cols w:space="720"/>
          <w:docGrid w:linePitch="360"/>
        </w:sectPr>
      </w:pPr>
    </w:p>
    <w:p>
      <w:pPr>
        <w:pStyle w:val="BodyTextFirstIndent"/>
        <w:keepNext/>
        <w:keepLines/>
      </w:pPr>
      <w:r>
        <w:lastRenderedPageBreak/>
        <w:t xml:space="preserve">I hope you will enjoy the use of this </w:t>
      </w:r>
      <w:r>
        <w:rPr>
          <w:i/>
        </w:rPr>
        <w:t>Journal</w:t>
      </w:r>
      <w:r>
        <w:t xml:space="preserve"> and find it informative, helpful and interesting.</w:t>
      </w:r>
    </w:p>
    <w:p>
      <w:pPr>
        <w:pStyle w:val="BodyTextFirstIndent"/>
        <w:keepNext/>
        <w:keepLines/>
      </w:pPr>
    </w:p>
    <w:p>
      <w:pPr>
        <w:pStyle w:val="Signature"/>
        <w:keepNext/>
        <w:keepLines/>
      </w:pPr>
      <w:r>
        <w:t>For The Defense,</w:t>
      </w:r>
    </w:p>
    <w:p>
      <w:pPr>
        <w:pStyle w:val="Signature"/>
        <w:keepNext/>
        <w:keepLines/>
      </w:pPr>
    </w:p>
    <w:p>
      <w:pPr>
        <w:pStyle w:val="Signature"/>
        <w:keepNext/>
        <w:keepLines/>
      </w:pPr>
      <w:r>
        <w:pict>
          <v:shape id="_x0000_i1026" type="#_x0000_t75" style="width:151.5pt;height:32.25pt">
            <v:imagedata r:id="rId24" o:title=""/>
          </v:shape>
        </w:pict>
      </w:r>
    </w:p>
    <w:p>
      <w:pPr>
        <w:pStyle w:val="Signature"/>
        <w:keepNext/>
        <w:keepLines/>
      </w:pPr>
    </w:p>
    <w:p>
      <w:pPr>
        <w:pStyle w:val="Signature"/>
        <w:keepNext/>
        <w:keepLines/>
      </w:pPr>
      <w:r>
        <w:t>Hall F. McKinley, III</w:t>
      </w:r>
    </w:p>
    <w:p>
      <w:pPr>
        <w:pStyle w:val="Signature"/>
        <w:keepNext/>
        <w:keepLines/>
      </w:pPr>
      <w:r>
        <w:t>GDLA Vice-President</w:t>
      </w:r>
    </w:p>
    <w:p>
      <w:pPr>
        <w:pStyle w:val="Signature"/>
        <w:keepNext/>
        <w:keepLines/>
      </w:pPr>
      <w:r>
        <w:t>Drew, Eckl &amp; Farnham, LLP</w:t>
      </w:r>
    </w:p>
    <w:p>
      <w:pPr>
        <w:spacing w:after="0"/>
        <w:jc w:val="center"/>
        <w:rPr>
          <w:b/>
          <w:sz w:val="27"/>
          <w:szCs w:val="27"/>
        </w:rPr>
        <w:sectPr>
          <w:footerReference w:type="default" r:id="rId25"/>
          <w:footnotePr>
            <w:numRestart w:val="eachSect"/>
          </w:footnotePr>
          <w:endnotePr>
            <w:numFmt w:val="decimal"/>
            <w:numRestart w:val="eachSect"/>
          </w:endnotePr>
          <w:pgSz w:w="12240" w:h="15840"/>
          <w:pgMar w:top="1440" w:right="1440" w:bottom="1440" w:left="1440" w:header="720" w:footer="720" w:gutter="0"/>
          <w:pgNumType w:fmt="lowerRoman" w:start="6"/>
          <w:cols w:space="720"/>
          <w:docGrid w:linePitch="360"/>
        </w:sectPr>
      </w:pPr>
    </w:p>
    <w:p>
      <w:pPr>
        <w:pStyle w:val="Heading1"/>
      </w:pPr>
      <w:bookmarkStart w:id="6" w:name="_Toc387223601"/>
      <w:r>
        <w:lastRenderedPageBreak/>
        <w:t>The Evolution of Spoliation</w:t>
      </w:r>
      <w:bookmarkEnd w:id="6"/>
    </w:p>
    <w:p/>
    <w:p>
      <w:pPr>
        <w:pStyle w:val="Author"/>
      </w:pPr>
      <w:r>
        <w:t>By: Honorable D. Todd Markle</w:t>
      </w:r>
    </w:p>
    <w:p>
      <w:pPr>
        <w:pStyle w:val="Author"/>
      </w:pPr>
      <w:r>
        <w:t>Judge, Superior Court of Fulton County</w:t>
      </w:r>
    </w:p>
    <w:p>
      <w:pPr>
        <w:pStyle w:val="Author"/>
      </w:pPr>
      <w:r>
        <w:t xml:space="preserve">Atlanta Judicial Circuit </w:t>
      </w:r>
    </w:p>
    <w:p>
      <w:pPr>
        <w:pStyle w:val="Author"/>
        <w:outlineLvl w:val="1"/>
        <w:rPr>
          <w:sz w:val="23"/>
          <w:szCs w:val="23"/>
        </w:rPr>
      </w:pPr>
    </w:p>
    <w:p>
      <w:pPr>
        <w:pStyle w:val="GDLA"/>
        <w:rPr>
          <w:sz w:val="23"/>
          <w:szCs w:val="23"/>
        </w:rPr>
      </w:pPr>
    </w:p>
    <w:p>
      <w:pPr>
        <w:pStyle w:val="GDLA"/>
        <w:rPr>
          <w:sz w:val="23"/>
          <w:szCs w:val="23"/>
        </w:rPr>
        <w:sectPr>
          <w:footerReference w:type="default" r:id="rId26"/>
          <w:footnotePr>
            <w:numRestart w:val="eachSect"/>
          </w:footnotePr>
          <w:endnotePr>
            <w:numFmt w:val="decimal"/>
            <w:numRestart w:val="eachSect"/>
          </w:endnotePr>
          <w:pgSz w:w="12240" w:h="15840"/>
          <w:pgMar w:top="1440" w:right="1440" w:bottom="1440" w:left="1440" w:header="720" w:footer="720" w:gutter="0"/>
          <w:pgNumType w:start="1"/>
          <w:cols w:space="720"/>
          <w:docGrid w:linePitch="360"/>
        </w:sectPr>
      </w:pPr>
    </w:p>
    <w:p>
      <w:pPr>
        <w:pBdr>
          <w:top w:val="single" w:sz="4" w:space="1" w:color="auto"/>
          <w:left w:val="single" w:sz="4" w:space="4" w:color="auto"/>
          <w:bottom w:val="single" w:sz="4" w:space="1" w:color="auto"/>
          <w:right w:val="single" w:sz="4" w:space="4" w:color="auto"/>
        </w:pBdr>
        <w:shd w:val="clear" w:color="auto" w:fill="81BAC5"/>
        <w:tabs>
          <w:tab w:val="left" w:pos="540"/>
        </w:tabs>
        <w:spacing w:after="0"/>
        <w:jc w:val="both"/>
        <w:rPr>
          <w:highlight w:val="yellow"/>
        </w:rPr>
      </w:pPr>
      <w:r>
        <w:rPr>
          <w:noProof/>
        </w:rPr>
        <w:pict>
          <v:shape id="Picture 4" o:spid="_x0000_s1033" type="#_x0000_t75" style="position:absolute;left:0;text-align:left;margin-left:-2.15pt;margin-top:44.4pt;width:86.65pt;height:113.7pt;z-index:-251677184;visibility:visible;mso-wrap-distance-left:7.2pt;mso-wrap-distance-right:7.2pt" wrapcoords="-559 -426 -559 21884 22159 21884 22159 -426 -559 -426" o:allowoverlap="f" stroked="t" strokeweight="2.25pt">
            <v:imagedata r:id="rId27" o:title=""/>
            <w10:wrap type="tight" side="right"/>
          </v:shape>
        </w:pict>
      </w:r>
      <w:r>
        <w:rPr>
          <w:b/>
        </w:rPr>
        <w:t>Todd Markle</w:t>
      </w:r>
      <w:r>
        <w:t xml:space="preserve"> is a judge of the Superior Court of Fulton County.  He previously served as executive counsel to Governor Nathan Deal.  Before entering public service, Todd practiced law in Atlanta for more than twenty years, most recently as a partner at Mabry &amp; McClelland, LLP.  He is a former member of GDLA. </w:t>
      </w:r>
    </w:p>
    <w:p>
      <w:pPr>
        <w:tabs>
          <w:tab w:val="left" w:pos="540"/>
        </w:tabs>
        <w:spacing w:after="0"/>
        <w:rPr>
          <w:b/>
          <w:sz w:val="21"/>
          <w:szCs w:val="21"/>
        </w:rPr>
      </w:pPr>
    </w:p>
    <w:p>
      <w:pPr>
        <w:pStyle w:val="BodyTextFirstIndent"/>
      </w:pPr>
      <w:r>
        <w:t xml:space="preserve">Spoliation is an issue with which every litigator will sooner or later have to grapple.  After much uncertainty with regard to application of earlier, vague standards, more recent appellate decisions have brought into sharper focus the rules that every trial attorney should keep in mind.  The law is well-settled; each new decision turns on its own peculiar set of facts.    </w:t>
      </w:r>
    </w:p>
    <w:p>
      <w:pPr>
        <w:pStyle w:val="BodyTextFirstIndent"/>
      </w:pPr>
      <w:r>
        <w:t>The concept of spoliation, that is the destruction of evidence, has likely been around as long as physical evidence used in courts.  Reference is made to spoliation in Georgia cases dating back to the 1850s.</w:t>
      </w:r>
      <w:r>
        <w:rPr>
          <w:rStyle w:val="EndnoteReference"/>
          <w:rFonts w:ascii="Century Schoolbook" w:hAnsi="Century Schoolbook"/>
          <w:sz w:val="21"/>
          <w:szCs w:val="21"/>
        </w:rPr>
        <w:endnoteReference w:id="2"/>
      </w:r>
      <w:r>
        <w:t xml:space="preserve">  Most such early decisions understandably involved wills or deeds.</w:t>
      </w:r>
      <w:r>
        <w:rPr>
          <w:rStyle w:val="EndnoteReference"/>
          <w:rFonts w:ascii="Century Schoolbook" w:hAnsi="Century Schoolbook"/>
          <w:sz w:val="21"/>
          <w:szCs w:val="21"/>
        </w:rPr>
        <w:endnoteReference w:id="3"/>
      </w:r>
      <w:r>
        <w:t xml:space="preserve">  However, as society grew more complex, spoliation case law expanded to include othe</w:t>
      </w:r>
      <w:bookmarkStart w:id="7" w:name="_Toc384899956"/>
      <w:r>
        <w:t xml:space="preserve">r tangible items of evidence.  </w:t>
      </w:r>
    </w:p>
    <w:p>
      <w:pPr>
        <w:pStyle w:val="BodyTextFirstIndent"/>
        <w:keepNext/>
        <w:ind w:left="720" w:hanging="720"/>
        <w:jc w:val="left"/>
        <w:rPr>
          <w:b/>
        </w:rPr>
      </w:pPr>
      <w:r>
        <w:rPr>
          <w:b/>
        </w:rPr>
        <w:lastRenderedPageBreak/>
        <w:t>I.</w:t>
      </w:r>
      <w:r>
        <w:rPr>
          <w:b/>
        </w:rPr>
        <w:tab/>
        <w:t>The Presumption</w:t>
      </w:r>
      <w:bookmarkEnd w:id="7"/>
    </w:p>
    <w:p>
      <w:pPr>
        <w:pStyle w:val="BodyTextFirstIndent"/>
      </w:pPr>
      <w:r>
        <w:t xml:space="preserve">Georgia law has long recognized the problems posed by spoliation.  A statute dating back to the nineteenth century, O.C.G.A. § 24-4-22 (now O.C.G.A. § 24-14-22), imposes a rebuttable presumption when a party fails to produce evidence to repel a claim and instead relies upon weaker evidence.  “The law has historically has provided, </w:t>
      </w:r>
      <w:r>
        <w:rPr>
          <w:i/>
        </w:rPr>
        <w:t>omnia prasemuntur contra spoliatorem</w:t>
      </w:r>
      <w:r>
        <w:t>, or ‘all things are presumed against a despoiler or wrongdoer.’”</w:t>
      </w:r>
      <w:r>
        <w:rPr>
          <w:rStyle w:val="EndnoteReference"/>
          <w:rFonts w:ascii="Century Schoolbook" w:hAnsi="Century Schoolbook"/>
          <w:sz w:val="21"/>
          <w:szCs w:val="21"/>
        </w:rPr>
        <w:endnoteReference w:id="4"/>
      </w:r>
      <w:r>
        <w:t xml:space="preserve">  It has long been held that this principle is not applicable to criminal cases.</w:t>
      </w:r>
      <w:r>
        <w:rPr>
          <w:rStyle w:val="EndnoteReference"/>
          <w:rFonts w:ascii="Century Schoolbook" w:hAnsi="Century Schoolbook"/>
          <w:sz w:val="21"/>
          <w:szCs w:val="21"/>
        </w:rPr>
        <w:endnoteReference w:id="5"/>
      </w:r>
      <w:r>
        <w:t xml:space="preserve">  Moreover, the presumption is available to either party and applies regardless of the burden of proof.</w:t>
      </w:r>
      <w:r>
        <w:rPr>
          <w:rStyle w:val="EndnoteReference"/>
          <w:rFonts w:ascii="Century Schoolbook" w:hAnsi="Century Schoolbook"/>
          <w:sz w:val="21"/>
          <w:szCs w:val="21"/>
        </w:rPr>
        <w:endnoteReference w:id="6"/>
      </w:r>
      <w:r>
        <w:t xml:space="preserve">  Unfortunately, this presumption had little practical utility prior to trial since it only resulted in an instruction to the jury to consider the lack of evidence that the offending party failed to produce.  In other words, it was a presumption of fact, not one of law.</w:t>
      </w:r>
      <w:r>
        <w:rPr>
          <w:rStyle w:val="EndnoteReference"/>
          <w:rFonts w:ascii="Century Schoolbook" w:hAnsi="Century Schoolbook"/>
          <w:sz w:val="21"/>
          <w:szCs w:val="21"/>
        </w:rPr>
        <w:endnoteReference w:id="7"/>
      </w:r>
      <w:r>
        <w:t xml:space="preserve">  </w:t>
      </w:r>
    </w:p>
    <w:p>
      <w:pPr>
        <w:pStyle w:val="BodyTextFirstIndent"/>
      </w:pPr>
      <w:r>
        <w:t xml:space="preserve">These early decisions are interesting, but were incredibly broad in their potential import.  For example, in </w:t>
      </w:r>
      <w:r>
        <w:rPr>
          <w:i/>
        </w:rPr>
        <w:t>Beardsley v. Suburban Coach Company</w:t>
      </w:r>
      <w:r>
        <w:t>, the Georgia Court of Appeals affirmed a defense verdict following an incident in which the plaintiff was injured getting off a bus.</w:t>
      </w:r>
      <w:r>
        <w:rPr>
          <w:rStyle w:val="EndnoteReference"/>
          <w:rFonts w:ascii="Century Schoolbook" w:hAnsi="Century Schoolbook"/>
          <w:sz w:val="21"/>
          <w:szCs w:val="21"/>
        </w:rPr>
        <w:endnoteReference w:id="8"/>
      </w:r>
      <w:r>
        <w:t xml:space="preserve">  The defense argued that the plaintiff had a pre-existing injury and did not </w:t>
      </w:r>
      <w:r>
        <w:lastRenderedPageBreak/>
        <w:t>call his primary care physician, who presumably could have testified to the plaintiff’s pre- and post-incident condition.  As a result, the trial court gave a spoliation charge, which was approved by the appellate court.</w:t>
      </w:r>
      <w:r>
        <w:rPr>
          <w:rStyle w:val="EndnoteReference"/>
          <w:rFonts w:ascii="Century Schoolbook" w:hAnsi="Century Schoolbook"/>
          <w:sz w:val="21"/>
          <w:szCs w:val="21"/>
        </w:rPr>
        <w:endnoteReference w:id="9"/>
      </w:r>
      <w:r>
        <w:t xml:space="preserve">  Similarly, in </w:t>
      </w:r>
      <w:r>
        <w:rPr>
          <w:i/>
        </w:rPr>
        <w:t>Hearing v. Johnson</w:t>
      </w:r>
      <w:r>
        <w:t>, the Georgia Court of Appeals applied the spoliation presumption in favor of a claimant in a workers compensation case where the employer offered no testimony in its own behalf and failed to produce employment records even though they had been subpoenaed prior to the hearing.</w:t>
      </w:r>
      <w:r>
        <w:rPr>
          <w:rStyle w:val="EndnoteReference"/>
          <w:rFonts w:ascii="Century Schoolbook" w:hAnsi="Century Schoolbook"/>
          <w:sz w:val="21"/>
          <w:szCs w:val="21"/>
        </w:rPr>
        <w:endnoteReference w:id="10"/>
      </w:r>
      <w:r>
        <w:t xml:space="preserve"> In </w:t>
      </w:r>
      <w:r>
        <w:rPr>
          <w:i/>
        </w:rPr>
        <w:t>Bennett v. Associated Food Stores</w:t>
      </w:r>
      <w:r>
        <w:t>, the Georgia Court of Appeals referenced the presumption in affirming a directed verdict against a plaintiff seeking to prove lost profits who provided oral testimony to such figures but admitted destroying relevant records prior to trial.</w:t>
      </w:r>
      <w:r>
        <w:rPr>
          <w:rStyle w:val="EndnoteReference"/>
          <w:rFonts w:ascii="Century Schoolbook" w:hAnsi="Century Schoolbook"/>
          <w:sz w:val="21"/>
          <w:szCs w:val="21"/>
        </w:rPr>
        <w:endnoteReference w:id="11"/>
      </w:r>
      <w:bookmarkStart w:id="8" w:name="_Toc384899957"/>
      <w:r>
        <w:t xml:space="preserve"> </w:t>
      </w:r>
    </w:p>
    <w:p>
      <w:pPr>
        <w:pStyle w:val="BodyTextFirstIndent"/>
        <w:ind w:left="720" w:hanging="720"/>
        <w:jc w:val="left"/>
        <w:rPr>
          <w:b/>
        </w:rPr>
      </w:pPr>
      <w:r>
        <w:rPr>
          <w:b/>
        </w:rPr>
        <w:t>II.</w:t>
      </w:r>
      <w:r>
        <w:rPr>
          <w:b/>
        </w:rPr>
        <w:tab/>
        <w:t>The Chapman Decision</w:t>
      </w:r>
      <w:bookmarkEnd w:id="8"/>
    </w:p>
    <w:p>
      <w:pPr>
        <w:pStyle w:val="BodyTextFirstIndent"/>
      </w:pPr>
      <w:r>
        <w:t xml:space="preserve">In 1996, the Georgia Court of Appeals in </w:t>
      </w:r>
      <w:r>
        <w:rPr>
          <w:i/>
        </w:rPr>
        <w:t>Chapman v. Auto-Owners Insurance Company</w:t>
      </w:r>
      <w:r>
        <w:t xml:space="preserve"> established a five part test for trial courts to consider when fashioning a remedy to address the problem of spoliation.</w:t>
      </w:r>
      <w:r>
        <w:rPr>
          <w:rStyle w:val="EndnoteReference"/>
          <w:rFonts w:ascii="Century Schoolbook" w:hAnsi="Century Schoolbook"/>
          <w:sz w:val="21"/>
          <w:szCs w:val="21"/>
        </w:rPr>
        <w:endnoteReference w:id="12"/>
      </w:r>
      <w:r>
        <w:t xml:space="preserve">  These additional remedies could include exclusion of testimony of a witness about the evidence (i.e., expert testimony) or even dismissal of the entire case. </w:t>
      </w:r>
      <w:r>
        <w:rPr>
          <w:rStyle w:val="EndnoteReference"/>
          <w:rFonts w:ascii="Century Schoolbook" w:hAnsi="Century Schoolbook"/>
          <w:sz w:val="21"/>
          <w:szCs w:val="21"/>
        </w:rPr>
        <w:endnoteReference w:id="13"/>
      </w:r>
    </w:p>
    <w:p>
      <w:pPr>
        <w:pStyle w:val="BodyTextFirstIndent"/>
      </w:pPr>
      <w:r>
        <w:t xml:space="preserve">In </w:t>
      </w:r>
      <w:r>
        <w:rPr>
          <w:i/>
        </w:rPr>
        <w:t>Chapman</w:t>
      </w:r>
      <w:r>
        <w:t xml:space="preserve">, the Court of Appeals focused on the lack of evidence to establish a subrogation claim.  The pertinent facts were that following a fire at a commercial establishment, the insurer of the building hired an expert to determine the cause and origin of the fire.  The </w:t>
      </w:r>
      <w:r>
        <w:lastRenderedPageBreak/>
        <w:t xml:space="preserve">expert determined the fire was electrical in nature and took possession of the wiring, circuit breakers, and other artifacts.  Shortly after the subrogated insurer filed suit, the expert destroyed the materials before allowing the defendant’s experts the opportunity to examine the evidence.  As a result, the defendant moved to dismiss the case or, alternatively, to prevent the plaintiff’s experts from testifying about the evidence that was no longer available.  The trial court was inclined to allow the case to proceed believing that its only option was to give the appropriate jury instruction based upon the former O.C.G.A. § 24-4-22.  On appeal, the Court of Appeals agreed with the defendant that such a charge may be insufficient in all cases. </w:t>
      </w:r>
      <w:r>
        <w:rPr>
          <w:rStyle w:val="EndnoteReference"/>
          <w:rFonts w:ascii="Century Schoolbook" w:hAnsi="Century Schoolbook"/>
          <w:sz w:val="21"/>
          <w:szCs w:val="21"/>
        </w:rPr>
        <w:endnoteReference w:id="14"/>
      </w:r>
    </w:p>
    <w:p>
      <w:pPr>
        <w:pStyle w:val="BodyTextFirstIndent"/>
      </w:pPr>
      <w:r>
        <w:t xml:space="preserve">The </w:t>
      </w:r>
      <w:r>
        <w:rPr>
          <w:i/>
        </w:rPr>
        <w:t>Chapman</w:t>
      </w:r>
      <w:r>
        <w:t xml:space="preserve"> Court held that when faced with issues of spoliation, a trial court should consider:  (1) whether the defendant was prejudiced as a result of the destruction of the evidence, (2) whether the prejudice could be cured, (3) the practical importance of the evidence, (4) whether the plaintiff acted in good or bad faith, and (5) the potential for abuse if expert testimony about the evidence was excluded.</w:t>
      </w:r>
      <w:r>
        <w:rPr>
          <w:rStyle w:val="EndnoteReference"/>
          <w:rFonts w:ascii="Century Schoolbook" w:hAnsi="Century Schoolbook"/>
          <w:sz w:val="21"/>
          <w:szCs w:val="21"/>
        </w:rPr>
        <w:endnoteReference w:id="15"/>
      </w:r>
      <w:r>
        <w:t xml:space="preserve">  Thus, depending upon the answers to these five questions, the Court of Appeals specifically authorized lower tribunals to impose the harsher sanctions of limiting testimony or even dismissal, in appropriate cases.</w:t>
      </w:r>
      <w:r>
        <w:rPr>
          <w:rStyle w:val="EndnoteReference"/>
          <w:rFonts w:ascii="Century Schoolbook" w:hAnsi="Century Schoolbook"/>
          <w:sz w:val="21"/>
          <w:szCs w:val="21"/>
        </w:rPr>
        <w:endnoteReference w:id="16"/>
      </w:r>
      <w:r>
        <w:t xml:space="preserve"> </w:t>
      </w:r>
    </w:p>
    <w:p>
      <w:pPr>
        <w:pStyle w:val="BodyTextFirstIndent"/>
      </w:pPr>
      <w:r>
        <w:t xml:space="preserve">Following </w:t>
      </w:r>
      <w:r>
        <w:rPr>
          <w:i/>
        </w:rPr>
        <w:t>Chapman</w:t>
      </w:r>
      <w:r>
        <w:t xml:space="preserve">, the next significant issue for the appellate courts was the timing of the spoliation.  In </w:t>
      </w:r>
      <w:r>
        <w:rPr>
          <w:i/>
        </w:rPr>
        <w:t>Chapman</w:t>
      </w:r>
      <w:r>
        <w:t xml:space="preserve">, the </w:t>
      </w:r>
      <w:r>
        <w:lastRenderedPageBreak/>
        <w:t>spoliation occurred after suit was filed.</w:t>
      </w:r>
      <w:r>
        <w:rPr>
          <w:rStyle w:val="EndnoteReference"/>
          <w:rFonts w:ascii="Century Schoolbook" w:hAnsi="Century Schoolbook"/>
          <w:sz w:val="21"/>
          <w:szCs w:val="21"/>
        </w:rPr>
        <w:endnoteReference w:id="17"/>
      </w:r>
      <w:r>
        <w:t xml:space="preserve">  What have the appellate courts said about evidence that is lost prior to suit being filed?  </w:t>
      </w:r>
      <w:bookmarkStart w:id="9" w:name="_Toc384899958"/>
    </w:p>
    <w:p>
      <w:pPr>
        <w:pStyle w:val="BodyTextFirstIndent"/>
        <w:ind w:left="720" w:hanging="720"/>
        <w:jc w:val="left"/>
        <w:rPr>
          <w:b/>
        </w:rPr>
      </w:pPr>
      <w:r>
        <w:rPr>
          <w:b/>
        </w:rPr>
        <w:t>III.</w:t>
      </w:r>
      <w:r>
        <w:rPr>
          <w:b/>
        </w:rPr>
        <w:tab/>
        <w:t>Contemplation of Litigation</w:t>
      </w:r>
      <w:bookmarkEnd w:id="9"/>
    </w:p>
    <w:p>
      <w:pPr>
        <w:pStyle w:val="BodyTextFirstIndent"/>
      </w:pPr>
      <w:r>
        <w:t xml:space="preserve"> In </w:t>
      </w:r>
      <w:r>
        <w:rPr>
          <w:i/>
        </w:rPr>
        <w:t>Baxley v. Hakiel Industries</w:t>
      </w:r>
      <w:r>
        <w:t>, the Georgia Supreme Court addressed spoliation in the context of a motion for summary judgment in a dram shop case</w:t>
      </w:r>
      <w:r>
        <w:rPr>
          <w:rStyle w:val="EndnoteReference"/>
          <w:rFonts w:ascii="Century Schoolbook" w:hAnsi="Century Schoolbook"/>
          <w:sz w:val="21"/>
          <w:szCs w:val="21"/>
        </w:rPr>
        <w:endnoteReference w:id="18"/>
      </w:r>
      <w:r>
        <w:t xml:space="preserve"> and its significance should not be underestimated.  Its broad language very nearly created a potential for spoliation in every case.  </w:t>
      </w:r>
    </w:p>
    <w:p>
      <w:pPr>
        <w:pStyle w:val="BodyTextFirstIndent"/>
      </w:pPr>
      <w:r>
        <w:t xml:space="preserve">In </w:t>
      </w:r>
      <w:r>
        <w:rPr>
          <w:i/>
        </w:rPr>
        <w:t>Baxley</w:t>
      </w:r>
      <w:r>
        <w:t>, the plaintiff was seriously injured in an automobile collision caused by a drunken motorist.  The day following the accident, the manager of one of two bars at which the intoxicated motorist was served questioned his staff about the incident.  However, the manager did not preserve videotape from any of the three security cameras on the premises because they did not show the area where the patron was sitting.</w:t>
      </w:r>
      <w:r>
        <w:rPr>
          <w:rStyle w:val="EndnoteReference"/>
          <w:rFonts w:ascii="Century Schoolbook" w:hAnsi="Century Schoolbook"/>
          <w:sz w:val="21"/>
          <w:szCs w:val="21"/>
        </w:rPr>
        <w:endnoteReference w:id="19"/>
      </w:r>
      <w:r>
        <w:t xml:space="preserve">  </w:t>
      </w:r>
    </w:p>
    <w:p>
      <w:pPr>
        <w:pStyle w:val="BodyTextFirstIndent"/>
      </w:pPr>
      <w:r>
        <w:t>The trial court granted summary judgment to the defendant, bar finding that there was an absence of evidence that the bar knew or should have known that its patron would leave its premises by vehicle.</w:t>
      </w:r>
      <w:r>
        <w:rPr>
          <w:rStyle w:val="EndnoteReference"/>
          <w:rFonts w:ascii="Century Schoolbook" w:hAnsi="Century Schoolbook"/>
          <w:sz w:val="21"/>
          <w:szCs w:val="21"/>
        </w:rPr>
        <w:endnoteReference w:id="20"/>
      </w:r>
      <w:r>
        <w:t xml:space="preserve">  The Georgia Court of Appeals agreed with the trial court. </w:t>
      </w:r>
      <w:r>
        <w:rPr>
          <w:rStyle w:val="EndnoteReference"/>
          <w:rFonts w:ascii="Century Schoolbook" w:hAnsi="Century Schoolbook"/>
          <w:sz w:val="21"/>
          <w:szCs w:val="21"/>
        </w:rPr>
        <w:endnoteReference w:id="21"/>
      </w:r>
    </w:p>
    <w:p>
      <w:pPr>
        <w:pStyle w:val="BodyTextFirstIndent"/>
      </w:pPr>
      <w:r>
        <w:t xml:space="preserve">The Georgia Supreme Court reversed the lower court’s decision citing spoliation.  Specifically, because there was evidence that the bar did not preserve the videotapes from the night in question, the Court found that the presumption in the former O.C.G.A. § 24-4-22 prevented the </w:t>
      </w:r>
      <w:r>
        <w:lastRenderedPageBreak/>
        <w:t xml:space="preserve">defendant bar from obtaining summary judgment.  The Court found that because there was evidence that the manager of the bar knew of the incident the day after it occurred, the manager should have preserved the videotaped evidence on the cameras during the course of her personal investigation.  As noted by the Court, “spoliation refers to the destruction or failure to preserve evidence that is necessary to </w:t>
      </w:r>
      <w:r>
        <w:rPr>
          <w:i/>
        </w:rPr>
        <w:t>contemplated or pending litigation</w:t>
      </w:r>
      <w:r>
        <w:t>.”</w:t>
      </w:r>
      <w:r>
        <w:rPr>
          <w:rStyle w:val="EndnoteReference"/>
          <w:rFonts w:ascii="Century Schoolbook" w:hAnsi="Century Schoolbook"/>
          <w:sz w:val="21"/>
          <w:szCs w:val="21"/>
        </w:rPr>
        <w:endnoteReference w:id="22"/>
      </w:r>
      <w:r>
        <w:t xml:space="preserve">  The Court rejected the argument advanced by the bar that because the cameras apparently did not depict the area where its customer sat, there could be no meaningful link between the underlying claim and alleged spoliation.  Instead, the Court found that since the critical issue in the case was whether the patron would soon be driving, the videotape might have shown the customer walking out with keys in hand or with another customer.</w:t>
      </w:r>
      <w:r>
        <w:rPr>
          <w:rStyle w:val="EndnoteReference"/>
          <w:rFonts w:ascii="Century Schoolbook" w:hAnsi="Century Schoolbook"/>
          <w:sz w:val="21"/>
          <w:szCs w:val="21"/>
        </w:rPr>
        <w:endnoteReference w:id="23"/>
      </w:r>
      <w:r>
        <w:t xml:space="preserve">  Although subsequent decisions of the state Supreme Court and Court of Appeals have narrowed the breadth of the </w:t>
      </w:r>
      <w:r>
        <w:rPr>
          <w:i/>
        </w:rPr>
        <w:t>Baxley</w:t>
      </w:r>
      <w:r>
        <w:t xml:space="preserve"> decision, it remains an important case to consider especially given the fact specific nature of spoliation issues.  </w:t>
      </w:r>
    </w:p>
    <w:p>
      <w:pPr>
        <w:pStyle w:val="BodyTextFirstIndent"/>
      </w:pPr>
      <w:r>
        <w:t xml:space="preserve">Perhaps recognizing the implications of its decision in </w:t>
      </w:r>
      <w:r>
        <w:rPr>
          <w:i/>
        </w:rPr>
        <w:t>Baxley</w:t>
      </w:r>
      <w:r>
        <w:t xml:space="preserve">, the Georgia Supreme Court seems to have pulled back a little in the subsequent case of </w:t>
      </w:r>
      <w:r>
        <w:rPr>
          <w:i/>
        </w:rPr>
        <w:t>Silman v. Associates</w:t>
      </w:r>
      <w:r>
        <w:t xml:space="preserve"> </w:t>
      </w:r>
      <w:r>
        <w:rPr>
          <w:i/>
        </w:rPr>
        <w:t>Bellemeade</w:t>
      </w:r>
      <w:r>
        <w:t>.</w:t>
      </w:r>
      <w:r>
        <w:rPr>
          <w:rStyle w:val="EndnoteReference"/>
          <w:rFonts w:ascii="Century Schoolbook" w:hAnsi="Century Schoolbook"/>
          <w:sz w:val="21"/>
          <w:szCs w:val="21"/>
        </w:rPr>
        <w:endnoteReference w:id="24"/>
      </w:r>
      <w:r>
        <w:t xml:space="preserve">  In </w:t>
      </w:r>
      <w:r>
        <w:rPr>
          <w:i/>
        </w:rPr>
        <w:t>Silman</w:t>
      </w:r>
      <w:r>
        <w:t xml:space="preserve">, the plaintiffs were tenants who were injured when a deck collapsed at their rented home.  They brought suit against the property owners and property management company.  The trial court ultimately granted </w:t>
      </w:r>
      <w:r>
        <w:lastRenderedPageBreak/>
        <w:t xml:space="preserve">summary judgment to the defendants because there was no evidence of notice of a defective condition with the deck. In so finding, the Court rejected the argument advanced by the plaintiff that because the defendants did not maintain the construction debris, the defendants should be deemed to have spoliated crucial evidence.  Specifically, the </w:t>
      </w:r>
      <w:r>
        <w:rPr>
          <w:i/>
        </w:rPr>
        <w:t>Silman</w:t>
      </w:r>
      <w:r>
        <w:t xml:space="preserve"> plaintiffs argued that based upon the language of </w:t>
      </w:r>
      <w:r>
        <w:rPr>
          <w:i/>
        </w:rPr>
        <w:t>Baxley</w:t>
      </w:r>
      <w:r>
        <w:t xml:space="preserve">, so long as there is the potential for litigation, the destruction or failure to preserve evidence can be sanctioned.  Nevertheless, the Georgia Supreme Court declined to follow this expansive reading of its earlier decision in </w:t>
      </w:r>
      <w:r>
        <w:rPr>
          <w:i/>
        </w:rPr>
        <w:t>Baxley</w:t>
      </w:r>
      <w:r>
        <w:t xml:space="preserve">.  Instead, the Court stated that the term “potential for litigation” as used in </w:t>
      </w:r>
      <w:r>
        <w:rPr>
          <w:i/>
        </w:rPr>
        <w:t>Baxley</w:t>
      </w:r>
      <w:r>
        <w:t>, means litigation that is actually contemplated or pending.</w:t>
      </w:r>
      <w:r>
        <w:rPr>
          <w:rStyle w:val="EndnoteReference"/>
          <w:rFonts w:ascii="Century Schoolbook" w:hAnsi="Century Schoolbook"/>
          <w:sz w:val="21"/>
          <w:szCs w:val="21"/>
        </w:rPr>
        <w:endnoteReference w:id="25"/>
      </w:r>
      <w:r>
        <w:t xml:space="preserve">  As such, the </w:t>
      </w:r>
      <w:r>
        <w:rPr>
          <w:i/>
        </w:rPr>
        <w:t>Silman</w:t>
      </w:r>
      <w:r>
        <w:t xml:space="preserve"> Court affirmed the grant of summary judgment to the defendants.</w:t>
      </w:r>
      <w:r>
        <w:rPr>
          <w:rStyle w:val="EndnoteReference"/>
          <w:rFonts w:ascii="Century Schoolbook" w:hAnsi="Century Schoolbook"/>
          <w:sz w:val="21"/>
          <w:szCs w:val="21"/>
        </w:rPr>
        <w:endnoteReference w:id="26"/>
      </w:r>
    </w:p>
    <w:p>
      <w:pPr>
        <w:pStyle w:val="BodyTextFirstIndent"/>
      </w:pPr>
      <w:r>
        <w:t xml:space="preserve">The equivocal and confusing language used by the Georgia Supreme Court in </w:t>
      </w:r>
      <w:r>
        <w:rPr>
          <w:i/>
        </w:rPr>
        <w:t>Baxley</w:t>
      </w:r>
      <w:r>
        <w:t xml:space="preserve"> and </w:t>
      </w:r>
      <w:r>
        <w:rPr>
          <w:i/>
        </w:rPr>
        <w:t>Silman</w:t>
      </w:r>
      <w:r>
        <w:t xml:space="preserve"> has spawned even further litigation as to when a defendant should anticipate a lawsuit and react by taking steps to preserve relevant evidence.  Most of the recent appellate decisions revolve around application of “the contemplated or pending litigation” language from </w:t>
      </w:r>
      <w:r>
        <w:rPr>
          <w:i/>
        </w:rPr>
        <w:t>Baxley</w:t>
      </w:r>
      <w:r>
        <w:t>.  As a result, receipt of a letter requesting payment of medical benefits is likely sufficient notice even if it is unclear that a suit will be filed.</w:t>
      </w:r>
      <w:r>
        <w:rPr>
          <w:rStyle w:val="EndnoteReference"/>
          <w:rFonts w:ascii="Century Schoolbook" w:hAnsi="Century Schoolbook"/>
          <w:sz w:val="21"/>
          <w:szCs w:val="21"/>
        </w:rPr>
        <w:endnoteReference w:id="27"/>
      </w:r>
      <w:r>
        <w:t xml:space="preserve">  There must be more than notice of potential liability, but rather potential litigation, however.</w:t>
      </w:r>
      <w:r>
        <w:rPr>
          <w:rStyle w:val="EndnoteReference"/>
          <w:rFonts w:ascii="Century Schoolbook" w:hAnsi="Century Schoolbook"/>
          <w:sz w:val="21"/>
          <w:szCs w:val="21"/>
        </w:rPr>
        <w:endnoteReference w:id="28"/>
      </w:r>
      <w:r>
        <w:t xml:space="preserve">  </w:t>
      </w:r>
    </w:p>
    <w:p>
      <w:pPr>
        <w:pStyle w:val="BodyTextFirstIndent"/>
      </w:pPr>
      <w:r>
        <w:t xml:space="preserve">More recent cases seem to have scaled back and further limited the </w:t>
      </w:r>
      <w:r>
        <w:lastRenderedPageBreak/>
        <w:t xml:space="preserve">scope of </w:t>
      </w:r>
      <w:r>
        <w:rPr>
          <w:i/>
        </w:rPr>
        <w:t>Baxley</w:t>
      </w:r>
      <w:r>
        <w:t xml:space="preserve"> and, hopefully, provided some predictability for analyzing spoliation issues.  In </w:t>
      </w:r>
      <w:r>
        <w:rPr>
          <w:i/>
        </w:rPr>
        <w:t>Craig v. Bailey Brothers Realty</w:t>
      </w:r>
      <w:r>
        <w:t>, for example, the defendants hammered down spikes that held crossties in place after a minor child was injured.</w:t>
      </w:r>
      <w:r>
        <w:rPr>
          <w:rStyle w:val="EndnoteReference"/>
          <w:rFonts w:ascii="Century Schoolbook" w:hAnsi="Century Schoolbook"/>
          <w:sz w:val="21"/>
          <w:szCs w:val="21"/>
        </w:rPr>
        <w:endnoteReference w:id="29"/>
      </w:r>
      <w:r>
        <w:t xml:space="preserve">  The fact that there was a serious accident on the defendant’s premises was itself insufficient notice of contemplated litigation, even where the father of the child spoke with the property owners in the days following the injury.</w:t>
      </w:r>
      <w:r>
        <w:rPr>
          <w:rStyle w:val="EndnoteReference"/>
          <w:rFonts w:ascii="Century Schoolbook" w:hAnsi="Century Schoolbook"/>
          <w:sz w:val="21"/>
          <w:szCs w:val="21"/>
        </w:rPr>
        <w:endnoteReference w:id="30"/>
      </w:r>
      <w:r>
        <w:t xml:space="preserve">  </w:t>
      </w:r>
    </w:p>
    <w:p>
      <w:pPr>
        <w:pStyle w:val="BodyTextFirstIndent"/>
      </w:pPr>
      <w:r>
        <w:t xml:space="preserve">In </w:t>
      </w:r>
      <w:r>
        <w:rPr>
          <w:i/>
        </w:rPr>
        <w:t>Paggett v. Kroger Company</w:t>
      </w:r>
      <w:r>
        <w:t>, the Georgia Court of Appeals affirmed a trial court, which found that the defendant’s failure to preserve a videotape did not amount to spoliation.</w:t>
      </w:r>
      <w:r>
        <w:rPr>
          <w:rStyle w:val="EndnoteReference"/>
          <w:rFonts w:ascii="Century Schoolbook" w:hAnsi="Century Schoolbook"/>
          <w:sz w:val="21"/>
          <w:szCs w:val="21"/>
        </w:rPr>
        <w:endnoteReference w:id="31"/>
      </w:r>
      <w:r>
        <w:t xml:space="preserve">  Although the plaintiff argued that the defendant was put on notice on the day of the incident of potential litigation by filling out an incident report, the court was not persuaded that the action was in contemplation of litigation even where the form itself stated that it was “in anticipation of litigation.” The Court of Appeals readily affirmed the lower court’s factual finding that there was no spoliation after considering the testimony of the manager who prepared the report, who testified that he did not believe the incident would lead to litigation. </w:t>
      </w:r>
      <w:r>
        <w:rPr>
          <w:rStyle w:val="EndnoteReference"/>
          <w:rFonts w:ascii="Century Schoolbook" w:hAnsi="Century Schoolbook"/>
          <w:sz w:val="21"/>
          <w:szCs w:val="21"/>
        </w:rPr>
        <w:endnoteReference w:id="32"/>
      </w:r>
    </w:p>
    <w:p>
      <w:pPr>
        <w:pStyle w:val="BodyTextFirstIndent"/>
      </w:pPr>
      <w:r>
        <w:t xml:space="preserve">In </w:t>
      </w:r>
      <w:r>
        <w:rPr>
          <w:i/>
        </w:rPr>
        <w:t>Watts &amp; Colwell Builders v. Martin</w:t>
      </w:r>
      <w:r>
        <w:t>, the Georgia Court of Appeals held that litigation was not contemplated where a maintenance supervisor lost a broken door hinge which supposedly gave way causing a bathroom stall door to fall and injure the plaintiff.</w:t>
      </w:r>
      <w:r>
        <w:rPr>
          <w:rStyle w:val="EndnoteReference"/>
          <w:rFonts w:ascii="Century Schoolbook" w:hAnsi="Century Schoolbook"/>
          <w:sz w:val="21"/>
          <w:szCs w:val="21"/>
        </w:rPr>
        <w:endnoteReference w:id="33"/>
      </w:r>
      <w:r>
        <w:t xml:space="preserve">  At most, the evidence showed contemplation of potential liability.  The evidence was that </w:t>
      </w:r>
      <w:r>
        <w:lastRenderedPageBreak/>
        <w:t xml:space="preserve">following the injury, the supervisor took possession of the hinge, prepared an incident report and later, when suit was filed, discovered he could not locate the hinge.  </w:t>
      </w:r>
    </w:p>
    <w:p>
      <w:pPr>
        <w:pStyle w:val="BodyTextFirstIndent"/>
      </w:pPr>
      <w:r>
        <w:t xml:space="preserve">In </w:t>
      </w:r>
      <w:r>
        <w:rPr>
          <w:i/>
        </w:rPr>
        <w:t>Flores v. Exprezit! Stores 98</w:t>
      </w:r>
      <w:r>
        <w:t>, the Georgia Court of Appeals continued the trend.</w:t>
      </w:r>
      <w:r>
        <w:rPr>
          <w:rStyle w:val="EndnoteReference"/>
          <w:rFonts w:ascii="Century Schoolbook" w:hAnsi="Century Schoolbook"/>
          <w:sz w:val="21"/>
          <w:szCs w:val="21"/>
        </w:rPr>
        <w:endnoteReference w:id="34"/>
      </w:r>
      <w:r>
        <w:t xml:space="preserve">  There, the Court of Appeals affirmed a trial court’s determination that there was no spoliation by a convenience store when it taped over a videotape and destroyed a sales receipt following an incident that occurred almost two years before suit was filed.  There was apparently no evidence of the defendant premises owner having been put on notice of contemplated litigation.  </w:t>
      </w:r>
    </w:p>
    <w:p>
      <w:pPr>
        <w:pStyle w:val="BodyTextFirstIndent"/>
      </w:pPr>
      <w:r>
        <w:t xml:space="preserve">In yet another videotape case, the Georgia Court of Appeals in </w:t>
      </w:r>
      <w:r>
        <w:rPr>
          <w:i/>
        </w:rPr>
        <w:t>Kroger v. Walters</w:t>
      </w:r>
      <w:r>
        <w:t xml:space="preserve"> held that there was sufficient evidence of notice of contemplated litigation to support the trial court’s spoliation sanction.</w:t>
      </w:r>
      <w:r>
        <w:rPr>
          <w:rStyle w:val="EndnoteReference"/>
          <w:rFonts w:ascii="Century Schoolbook" w:hAnsi="Century Schoolbook"/>
          <w:sz w:val="21"/>
          <w:szCs w:val="21"/>
        </w:rPr>
        <w:endnoteReference w:id="35"/>
      </w:r>
      <w:r>
        <w:t xml:space="preserve">  The manager prepared a report which, like the one in </w:t>
      </w:r>
      <w:r>
        <w:rPr>
          <w:i/>
        </w:rPr>
        <w:t>Paggett</w:t>
      </w:r>
      <w:r>
        <w:t>, was in “anticipation of litigation.”</w:t>
      </w:r>
      <w:r>
        <w:rPr>
          <w:rStyle w:val="EndnoteReference"/>
          <w:rFonts w:ascii="Century Schoolbook" w:hAnsi="Century Schoolbook"/>
          <w:sz w:val="21"/>
          <w:szCs w:val="21"/>
        </w:rPr>
        <w:endnoteReference w:id="36"/>
      </w:r>
      <w:r>
        <w:t xml:space="preserve">  Further, the plaintiff had returned to the store following the incident in the time before the videotape was taped over and mentioned that he was getting medical treatment.</w:t>
      </w:r>
      <w:r>
        <w:rPr>
          <w:rStyle w:val="EndnoteReference"/>
          <w:rFonts w:ascii="Century Schoolbook" w:hAnsi="Century Schoolbook"/>
          <w:sz w:val="21"/>
          <w:szCs w:val="21"/>
        </w:rPr>
        <w:endnoteReference w:id="37"/>
      </w:r>
      <w:r>
        <w:t xml:space="preserve">  Based upon these facts, the Court held that there was support for the trial court’s factual finding of spoliation.</w:t>
      </w:r>
      <w:r>
        <w:rPr>
          <w:rStyle w:val="EndnoteReference"/>
          <w:rFonts w:ascii="Century Schoolbook" w:hAnsi="Century Schoolbook"/>
          <w:sz w:val="21"/>
          <w:szCs w:val="21"/>
        </w:rPr>
        <w:endnoteReference w:id="38"/>
      </w:r>
    </w:p>
    <w:p>
      <w:pPr>
        <w:pStyle w:val="BodyTextFirstIndent"/>
      </w:pPr>
      <w:r>
        <w:t xml:space="preserve">In conclusion, the appellate courts seem to have realized the problems wrought by the overly broad language used in </w:t>
      </w:r>
      <w:r>
        <w:rPr>
          <w:i/>
        </w:rPr>
        <w:t>Baxley</w:t>
      </w:r>
      <w:r>
        <w:t xml:space="preserve">.  More recent cases have narrowed the interpretation of what encompasses ‘contemplation of potential litigation.’  </w:t>
      </w:r>
      <w:r>
        <w:lastRenderedPageBreak/>
        <w:t xml:space="preserve">Nevertheless, it is important to remember that whether loss or destruction of evidence amounts to spoliation remains a factual determination to be made by the trial court.  As such, make sure to put your best foot forward regarding preservation of anything that could be considered evidence.  </w:t>
      </w:r>
      <w:bookmarkStart w:id="10" w:name="_Toc384899959"/>
    </w:p>
    <w:p>
      <w:pPr>
        <w:pStyle w:val="BodyTextFirstIndent"/>
        <w:ind w:left="720" w:hanging="720"/>
        <w:jc w:val="left"/>
        <w:rPr>
          <w:b/>
        </w:rPr>
      </w:pPr>
      <w:r>
        <w:rPr>
          <w:b/>
        </w:rPr>
        <w:t>IV.</w:t>
      </w:r>
      <w:r>
        <w:rPr>
          <w:b/>
        </w:rPr>
        <w:tab/>
        <w:t>Spoliation and the Expert Witness</w:t>
      </w:r>
      <w:bookmarkEnd w:id="10"/>
    </w:p>
    <w:p>
      <w:pPr>
        <w:pStyle w:val="BodyTextFirstIndent"/>
      </w:pPr>
      <w:r>
        <w:t>Special care should be given when selecting expert witnesses.  They should be knowledgeable about the law of spoliation since their actions could significantly impact your case.  Fire scene investigators should follow NFPA 921 and the attorney working on a case involving a fire scene should review it as well.</w:t>
      </w:r>
      <w:r>
        <w:rPr>
          <w:rStyle w:val="EndnoteReference"/>
          <w:rFonts w:ascii="Century Schoolbook" w:hAnsi="Century Schoolbook"/>
          <w:sz w:val="21"/>
          <w:szCs w:val="21"/>
        </w:rPr>
        <w:endnoteReference w:id="39"/>
      </w:r>
      <w:r>
        <w:t xml:space="preserve">  </w:t>
      </w:r>
    </w:p>
    <w:p>
      <w:pPr>
        <w:pStyle w:val="BodyTextFirstIndent"/>
      </w:pPr>
      <w:r>
        <w:t>At present, there is no independent tort of spoliation in Georgia.</w:t>
      </w:r>
      <w:r>
        <w:rPr>
          <w:rStyle w:val="EndnoteReference"/>
          <w:rFonts w:ascii="Century Schoolbook" w:hAnsi="Century Schoolbook"/>
          <w:sz w:val="21"/>
          <w:szCs w:val="21"/>
        </w:rPr>
        <w:endnoteReference w:id="40"/>
      </w:r>
      <w:r>
        <w:t xml:space="preserve">  However, such a claim has been recognized in most jurisdictions.</w:t>
      </w:r>
      <w:r>
        <w:rPr>
          <w:rStyle w:val="EndnoteReference"/>
          <w:rFonts w:ascii="Century Schoolbook" w:hAnsi="Century Schoolbook"/>
          <w:sz w:val="21"/>
          <w:szCs w:val="21"/>
        </w:rPr>
        <w:endnoteReference w:id="41"/>
      </w:r>
      <w:r>
        <w:t xml:space="preserve">  Case law in Georgia has made clear that a party in control of evidence may owe a duty of production to other parties.</w:t>
      </w:r>
      <w:r>
        <w:rPr>
          <w:rStyle w:val="EndnoteReference"/>
          <w:rFonts w:ascii="Century Schoolbook" w:hAnsi="Century Schoolbook"/>
          <w:sz w:val="21"/>
          <w:szCs w:val="21"/>
        </w:rPr>
        <w:endnoteReference w:id="42"/>
      </w:r>
      <w:r>
        <w:t xml:space="preserve">  </w:t>
      </w:r>
    </w:p>
    <w:p>
      <w:pPr>
        <w:pStyle w:val="BodyTextFirstIndent"/>
      </w:pPr>
      <w:r>
        <w:t xml:space="preserve">In </w:t>
      </w:r>
      <w:r>
        <w:rPr>
          <w:i/>
        </w:rPr>
        <w:t>Burke v. Paul</w:t>
      </w:r>
      <w:r>
        <w:t>, the parents of a deceased plaintiff brought suit against an expert witness for the defense who examined a vehicle and removed portions of it in an effort to get DNA samples.</w:t>
      </w:r>
      <w:r>
        <w:rPr>
          <w:rStyle w:val="EndnoteReference"/>
          <w:rFonts w:ascii="Century Schoolbook" w:hAnsi="Century Schoolbook"/>
          <w:sz w:val="21"/>
          <w:szCs w:val="21"/>
        </w:rPr>
        <w:endnoteReference w:id="43"/>
      </w:r>
      <w:r>
        <w:t xml:space="preserve">  The plaintiffs alleged that the condition of the vehicle was altered such that they were unable to use it in the subsequent trial in which the court granted a mistrial.  As a result, the plaintiffs sued the defense expert for trespass, conversion, and negligence.</w:t>
      </w:r>
      <w:r>
        <w:rPr>
          <w:rStyle w:val="EndnoteReference"/>
          <w:rFonts w:ascii="Century Schoolbook" w:hAnsi="Century Schoolbook"/>
          <w:sz w:val="21"/>
          <w:szCs w:val="21"/>
        </w:rPr>
        <w:endnoteReference w:id="44"/>
      </w:r>
    </w:p>
    <w:p>
      <w:pPr>
        <w:pStyle w:val="BodyTextFirstIndent"/>
      </w:pPr>
      <w:r>
        <w:lastRenderedPageBreak/>
        <w:t>Although the court did not opine on the viability of the claim against the expert, the court of appeals affirmed the trial court’s denial of the defense’s motion to dismiss for failure to attach the affidavit required by OCGA § 9-11-9.1.</w:t>
      </w:r>
      <w:r>
        <w:rPr>
          <w:rStyle w:val="EndnoteReference"/>
          <w:rFonts w:ascii="Century Schoolbook" w:hAnsi="Century Schoolbook"/>
          <w:sz w:val="21"/>
          <w:szCs w:val="21"/>
        </w:rPr>
        <w:endnoteReference w:id="45"/>
      </w:r>
      <w:r>
        <w:t xml:space="preserve">  The court did not find that the claims related to the expert’s professional judgment and skills and thus no professional affidavit was necessary.</w:t>
      </w:r>
      <w:r>
        <w:rPr>
          <w:rStyle w:val="EndnoteReference"/>
          <w:rFonts w:ascii="Century Schoolbook" w:hAnsi="Century Schoolbook"/>
          <w:sz w:val="21"/>
          <w:szCs w:val="21"/>
        </w:rPr>
        <w:endnoteReference w:id="46"/>
      </w:r>
      <w:r>
        <w:t xml:space="preserve">  Nevertheless, the facts of this case reveal the risks faced by anyone handling evidence in the course of a legal investigation.  </w:t>
      </w:r>
    </w:p>
    <w:p>
      <w:pPr>
        <w:pStyle w:val="BodyTextFirstIndent"/>
      </w:pPr>
      <w:r>
        <w:t xml:space="preserve">Finally, it is important to consider </w:t>
      </w:r>
      <w:r>
        <w:rPr>
          <w:i/>
        </w:rPr>
        <w:t xml:space="preserve">AMLI Residential Properties v. Georgia Power Company </w:t>
      </w:r>
      <w:r>
        <w:t xml:space="preserve">should be reviewed. </w:t>
      </w:r>
      <w:r>
        <w:rPr>
          <w:rStyle w:val="EndnoteReference"/>
          <w:rFonts w:ascii="Century Schoolbook" w:hAnsi="Century Schoolbook"/>
          <w:sz w:val="21"/>
          <w:szCs w:val="21"/>
        </w:rPr>
        <w:endnoteReference w:id="47"/>
      </w:r>
      <w:r>
        <w:t xml:space="preserve">  In </w:t>
      </w:r>
      <w:r>
        <w:rPr>
          <w:i/>
        </w:rPr>
        <w:t>AMLI</w:t>
      </w:r>
      <w:r>
        <w:t>, physical evidence was removed from a fire scene by the plaintiff’s expert.  Although the defense was notified of the scene investigation, it was not notified of testing that took place on certain evidence in the custody of plaintiff’s experts.</w:t>
      </w:r>
      <w:r>
        <w:rPr>
          <w:rStyle w:val="EndnoteReference"/>
          <w:rFonts w:ascii="Century Schoolbook" w:hAnsi="Century Schoolbook"/>
          <w:sz w:val="21"/>
          <w:szCs w:val="21"/>
        </w:rPr>
        <w:endnoteReference w:id="48"/>
      </w:r>
      <w:r>
        <w:t xml:space="preserve">  The court of appeals affirmed the trial court’s exclusion of expert evidence and subsequent grant of summary judgment to the defense for the plaintiff’s spoliation, though there was no indication of bad faith on the part of the plaintiff.  As such, actions by contractors and experts during the course of litigation should be orchestrated by an attorney who is knowledgeable about spoliation and the risks of failure to comply with the appropriate law.</w:t>
      </w:r>
      <w:r>
        <w:rPr>
          <w:rStyle w:val="EndnoteReference"/>
          <w:rFonts w:ascii="Century Schoolbook" w:hAnsi="Century Schoolbook"/>
          <w:sz w:val="21"/>
          <w:szCs w:val="21"/>
        </w:rPr>
        <w:endnoteReference w:id="49"/>
      </w:r>
      <w:r>
        <w:t xml:space="preserve">  Otherwise, there could be severe consequences for your client. </w:t>
      </w:r>
      <w:bookmarkStart w:id="11" w:name="_Toc384899960"/>
    </w:p>
    <w:p>
      <w:pPr>
        <w:pStyle w:val="BodyTextFirstIndent"/>
        <w:keepNext/>
        <w:ind w:left="720" w:hanging="720"/>
        <w:jc w:val="left"/>
        <w:rPr>
          <w:b/>
        </w:rPr>
      </w:pPr>
      <w:r>
        <w:rPr>
          <w:b/>
        </w:rPr>
        <w:lastRenderedPageBreak/>
        <w:t>V.</w:t>
      </w:r>
      <w:r>
        <w:rPr>
          <w:b/>
        </w:rPr>
        <w:tab/>
        <w:t>Conclusion</w:t>
      </w:r>
      <w:bookmarkEnd w:id="11"/>
    </w:p>
    <w:p>
      <w:pPr>
        <w:pStyle w:val="BodyTextFirstIndent"/>
      </w:pPr>
      <w:r>
        <w:t xml:space="preserve">In reviewing the many spoliation-related decisions, it is clear that the importance of handling all physical evidence with care is paramount.  Making sure your clients and witnesses do so is also key.  The consequences could be critical to the outcome of your case. </w:t>
      </w:r>
    </w:p>
    <w:p>
      <w:pPr>
        <w:spacing w:after="0"/>
        <w:jc w:val="center"/>
        <w:rPr>
          <w:b/>
          <w:bCs/>
          <w:sz w:val="21"/>
          <w:szCs w:val="21"/>
          <w:u w:val="single"/>
        </w:rPr>
      </w:pPr>
      <w:r>
        <w:rPr>
          <w:b/>
          <w:sz w:val="21"/>
          <w:szCs w:val="21"/>
          <w:u w:val="single"/>
        </w:rPr>
        <w:t>End Notes</w:t>
      </w:r>
    </w:p>
    <w:p>
      <w:pPr>
        <w:spacing w:after="0"/>
        <w:ind w:firstLine="360"/>
        <w:jc w:val="both"/>
        <w:rPr>
          <w:b/>
          <w:bCs/>
          <w:sz w:val="21"/>
          <w:szCs w:val="21"/>
        </w:rPr>
      </w:pPr>
    </w:p>
    <w:p>
      <w:pPr>
        <w:spacing w:after="0"/>
        <w:ind w:firstLine="360"/>
        <w:jc w:val="both"/>
        <w:rPr>
          <w:b/>
          <w:bCs/>
          <w:sz w:val="21"/>
          <w:szCs w:val="21"/>
        </w:rPr>
        <w:sectPr>
          <w:footnotePr>
            <w:numRestart w:val="eachSect"/>
          </w:footnotePr>
          <w:endnotePr>
            <w:numFmt w:val="decimal"/>
            <w:numRestart w:val="eachSect"/>
          </w:endnotePr>
          <w:type w:val="continuous"/>
          <w:pgSz w:w="12240" w:h="15840"/>
          <w:pgMar w:top="1440" w:right="1440" w:bottom="1440" w:left="1440" w:header="720" w:footer="720" w:gutter="0"/>
          <w:pgNumType w:start="1"/>
          <w:cols w:num="2" w:space="720"/>
          <w:rtlGutter/>
          <w:docGrid w:linePitch="360"/>
        </w:sectPr>
      </w:pPr>
    </w:p>
    <w:p>
      <w:pPr>
        <w:pStyle w:val="Heading1"/>
      </w:pPr>
      <w:bookmarkStart w:id="12" w:name="_Toc387223603"/>
      <w:r>
        <w:lastRenderedPageBreak/>
        <w:t>Unsettling News:  Recent Developments in Georgia Law and Issues Faced</w:t>
      </w:r>
      <w:r>
        <w:br/>
        <w:t>by Defendants in Making and Responding to Settlement Offers</w:t>
      </w:r>
      <w:bookmarkEnd w:id="12"/>
    </w:p>
    <w:p/>
    <w:p>
      <w:pPr>
        <w:pStyle w:val="Author"/>
      </w:pPr>
      <w:r>
        <w:t>By: Martin A. Levinson, Chair, GDLA Premises Liability Committee</w:t>
      </w:r>
    </w:p>
    <w:p>
      <w:pPr>
        <w:pStyle w:val="Author"/>
      </w:pPr>
      <w:r>
        <w:t>Hawkins Parnell Thackston &amp; Young, LLP</w:t>
      </w:r>
    </w:p>
    <w:p>
      <w:pPr>
        <w:jc w:val="both"/>
        <w:rPr>
          <w:sz w:val="21"/>
          <w:szCs w:val="21"/>
        </w:rPr>
      </w:pPr>
    </w:p>
    <w:p>
      <w:pPr>
        <w:pBdr>
          <w:top w:val="single" w:sz="4" w:space="1" w:color="auto"/>
          <w:left w:val="single" w:sz="4" w:space="4" w:color="auto"/>
          <w:bottom w:val="single" w:sz="4" w:space="1" w:color="auto"/>
          <w:right w:val="single" w:sz="4" w:space="4" w:color="auto"/>
        </w:pBdr>
        <w:shd w:val="clear" w:color="auto" w:fill="81BAC5"/>
        <w:tabs>
          <w:tab w:val="left" w:pos="540"/>
        </w:tabs>
        <w:jc w:val="both"/>
        <w:rPr>
          <w:b/>
          <w:sz w:val="21"/>
          <w:szCs w:val="21"/>
        </w:rPr>
        <w:sectPr>
          <w:footerReference w:type="even" r:id="rId28"/>
          <w:footnotePr>
            <w:numRestart w:val="eachSect"/>
          </w:footnotePr>
          <w:endnotePr>
            <w:numFmt w:val="decimal"/>
            <w:numRestart w:val="eachSect"/>
          </w:endnotePr>
          <w:pgSz w:w="12240" w:h="15840"/>
          <w:pgMar w:top="1440" w:right="1440" w:bottom="1440" w:left="1440" w:header="720" w:footer="720" w:gutter="0"/>
          <w:cols w:space="720"/>
          <w:rtlGutter/>
          <w:docGrid w:linePitch="360"/>
        </w:sectPr>
      </w:pPr>
    </w:p>
    <w:p>
      <w:pPr>
        <w:pBdr>
          <w:top w:val="single" w:sz="4" w:space="1" w:color="auto"/>
          <w:left w:val="single" w:sz="4" w:space="4" w:color="auto"/>
          <w:bottom w:val="single" w:sz="4" w:space="1" w:color="auto"/>
          <w:right w:val="single" w:sz="4" w:space="4" w:color="auto"/>
        </w:pBdr>
        <w:shd w:val="clear" w:color="auto" w:fill="81BAC5"/>
        <w:tabs>
          <w:tab w:val="left" w:pos="540"/>
        </w:tabs>
        <w:jc w:val="both"/>
        <w:rPr>
          <w:highlight w:val="yellow"/>
        </w:rPr>
      </w:pPr>
      <w:r>
        <w:rPr>
          <w:noProof/>
        </w:rPr>
        <w:pict>
          <v:shape id="Picture 2" o:spid="_x0000_s1034" type="#_x0000_t75" alt="Photo of Martin A.  Levinson" style="position:absolute;left:0;text-align:left;margin-left:-1.3pt;margin-top:49.05pt;width:73.3pt;height:104.85pt;z-index:-251676160;visibility:visible" wrapcoords="-220 0 -220 21446 21600 21446 21600 0 -220 0">
            <v:imagedata r:id="rId29" o:title=""/>
            <w10:wrap type="through"/>
          </v:shape>
        </w:pict>
      </w:r>
      <w:r>
        <w:rPr>
          <w:b/>
        </w:rPr>
        <w:t>Martin A. Levinson</w:t>
      </w:r>
      <w:r>
        <w:t xml:space="preserve"> is a partner at Hawkins Parnell Thackston &amp; Young LLP in Atlanta.  He handles all phases of the litigation process in cases involving premises liability, personal injury and wrongful death matters, product liability, trucking and transportation, and general property and casualty liability.  He presently serves as Chair of GDLA’s Premises Liability Substantive Law Committee.  </w:t>
      </w:r>
      <w:r>
        <w:rPr>
          <w:iCs/>
        </w:rPr>
        <w:t xml:space="preserve">In 2013, Martin prepared the GDLA’s </w:t>
      </w:r>
      <w:r>
        <w:rPr>
          <w:i/>
          <w:iCs/>
        </w:rPr>
        <w:t>amicus curiae</w:t>
      </w:r>
      <w:r>
        <w:rPr>
          <w:iCs/>
        </w:rPr>
        <w:t xml:space="preserve"> brief in the Georgia Court of Appeals case of </w:t>
      </w:r>
      <w:r>
        <w:rPr>
          <w:i/>
          <w:iCs/>
        </w:rPr>
        <w:t>Graham v. HHC St. Simons, Inc.</w:t>
      </w:r>
      <w:r>
        <w:rPr>
          <w:iCs/>
        </w:rPr>
        <w:t>, 322 Ga. App. 693 (2013), which involved novel questions relating to enforceability of a settlement agreement and represented the first time the GDLA had been requested by the Court of Appeals to submit such a brief in a case.</w:t>
      </w:r>
    </w:p>
    <w:p>
      <w:pPr>
        <w:pStyle w:val="BodyTextFirstIndent"/>
      </w:pPr>
      <w:r>
        <w:t xml:space="preserve">In recent years, Georgia has seen a number of developments and changes in its statutory and case law relating to making and responding to settlement demands and offers.  With only a small percentage of litigated matters and even a smaller percentage of claims overall reaching trial, it has become increasingly important for Georgia attorneys to stay apprised of those changes.  Several recent developments in Georgia law, in particular, either address existing issues applicable to settlement offers and demands or </w:t>
      </w:r>
      <w:r>
        <w:lastRenderedPageBreak/>
        <w:t xml:space="preserve">create new issues:  (1) “bad faith” claims under </w:t>
      </w:r>
      <w:r>
        <w:rPr>
          <w:i/>
        </w:rPr>
        <w:t>Southern General Insurance Co. v. Holt</w:t>
      </w:r>
      <w:r>
        <w:rPr>
          <w:rStyle w:val="EndnoteReference"/>
          <w:rFonts w:ascii="Century Schoolbook" w:hAnsi="Century Schoolbook"/>
          <w:i/>
        </w:rPr>
        <w:endnoteReference w:id="50"/>
      </w:r>
      <w:r>
        <w:t xml:space="preserve"> and the recent enactment of O.C.G.A. § 9-11-67.1; (2) recent developments regarding the “offer of judgment” statute (O.C.G.A. § 9-11-68), including dealing with contingent fees and whether an offer was made in “good faith”; (3) issues and recent developments in Georgia law regarding attempts to clarify or resolve outstanding liens in responding to a settlement demand, and when the same amounts to a counteroffer, rather than an acceptance, of a settlement offer; and (4) the danger of making a settlement offer while a motion for summary judgment is pending (including discussion of the Georgia Court of Appeals' opinion in </w:t>
      </w:r>
      <w:r>
        <w:rPr>
          <w:i/>
        </w:rPr>
        <w:t>Graham v. HHC St. Simons, Inc</w:t>
      </w:r>
      <w:r>
        <w:t>.</w:t>
      </w:r>
      <w:r>
        <w:rPr>
          <w:rStyle w:val="EndnoteReference"/>
          <w:rFonts w:ascii="Century Schoolbook" w:hAnsi="Century Schoolbook"/>
        </w:rPr>
        <w:endnoteReference w:id="51"/>
      </w:r>
      <w:r>
        <w:t xml:space="preserve">). </w:t>
      </w:r>
      <w:bookmarkStart w:id="13" w:name="_Toc384899961"/>
    </w:p>
    <w:p>
      <w:pPr>
        <w:pStyle w:val="BodyTextFirstIndent"/>
        <w:ind w:left="720" w:hanging="720"/>
        <w:jc w:val="left"/>
        <w:rPr>
          <w:b/>
        </w:rPr>
      </w:pPr>
      <w:r>
        <w:rPr>
          <w:b/>
        </w:rPr>
        <w:t>I.</w:t>
      </w:r>
      <w:r>
        <w:rPr>
          <w:b/>
        </w:rPr>
        <w:tab/>
        <w:t xml:space="preserve">“Bad Faith” Claims Against an Insurer Under </w:t>
      </w:r>
      <w:r>
        <w:rPr>
          <w:b/>
          <w:i/>
        </w:rPr>
        <w:t>Southern General Insurance Co. v. Holt</w:t>
      </w:r>
      <w:r>
        <w:rPr>
          <w:b/>
        </w:rPr>
        <w:t xml:space="preserve"> and the Recent Enactment of O.C.G.A. § 9-11-67.1</w:t>
      </w:r>
      <w:bookmarkEnd w:id="13"/>
    </w:p>
    <w:p>
      <w:pPr>
        <w:pStyle w:val="BodyTextFirstIndent"/>
      </w:pPr>
      <w:r>
        <w:t xml:space="preserve">In the case of </w:t>
      </w:r>
      <w:r>
        <w:rPr>
          <w:i/>
        </w:rPr>
        <w:t>Southern General Insurance Co. v. Holt</w:t>
      </w:r>
      <w:r>
        <w:t>,</w:t>
      </w:r>
      <w:r>
        <w:rPr>
          <w:rStyle w:val="EndnoteReference"/>
          <w:rFonts w:ascii="Century Schoolbook" w:hAnsi="Century Schoolbook"/>
        </w:rPr>
        <w:endnoteReference w:id="52"/>
      </w:r>
      <w:r>
        <w:t xml:space="preserve"> the Supreme Court of Georgia essentially held that an insurer can be required to pay a verdict in excess of applicable policy limits where the insurer acts in “bad faith” by failing to pay a time-limited demand for the policy limits.  The test </w:t>
      </w:r>
      <w:r>
        <w:lastRenderedPageBreak/>
        <w:t>to determine if an insurer has acted in bad faith in rejecting an offer to settle claims against its insured within the policy limits is “whether the insurer, in light of the existing circumstances, has accorded the insured the same faithful consideration it gives its own interest.”</w:t>
      </w:r>
      <w:r>
        <w:rPr>
          <w:rStyle w:val="EndnoteReference"/>
          <w:rFonts w:ascii="Century Schoolbook" w:hAnsi="Century Schoolbook"/>
        </w:rPr>
        <w:endnoteReference w:id="53"/>
      </w:r>
    </w:p>
    <w:p>
      <w:pPr>
        <w:pStyle w:val="BodyTextFirstIndent"/>
      </w:pPr>
      <w:r>
        <w:t xml:space="preserve">The Supreme Court expressly stated in </w:t>
      </w:r>
      <w:r>
        <w:rPr>
          <w:i/>
        </w:rPr>
        <w:t>Holt</w:t>
      </w:r>
      <w:r>
        <w:t xml:space="preserve"> that its decision was not intended to permit a plaintiff’s attorney to “‘set up’ an insurer for an excess judgment merely by offering to settle within the policy limits and by imposing an unreasonably short time within which the offer would remain open.”</w:t>
      </w:r>
      <w:r>
        <w:rPr>
          <w:rStyle w:val="EndnoteReference"/>
          <w:rFonts w:ascii="Century Schoolbook" w:hAnsi="Century Schoolbook"/>
        </w:rPr>
        <w:endnoteReference w:id="54"/>
      </w:r>
      <w:r>
        <w:t xml:space="preserve">  More than 20 years after </w:t>
      </w:r>
      <w:r>
        <w:rPr>
          <w:i/>
        </w:rPr>
        <w:t>Holt</w:t>
      </w:r>
      <w:r>
        <w:t xml:space="preserve"> was decided, however, uncertainty remains as to what constitutes “an unreasonably short time” or when a claimant or plaintiff has impermissibly “set up” an insurer for extra-contractual liability.  Indeed, the perception and experience of many Georgia attorneys suggests that unreasonable time-limited policy-limits demands have become much more common since </w:t>
      </w:r>
      <w:r>
        <w:rPr>
          <w:i/>
        </w:rPr>
        <w:t>Holt</w:t>
      </w:r>
      <w:r>
        <w:t xml:space="preserve"> was decided.</w:t>
      </w:r>
    </w:p>
    <w:p>
      <w:pPr>
        <w:pStyle w:val="BodyTextFirstIndent"/>
      </w:pPr>
      <w:r>
        <w:t xml:space="preserve">During the Georgia General Assembly’s 2011-2012 session, a proposed bill was introduced that would have provided significant structure and reform to policy-limits demands and subsequent “bad faith” claims against insurers who do not accept those demands.  Some felt the bill was too broad or restrictive, and the proposed legislation ultimately failed to pass.  A similar statute was passed by the General Assembly in 2013, but it contains many limitations in time, scope, and otherwise that make it of limited help in resolving the </w:t>
      </w:r>
      <w:r>
        <w:lastRenderedPageBreak/>
        <w:t xml:space="preserve">problems that </w:t>
      </w:r>
      <w:r>
        <w:rPr>
          <w:i/>
        </w:rPr>
        <w:t>Holt</w:t>
      </w:r>
      <w:r>
        <w:t xml:space="preserve"> has created for insurers and attorneys.</w:t>
      </w:r>
    </w:p>
    <w:p>
      <w:pPr>
        <w:pStyle w:val="BodyTextFirstIndent"/>
      </w:pPr>
      <w:r>
        <w:t>The new statute, O.C.G.A. § 9-11-67.1, became effective on July 1, 2013.  Where it applies, the statute requires that the settlement demand be made in writing and contain the following material terms:  (1) the time period the offer will remain open (which must be at least 30 days); (2) the amount of the demand; (3) the party/parties to be released if the offer is accepted; (4) the type of release the claimant(s) will execute; and (5) the specific claims to be released.</w:t>
      </w:r>
      <w:r>
        <w:rPr>
          <w:rStyle w:val="EndnoteReference"/>
          <w:rFonts w:ascii="Century Schoolbook" w:hAnsi="Century Schoolbook"/>
        </w:rPr>
        <w:endnoteReference w:id="55"/>
      </w:r>
      <w:r>
        <w:t xml:space="preserve">  The statute also limits the harshness of recent Georgia jurisprudence regarding what manner of response to a demand will generally constitute a counteroffer and rejection (see Section III below) by providing that the recipient of a demand subject to the statute “shall have the right to seek clarification regarding terms, liens, subrogation claims, standing to release claims, medical bills, medical records, and other relevant facts” and that “[a]n attempt to seek reasonable clarification shall not be deemed a counteroffer.”</w:t>
      </w:r>
      <w:r>
        <w:rPr>
          <w:rStyle w:val="EndnoteReference"/>
          <w:rFonts w:ascii="Century Schoolbook" w:hAnsi="Century Schoolbook"/>
        </w:rPr>
        <w:endnoteReference w:id="56"/>
      </w:r>
    </w:p>
    <w:p>
      <w:pPr>
        <w:pStyle w:val="BodyTextFirstIndent"/>
      </w:pPr>
      <w:r>
        <w:t xml:space="preserve">Although O.C.G.A. § 9-11-67.1 represents some degree of progress in that it provides a specific framework for making and accepting offers of settlement, the statute has serious limitations.  The most significant of the new statute’s weaknesses is that it only applies to </w:t>
      </w:r>
      <w:r>
        <w:rPr>
          <w:u w:val="single"/>
        </w:rPr>
        <w:t>pre-suit</w:t>
      </w:r>
      <w:r>
        <w:t xml:space="preserve"> demands made in “causes of action for personal injury, bodily injury, and death arising from the use of a </w:t>
      </w:r>
      <w:r>
        <w:rPr>
          <w:u w:val="single"/>
        </w:rPr>
        <w:t>motor vehicle</w:t>
      </w:r>
      <w:r>
        <w:t>.”</w:t>
      </w:r>
      <w:r>
        <w:rPr>
          <w:rStyle w:val="EndnoteReference"/>
          <w:rFonts w:ascii="Century Schoolbook" w:hAnsi="Century Schoolbook"/>
        </w:rPr>
        <w:endnoteReference w:id="57"/>
      </w:r>
      <w:r>
        <w:t xml:space="preserve">  The new statute also makes a distinction between claimants who are represented by counsel and those who </w:t>
      </w:r>
      <w:r>
        <w:lastRenderedPageBreak/>
        <w:t>are not, subjecting only those demands “prepared by or with the assistance of an attorney” to the requirements of the statute.</w:t>
      </w:r>
    </w:p>
    <w:p>
      <w:pPr>
        <w:pStyle w:val="BodyTextFirstIndent"/>
      </w:pPr>
      <w:r>
        <w:t xml:space="preserve">In addition, O.C.G.A. § 9-11-67.1(a) explicitly applies only to offers made “[p]rior to the filing of a civil action.”  The statute inexplicably fails to provide any framework or guidance whatsoever as to settlement offers made while a lawsuit is pending.  Moreover, there is at least a colorable argument that the requirements of O.C.G.A. § 9-11-67.1 would not apply to any demand made where suit was </w:t>
      </w:r>
      <w:r>
        <w:rPr>
          <w:i/>
        </w:rPr>
        <w:t>ever</w:t>
      </w:r>
      <w:r>
        <w:t xml:space="preserve"> filed on the claim in question, even if the suit had been dismissed without prejudice prior to the offer being made and no lawsuit was pending at the time the demand was made.  This would make the statute exceedingly easy to circumvent, rendering it even less effective in combating unreasonable demands in tort actions.</w:t>
      </w:r>
    </w:p>
    <w:p>
      <w:pPr>
        <w:pStyle w:val="BodyTextFirstIndent"/>
      </w:pPr>
      <w:r>
        <w:t xml:space="preserve">Overall, while it represents some improvement over the total dearth of limitations on short-deadline, “gotcha” </w:t>
      </w:r>
      <w:r>
        <w:rPr>
          <w:i/>
        </w:rPr>
        <w:t>Holt</w:t>
      </w:r>
      <w:r>
        <w:t xml:space="preserve"> demands that existed before, O.C.G.A. § 9-11-67.1 is sorely inadequate in resolving the concerns posed by such demands in Georgia.</w:t>
      </w:r>
      <w:bookmarkStart w:id="14" w:name="_Toc384899962"/>
    </w:p>
    <w:p>
      <w:pPr>
        <w:pStyle w:val="BodyTextFirstIndent"/>
        <w:ind w:left="720" w:hanging="720"/>
        <w:jc w:val="left"/>
        <w:rPr>
          <w:b/>
        </w:rPr>
      </w:pPr>
      <w:r>
        <w:rPr>
          <w:b/>
        </w:rPr>
        <w:t>II.</w:t>
      </w:r>
      <w:r>
        <w:rPr>
          <w:b/>
        </w:rPr>
        <w:tab/>
        <w:t>Recent Developments Regarding the “Offer of Judgment” Statute (O.C.G.A. § 9-11-68) -- Contingent Fees and Whether an Offer is Made in “Good Faith”</w:t>
      </w:r>
      <w:bookmarkEnd w:id="14"/>
    </w:p>
    <w:p>
      <w:pPr>
        <w:pStyle w:val="BodyTextFirstIndent"/>
      </w:pPr>
      <w:r>
        <w:t xml:space="preserve">In 2005, Georgia enacted O.C.G.A. § 9-11-68, commonly referred to as the “Offer of Judgment” Statute.  Essentially, O.C.G.A. § 9-11-68 serves </w:t>
      </w:r>
      <w:r>
        <w:lastRenderedPageBreak/>
        <w:t>as a fee-shifting statute that requires the party who receives an offer made under the statute to pay the other party’s reasonable attorney’s fees and expenses of litigation from the date of rejection of the offer through trial if the statute’s conditions are met and the judgment is sufficiently favorable to the offeror.</w:t>
      </w:r>
      <w:r>
        <w:rPr>
          <w:rStyle w:val="EndnoteReference"/>
          <w:rFonts w:ascii="Century Schoolbook" w:hAnsi="Century Schoolbook"/>
        </w:rPr>
        <w:endnoteReference w:id="58"/>
      </w:r>
      <w:r>
        <w:t xml:space="preserve">  Where the “offer” is made by a plaintiff, the fee-shifting provision applies if the plaintiff subsequently obtains a judgment of more than 125 percent of the amount demanded.</w:t>
      </w:r>
      <w:r>
        <w:rPr>
          <w:rStyle w:val="EndnoteReference"/>
          <w:rFonts w:ascii="Century Schoolbook" w:hAnsi="Century Schoolbook"/>
        </w:rPr>
        <w:endnoteReference w:id="59"/>
      </w:r>
      <w:r>
        <w:t xml:space="preserve">  Where the offer is made by a defendant, fee-shifting applies if the eventual judgment is less than 75 percent of the defendant’s offer.</w:t>
      </w:r>
      <w:r>
        <w:rPr>
          <w:rStyle w:val="EndnoteReference"/>
          <w:rFonts w:ascii="Century Schoolbook" w:hAnsi="Century Schoolbook"/>
        </w:rPr>
        <w:endnoteReference w:id="60"/>
      </w:r>
    </w:p>
    <w:p>
      <w:pPr>
        <w:pStyle w:val="BodyTextFirstIndent"/>
      </w:pPr>
      <w:r>
        <w:t>To qualify as an “offer” under O.C.G.A. § 9-11-68 and to entitle the offeror to recover fees in the event of a favorable judgment, the offer must:  (1) be in writing and state it is made pursuant to O.C.G.A. § 9-11-68; (2) identify the party making the proposal and to whom it is made; (3) identify the claims to be resolved; (4) state “with particularity any relevant conditions” of the offer; (5) state the total amount of the offer; (6) state any amount to be allocated to punitive damages; (7) state whether attorney’s fees/expenses are included in the offer; and (8) include a certificate of service and be served by certified mail or statutory overnight delivery.</w:t>
      </w:r>
      <w:r>
        <w:rPr>
          <w:rStyle w:val="EndnoteReference"/>
          <w:rFonts w:ascii="Century Schoolbook" w:hAnsi="Century Schoolbook"/>
        </w:rPr>
        <w:endnoteReference w:id="61"/>
      </w:r>
      <w:r>
        <w:t xml:space="preserve">  In addition, to qualify for a subsequent attorney’s fee award, a party’s offer under the statute must remain open for at least 30 days.</w:t>
      </w:r>
      <w:r>
        <w:rPr>
          <w:rStyle w:val="EndnoteReference"/>
          <w:rFonts w:ascii="Century Schoolbook" w:hAnsi="Century Schoolbook"/>
        </w:rPr>
        <w:endnoteReference w:id="62"/>
      </w:r>
    </w:p>
    <w:p>
      <w:pPr>
        <w:pStyle w:val="BodyTextFirstIndent"/>
      </w:pPr>
      <w:r>
        <w:t xml:space="preserve">It is important to note that although O.C.G.A. § 9-11-68(a) explicitly provides that only fees and expenses incurred after rejection of an “offer” may be collected in the event of </w:t>
      </w:r>
      <w:r>
        <w:lastRenderedPageBreak/>
        <w:t xml:space="preserve">a qualifying judgment, a different rule appears to apply for plaintiffs who have contingent fee agreements with their counsel.  In the recent case of </w:t>
      </w:r>
      <w:r>
        <w:rPr>
          <w:i/>
        </w:rPr>
        <w:t>Georgia Department of Corrections v. Couch</w:t>
      </w:r>
      <w:r>
        <w:t>,</w:t>
      </w:r>
      <w:r>
        <w:rPr>
          <w:rStyle w:val="EndnoteReference"/>
          <w:rFonts w:ascii="Century Schoolbook" w:hAnsi="Century Schoolbook"/>
        </w:rPr>
        <w:endnoteReference w:id="63"/>
      </w:r>
      <w:r>
        <w:t xml:space="preserve"> the Court of Appeals held, essentially, that the limitation on recovering fees and expenses only from the date of rejection of an offer made under O.C.G.A. § 9-11-68(a) does not apply where the party making the “offer” is a plaintiff who has entered into a contingent fee arrangement:</w:t>
      </w:r>
    </w:p>
    <w:p>
      <w:pPr>
        <w:ind w:left="720" w:right="720"/>
        <w:jc w:val="both"/>
      </w:pPr>
      <w:r>
        <w:t>Our Supreme Court has held that when the contingency which fixed an attorney's entitlement to a fee is “a jury verdict and judgment,” then “the right to a specific amount as a contingent fee was fixed by the judgment.”  However, evidence of the existence of a contingent fee contract, without more, is not sufficient to support the award of attorney fees.  An attorney cannot recover for professional services without proof of the value of those services.  A naked assertion that the fees are “reasonable,” without any evidence of hours, rates, or other indication of the value of the professional services actually rendered is inadequate.</w:t>
      </w:r>
    </w:p>
    <w:p>
      <w:pPr>
        <w:ind w:left="720" w:right="720"/>
        <w:jc w:val="both"/>
      </w:pPr>
      <w:r>
        <w:t xml:space="preserve">Here, the right to the 40 percent contingency fee was fixed by the judgment entered on the verdict, and the fee awarded by the trial court reflected that percentage.  Further, the trial court was presented </w:t>
      </w:r>
      <w:r>
        <w:lastRenderedPageBreak/>
        <w:t>with evidence of the hours worked and rates charged, substantiating the value and reasonableness of the services thereof.  Thus, we find no error [in awarding the plaintiff’s entire contingent fee under O.C.G.A. § 9-11-68].</w:t>
      </w:r>
      <w:r>
        <w:rPr>
          <w:rStyle w:val="EndnoteReference"/>
          <w:rFonts w:ascii="Century Schoolbook" w:hAnsi="Century Schoolbook"/>
        </w:rPr>
        <w:endnoteReference w:id="64"/>
      </w:r>
    </w:p>
    <w:p>
      <w:pPr>
        <w:pStyle w:val="BodyTextFirstIndent"/>
      </w:pPr>
      <w:r>
        <w:t>While there arguably remains room for defendants to contend that a 40 percent contingent fee might not be reasonable in some cases, such an argument is likely to fail in all but the most egregious cases.</w:t>
      </w:r>
      <w:r>
        <w:rPr>
          <w:rStyle w:val="EndnoteReference"/>
          <w:rFonts w:ascii="Century Schoolbook" w:hAnsi="Century Schoolbook"/>
        </w:rPr>
        <w:endnoteReference w:id="65"/>
      </w:r>
      <w:r>
        <w:t xml:space="preserve">  More importantly, since Georgia’s appellate courts view a contingent fee as not having been incurred to any degree or in any portion until </w:t>
      </w:r>
      <w:r>
        <w:rPr>
          <w:i/>
        </w:rPr>
        <w:t>after</w:t>
      </w:r>
      <w:r>
        <w:t xml:space="preserve"> a judgment is obtained, whether the attorney’s work was done before or after rejection of the statutory offer of settlement is irrelevant in determining what amount may be recovered by the plaintiff under O.C.G.A. § 9-11-68.  Essentially, based on the </w:t>
      </w:r>
      <w:r>
        <w:rPr>
          <w:i/>
        </w:rPr>
        <w:t>Couch</w:t>
      </w:r>
      <w:r>
        <w:t xml:space="preserve"> decision, a plaintiff may recover </w:t>
      </w:r>
      <w:r>
        <w:rPr>
          <w:u w:val="single"/>
        </w:rPr>
        <w:t>all</w:t>
      </w:r>
      <w:r>
        <w:t xml:space="preserve"> of the attorney’s fees and expenses owed under a contingent fee agreement if the plaintiff makes a statutory offer of settlement in good faith, the offer is rejected by the defendant, and the plaintiff then obtains a verdict of more than 125 percent of the amount demanded.</w:t>
      </w:r>
    </w:p>
    <w:p>
      <w:pPr>
        <w:pStyle w:val="BodyTextFirstIndent"/>
      </w:pPr>
      <w:r>
        <w:t xml:space="preserve">This holding arguably defeats the apparent intent of O.C.G.A. § 9-11-68, which expressly provides that a plaintiff may only recover reasonable attorney’s fees and expenses of litigation incurred </w:t>
      </w:r>
      <w:r>
        <w:rPr>
          <w:i/>
        </w:rPr>
        <w:t>after</w:t>
      </w:r>
      <w:r>
        <w:t xml:space="preserve"> the statutory settlement offer is rejected.  Moreover, the Court of Appeals’ decision in </w:t>
      </w:r>
      <w:r>
        <w:rPr>
          <w:i/>
        </w:rPr>
        <w:t>Couch</w:t>
      </w:r>
      <w:r>
        <w:t xml:space="preserve"> essentially applies a </w:t>
      </w:r>
      <w:r>
        <w:rPr>
          <w:i/>
        </w:rPr>
        <w:t>per se</w:t>
      </w:r>
      <w:r>
        <w:t xml:space="preserve"> </w:t>
      </w:r>
      <w:r>
        <w:lastRenderedPageBreak/>
        <w:t>different rule to plaintiffs and defendants in tort cases, since contingent fees have become the most common manner of fee charged by plaintiffs’ attorneys in personal injury cases but are impossible in defense of such cases.</w:t>
      </w:r>
    </w:p>
    <w:p>
      <w:pPr>
        <w:pStyle w:val="BodyTextFirstIndent"/>
      </w:pPr>
      <w:r>
        <w:t xml:space="preserve">The Supreme Court of Georgia recently granted </w:t>
      </w:r>
      <w:r>
        <w:rPr>
          <w:i/>
        </w:rPr>
        <w:t>certiorari</w:t>
      </w:r>
      <w:r>
        <w:t xml:space="preserve"> in </w:t>
      </w:r>
      <w:r>
        <w:rPr>
          <w:i/>
        </w:rPr>
        <w:t>Couch</w:t>
      </w:r>
      <w:r>
        <w:t>, specifically identifying as one of two issues of particular concern on appeal whether “the Court of Appeals…err[ed] by failing to prorate the 40 percent contingency fee to reflect that some of the fees were incurred before the settlement offer was rejected.”</w:t>
      </w:r>
      <w:r>
        <w:rPr>
          <w:rStyle w:val="EndnoteReference"/>
          <w:rFonts w:ascii="Century Schoolbook" w:hAnsi="Century Schoolbook"/>
        </w:rPr>
        <w:endnoteReference w:id="66"/>
      </w:r>
      <w:r>
        <w:t xml:space="preserve">  Thus, there is hope that litigants will receive further clarification and a more even-handed rule will be applied in this area in the near future.</w:t>
      </w:r>
    </w:p>
    <w:p>
      <w:pPr>
        <w:pStyle w:val="BodyTextFirstIndent"/>
      </w:pPr>
      <w:r>
        <w:t>Another potential limitation on the usefulness of statutory settlement offers in Georgia appears in O.C.G.A. § 9-11-68(d)(2), which provides that upon a party’s request for fees under the statute, the trial court  “may determine that an offer was not made in good faith,” and, in such a case,  “the court may disallow an award of attorney’s fees and costs.”  In making any such finding, the trial court must issue “an order setting forth the basis for [the court’s] determination” that the “offer” at issue was not made in good faith.</w:t>
      </w:r>
      <w:r>
        <w:rPr>
          <w:rStyle w:val="EndnoteReference"/>
          <w:rFonts w:ascii="Century Schoolbook" w:hAnsi="Century Schoolbook"/>
        </w:rPr>
        <w:endnoteReference w:id="67"/>
      </w:r>
    </w:p>
    <w:p>
      <w:pPr>
        <w:pStyle w:val="BodyTextFirstIndent"/>
      </w:pPr>
      <w:r>
        <w:t xml:space="preserve">Based on the few Georgia appellate decisions considering whether an “offer of judgment” was made in “good faith” within the meaning of O.C.G.A. § 9-11-68(d)(2), it is clear that the trial court’s discretion in making the determination is </w:t>
      </w:r>
      <w:r>
        <w:lastRenderedPageBreak/>
        <w:t>extremely broad.  Whether the trial court grants or denies a request for fees under O.C.G.A. § 9-11-68, it appears that the trial court’s finding of fact as to whether the offer was made in “good faith” will stand on appeal as long as the trial court provides essentially any purported basis at all for its finding.</w:t>
      </w:r>
    </w:p>
    <w:p>
      <w:pPr>
        <w:pStyle w:val="BodyTextFirstIndent"/>
      </w:pPr>
      <w:r>
        <w:t xml:space="preserve">In </w:t>
      </w:r>
      <w:r>
        <w:rPr>
          <w:i/>
        </w:rPr>
        <w:t>Cohen v. Alfred &amp; Adele Davis Academy, Inc.</w:t>
      </w:r>
      <w:r>
        <w:t>,</w:t>
      </w:r>
      <w:r>
        <w:rPr>
          <w:rStyle w:val="EndnoteReference"/>
          <w:rFonts w:ascii="Century Schoolbook" w:hAnsi="Century Schoolbook"/>
        </w:rPr>
        <w:endnoteReference w:id="68"/>
      </w:r>
      <w:r>
        <w:t xml:space="preserve"> the Court of Appeals affirmed a trial court’s award of $84,104.63 in attorney’s fees and expenses to the defendant based on an “offer of judgment” of $750 made by the defendant four months after suit was filed.  The defendant subsequently moved for and was granted summary judgment on the plaintiff’s numerous claims, and the plaintiff appealed.  On appeal, the plaintiff contended, among other things, that the defendant’s offer was not made in good faith because (1) the defendant had taken the position that the plaintiff’s claims were frivolous; (2) the defendant was unwilling to engage in any further settlement negotiations; (3) the amount of the offer was very small compared to the amount of fees incurred thereafter by the defendant; and (4) the defendant’s attorney allegedly engag[ed] in a  pattern of harassment against [the plaintiff] throughout the litigation.”</w:t>
      </w:r>
      <w:r>
        <w:rPr>
          <w:rStyle w:val="EndnoteReference"/>
          <w:rFonts w:ascii="Century Schoolbook" w:hAnsi="Century Schoolbook"/>
        </w:rPr>
        <w:endnoteReference w:id="69"/>
      </w:r>
    </w:p>
    <w:p>
      <w:pPr>
        <w:pStyle w:val="BodyTextFirstIndent"/>
      </w:pPr>
      <w:r>
        <w:t xml:space="preserve">The Court of Appeals rejected the plaintiff’s argument, holding that the trial court had not abused its discretion in finding the defendant’s offer was made in good faith.  Among other things, the Court of Appeals noted that the trial court’s finding was supported by the fact that the defendant ultimately obtained </w:t>
      </w:r>
      <w:r>
        <w:lastRenderedPageBreak/>
        <w:t>summary judgment in the case, and “because the [defendant] reasonably and correctly anticipated that its exposure was minimal, the fact that it was willing to settle Cohen's claims for a nominal value [did] not demand a finding that its offer was made in bad faith.”</w:t>
      </w:r>
      <w:r>
        <w:rPr>
          <w:rStyle w:val="EndnoteReference"/>
          <w:rFonts w:ascii="Century Schoolbook" w:hAnsi="Century Schoolbook"/>
        </w:rPr>
        <w:endnoteReference w:id="70"/>
      </w:r>
      <w:r>
        <w:t xml:space="preserve">  Finally, the Court of Appeals held that the large amount of attorney’s fees and expenses incurred by the defendant “[did] not preclude a finding of good faith.”</w:t>
      </w:r>
      <w:r>
        <w:rPr>
          <w:rStyle w:val="EndnoteReference"/>
          <w:rFonts w:ascii="Century Schoolbook" w:hAnsi="Century Schoolbook"/>
        </w:rPr>
        <w:endnoteReference w:id="71"/>
      </w:r>
    </w:p>
    <w:p>
      <w:pPr>
        <w:pStyle w:val="BodyTextFirstIndent"/>
      </w:pPr>
      <w:r>
        <w:t xml:space="preserve">Similarly, in </w:t>
      </w:r>
      <w:r>
        <w:rPr>
          <w:i/>
        </w:rPr>
        <w:t>Eaddy v. Precision Franchising, LLC</w:t>
      </w:r>
      <w:r>
        <w:t>,</w:t>
      </w:r>
      <w:r>
        <w:rPr>
          <w:rStyle w:val="EndnoteReference"/>
          <w:rFonts w:ascii="Century Schoolbook" w:hAnsi="Century Schoolbook"/>
        </w:rPr>
        <w:endnoteReference w:id="72"/>
      </w:r>
      <w:r>
        <w:t xml:space="preserve"> the Court of Appeals affirmed a trial court’s award of $28,656.37 in attorney’s fees to a defendant.  In that case, one defendant, Precision, made an offer of $1,000.00 pursuant to O.C.G.A. § 9-11-68, which was ignored (and, thus, rejected) by the plaintiff, and the trial court subsequently granted Precision’s motion for summary judgment.  The plaintiff appealed the grant of summary judgment, and while that appeal was pending, the plaintiff entered into a settlement with the remaining defendants in the case.  After the settlement was completed, the plaintiff withdrew her appeal of the grant of Precision’s motion for summary judgment.  Precision then moved for an award of attorney’s fees under O.C.G.A. § 9-11-68.</w:t>
      </w:r>
    </w:p>
    <w:p>
      <w:pPr>
        <w:pStyle w:val="BodyTextFirstIndent"/>
      </w:pPr>
      <w:r>
        <w:t>On appeal of the trial court’s award of attorney’s fees to Precision, the plaintiff contended that the offer was not made in good faith because the offer “was far below her actual damages and nowhere near Precision’s potential liability had the case proceeded to a jury.”</w:t>
      </w:r>
      <w:r>
        <w:rPr>
          <w:rStyle w:val="EndnoteReference"/>
          <w:rFonts w:ascii="Century Schoolbook" w:hAnsi="Century Schoolbook"/>
        </w:rPr>
        <w:endnoteReference w:id="73"/>
      </w:r>
      <w:r>
        <w:t xml:space="preserve">  In affirming the trial court’s decision that the offer was made in good faith, the Court of </w:t>
      </w:r>
      <w:r>
        <w:lastRenderedPageBreak/>
        <w:t>Appeals noted only that the trial court had granted summary judgment to Precision on the plaintiff’s claims and that the plaintiff had appealed that judgment but withdrawn her appeal.</w:t>
      </w:r>
      <w:r>
        <w:rPr>
          <w:rStyle w:val="EndnoteReference"/>
          <w:rFonts w:ascii="Century Schoolbook" w:hAnsi="Century Schoolbook"/>
        </w:rPr>
        <w:endnoteReference w:id="74"/>
      </w:r>
      <w:r>
        <w:t xml:space="preserve">  Without further elaboration on the factual basis for the finding of good faith, the Court of Appeals stated that the finding “was supported by the evidence and was not an abuse of discretion,” and affirmed the trial court’s order.</w:t>
      </w:r>
      <w:r>
        <w:rPr>
          <w:rStyle w:val="EndnoteReference"/>
          <w:rFonts w:ascii="Century Schoolbook" w:hAnsi="Century Schoolbook"/>
        </w:rPr>
        <w:endnoteReference w:id="75"/>
      </w:r>
    </w:p>
    <w:p>
      <w:pPr>
        <w:pStyle w:val="BodyTextFirstIndent"/>
      </w:pPr>
      <w:r>
        <w:t xml:space="preserve">By contrast, in the case of </w:t>
      </w:r>
      <w:r>
        <w:rPr>
          <w:i/>
        </w:rPr>
        <w:t>Great West Casualty Co. v. Bloomfield</w:t>
      </w:r>
      <w:r>
        <w:t>,</w:t>
      </w:r>
      <w:r>
        <w:rPr>
          <w:rStyle w:val="EndnoteReference"/>
          <w:rFonts w:ascii="Century Schoolbook" w:hAnsi="Century Schoolbook"/>
        </w:rPr>
        <w:endnoteReference w:id="76"/>
      </w:r>
      <w:r>
        <w:t xml:space="preserve"> the full Court of Appeals affirmed a trial court’s finding that an insurer’s “offer of judgment” of $25,000.00 to settle a wrongful death case was not made in good faith.  In that case, the plaintiffs alleged that two different truck drivers had negligently caused a motor vehicle accident that had resulted in the death of the plaintiffs’ decedent.  After suit was filed, one of the drivers (along with his trucking company and its insurer) made a statutory settlement offer of $25,000.00.  The plaintiffs rejected the offer, and the case proceeded to trial, where the jury returned a large verdict in favor of the plaintiffs and against one set of defendants, but a verdict of no liability on the part of the driver, company, and insurer that had made the settlement offer.</w:t>
      </w:r>
    </w:p>
    <w:p>
      <w:pPr>
        <w:pStyle w:val="BodyTextFirstIndent"/>
      </w:pPr>
      <w:r>
        <w:t xml:space="preserve">The prevailing defendants then moved for an award of attorney’s fees and expenses, which was denied by the trial court.  In denying the award, the trial court found that the offer “was not a reasonable offer or a realistic assessment of liability in a wrongful death case,” relying on the facts that the driver paid the traffic </w:t>
      </w:r>
      <w:r>
        <w:lastRenderedPageBreak/>
        <w:t>ticket fine from the incident and that the driver’s insurer never deposed or even interviewed the first police officer on the scene who testified at trial for the plaintiff.</w:t>
      </w:r>
      <w:r>
        <w:rPr>
          <w:rStyle w:val="EndnoteReference"/>
          <w:rFonts w:ascii="Century Schoolbook" w:hAnsi="Century Schoolbook"/>
        </w:rPr>
        <w:endnoteReference w:id="77"/>
      </w:r>
      <w:r>
        <w:t xml:space="preserve">  The trial court also found that those defendants’ subsequent offer during trial to settle for the policy limits of $1 million “showed the bad faith intent of the defendant’s [sic] initial offer” since there was no evidence of any “new discovery or factual evidence” obtained by those defendants between the two offers.</w:t>
      </w:r>
      <w:r>
        <w:rPr>
          <w:rStyle w:val="EndnoteReference"/>
          <w:rFonts w:ascii="Century Schoolbook" w:hAnsi="Century Schoolbook"/>
        </w:rPr>
        <w:endnoteReference w:id="78"/>
      </w:r>
    </w:p>
    <w:p>
      <w:pPr>
        <w:pStyle w:val="BodyTextFirstIndent"/>
      </w:pPr>
      <w:r>
        <w:t>On appeal, the Court of Appeals affirmed the trial court’s denial of the prevailing defendants’ motion for fees and expenses under O.C.G.A. § 9-11-68.  As an initial matter, the Court of Appeals held that “while the defense verdict [was] relevant to the issue of good faith, it [was] not conclusive evidence that [the defendants] acted in good faith” in making their offer pursuant to O.C.G.A. § 9-11-68.</w:t>
      </w:r>
      <w:r>
        <w:rPr>
          <w:rStyle w:val="EndnoteReference"/>
          <w:rFonts w:ascii="Century Schoolbook" w:hAnsi="Century Schoolbook"/>
        </w:rPr>
        <w:endnoteReference w:id="79"/>
      </w:r>
      <w:r>
        <w:t xml:space="preserve">  The Court of Appeals also held or at least implied that the amount of damages awarded by the jury </w:t>
      </w:r>
      <w:r>
        <w:rPr>
          <w:i/>
        </w:rPr>
        <w:t>against the other defendants</w:t>
      </w:r>
      <w:r>
        <w:t xml:space="preserve"> suggested that the amount of the prevailing defendants’ offer was “nominal” and not made in good faith.</w:t>
      </w:r>
      <w:r>
        <w:rPr>
          <w:rStyle w:val="EndnoteReference"/>
          <w:rFonts w:ascii="Century Schoolbook" w:hAnsi="Century Schoolbook"/>
        </w:rPr>
        <w:endnoteReference w:id="80"/>
      </w:r>
      <w:r>
        <w:t xml:space="preserve">  Finally, the Court of Appeals held that the fact and amount of the second offer of settlement made by the prevailing defendants during trial “was a factor that the trial court properly considered” in reviewing and ultimately denying the motion for attorney’s fees.</w:t>
      </w:r>
    </w:p>
    <w:p>
      <w:pPr>
        <w:pStyle w:val="BodyTextFirstIndent"/>
      </w:pPr>
      <w:r>
        <w:t xml:space="preserve">As with other matters subject to an “abuse of discretion” standard on appeal, it appears that whether a settlement offer will be found to have been made in “good faith” under </w:t>
      </w:r>
      <w:r>
        <w:lastRenderedPageBreak/>
        <w:t>O.C.G.A. § 9-11-68(d)(2) in any given case will be up to the individual judge hearing the motion for attorney’s fees at the conclusion of the case.  The decisions in this area of the law strongly suggest that whatever the trial court decides in that regard will be affirmed on appeal as long as it is supported by any potentially reasonable basis at all.</w:t>
      </w:r>
      <w:bookmarkStart w:id="15" w:name="_Toc384899963"/>
    </w:p>
    <w:p>
      <w:pPr>
        <w:pStyle w:val="BodyTextFirstIndent"/>
        <w:ind w:left="720" w:hanging="720"/>
        <w:jc w:val="left"/>
        <w:rPr>
          <w:b/>
        </w:rPr>
      </w:pPr>
      <w:r>
        <w:rPr>
          <w:b/>
        </w:rPr>
        <w:t>III.</w:t>
      </w:r>
      <w:r>
        <w:rPr>
          <w:b/>
        </w:rPr>
        <w:tab/>
        <w:t>Clarification or Counteroffer?  “Precatory Language” and How to Respond to a Settlement Offer Without Rejecting It</w:t>
      </w:r>
      <w:bookmarkEnd w:id="15"/>
    </w:p>
    <w:p>
      <w:pPr>
        <w:pStyle w:val="BodyTextFirstIndent"/>
      </w:pPr>
      <w:r>
        <w:t>The need for defendants and insurers to protect themselves from having to pay whatever liens the plaintiff or claimant in a personal injury claim or suit may have incurred is nothing new.  In recent years, however, concern about liens has become heightened, due in large part to rising healthcare costs and the well-chronicled changes in how Medicare liens are being handled and pursued for collection by the Centers for Medicare and Medicaid Services (CMS).  At the same time, it has become increasingly common for claimants or plaintiffs to make time-limited settlement demands while neglecting or refusing to provide for or ensure the payment of any outstanding liens against the plaintiff’s recovery.</w:t>
      </w:r>
    </w:p>
    <w:p>
      <w:pPr>
        <w:pStyle w:val="BodyTextFirstIndent"/>
      </w:pPr>
      <w:r>
        <w:t>Georgia law permits a medical provider to “step into the shoes of the injured person for purposes of receiving payment from the tortfeasor or the tortfeasor's insurance company for economic damages represented by the hospital bill.”</w:t>
      </w:r>
      <w:r>
        <w:rPr>
          <w:rStyle w:val="EndnoteReference"/>
          <w:rFonts w:ascii="Century Schoolbook" w:hAnsi="Century Schoolbook"/>
        </w:rPr>
        <w:endnoteReference w:id="81"/>
      </w:r>
      <w:r>
        <w:t xml:space="preserve">  If liens remain </w:t>
      </w:r>
      <w:r>
        <w:lastRenderedPageBreak/>
        <w:t>after a settlement is completed, a medical provider with a properly perfected lien will remain free to collect on the lien from the alleged tortfeasor or its insurer.  Moreover, if an insurer settles a claim for policy limits without ensuring that outstanding liens have been paid or otherwise released, the insured tortfeasor will remain personally liable under the outstanding liens and now will have no remaining insurance coverage.</w:t>
      </w:r>
    </w:p>
    <w:p>
      <w:pPr>
        <w:pStyle w:val="BodyTextFirstIndent"/>
      </w:pPr>
      <w:r>
        <w:t xml:space="preserve">When faced with time-limited demands and the specter of extra-contractual liability in light of </w:t>
      </w:r>
      <w:r>
        <w:rPr>
          <w:i/>
        </w:rPr>
        <w:t>Holt</w:t>
      </w:r>
      <w:r>
        <w:t xml:space="preserve"> and its progeny, defendants and insurers have tried to find ways to accept otherwise reasonable settlement demands while still protecting themselves and/or their insureds from additional exposure from outstanding liens.  As recent Georgia appellate decisions have made clear, however, the specific language used in responding to a settlement demand is critical; a single word can be the difference between an acceptance and a counteroffer, particularly as to statements concerning the resolution of outstanding liens.</w:t>
      </w:r>
    </w:p>
    <w:p>
      <w:pPr>
        <w:pStyle w:val="BodyTextFirstIndent"/>
      </w:pPr>
      <w:r>
        <w:t>To determine whether language regarding potential liens in a response to a settlement offer renders the response a counteroffer rather than an acceptance, Georgia courts look to whether the language “makes [the offeree’s] acceptance conditional on [the offeror’s] assent to an additional term, or whether it is mere precatory language seeking confirmation of an aspect of the agreement.”</w:t>
      </w:r>
      <w:r>
        <w:rPr>
          <w:rStyle w:val="EndnoteReference"/>
          <w:rFonts w:ascii="Century Schoolbook" w:hAnsi="Century Schoolbook"/>
        </w:rPr>
        <w:endnoteReference w:id="82"/>
      </w:r>
      <w:r>
        <w:t xml:space="preserve">  “Language is properly characterized as ‘precatory’ </w:t>
      </w:r>
      <w:r>
        <w:lastRenderedPageBreak/>
        <w:t>when its ordinary significance imports entreaty, recommendation, or expectation rather than any mandatory direction.”</w:t>
      </w:r>
      <w:r>
        <w:rPr>
          <w:rStyle w:val="EndnoteReference"/>
          <w:rFonts w:ascii="Century Schoolbook" w:hAnsi="Century Schoolbook"/>
        </w:rPr>
        <w:endnoteReference w:id="83"/>
      </w:r>
      <w:r>
        <w:t xml:space="preserve">  If the language in the offeree’s response is “precatory,” it will not be deemed to convert a purported acceptance into a counteroffer.</w:t>
      </w:r>
      <w:r>
        <w:rPr>
          <w:rStyle w:val="EndnoteReference"/>
          <w:rFonts w:ascii="Century Schoolbook" w:hAnsi="Century Schoolbook"/>
        </w:rPr>
        <w:endnoteReference w:id="84"/>
      </w:r>
    </w:p>
    <w:p>
      <w:pPr>
        <w:pStyle w:val="BodyTextFirstIndent"/>
      </w:pPr>
      <w:r>
        <w:t xml:space="preserve">Thus, for example, in </w:t>
      </w:r>
      <w:r>
        <w:rPr>
          <w:i/>
        </w:rPr>
        <w:t>Herring v. Dunning</w:t>
      </w:r>
      <w:r>
        <w:t>, the Georgia Court of Appeals held that a defendant unconditionally accepted a plaintiff's offer despite the defendant’s acceptance letter referencing an “understanding that no liens of any kind exist in this case” and asking the plaintiff to “confirm this at [his] earliest convenience.”</w:t>
      </w:r>
      <w:r>
        <w:rPr>
          <w:rStyle w:val="EndnoteReference"/>
          <w:rFonts w:ascii="Century Schoolbook" w:hAnsi="Century Schoolbook"/>
        </w:rPr>
        <w:endnoteReference w:id="85"/>
      </w:r>
    </w:p>
    <w:p>
      <w:pPr>
        <w:pStyle w:val="BodyTextFirstIndent"/>
      </w:pPr>
      <w:r>
        <w:t xml:space="preserve">Similarly, the Court of Appeals has held in several recent cases that inclusion of language unacceptable to the plaintiff in a proposed release will </w:t>
      </w:r>
      <w:r>
        <w:rPr>
          <w:i/>
        </w:rPr>
        <w:t>not</w:t>
      </w:r>
      <w:r>
        <w:t xml:space="preserve"> convert an acceptance into a counteroffer.  In </w:t>
      </w:r>
      <w:r>
        <w:rPr>
          <w:i/>
        </w:rPr>
        <w:t>Sherman v. Dickey</w:t>
      </w:r>
      <w:r>
        <w:t>, for example, the plaintiffs sent the defendants a time-limited demand for the $25,000 limits of the defendants’ insurance policy in connection with injuries allegedly suffered by the plaintiffs in a motor vehicle collision in which the parties were involved.</w:t>
      </w:r>
      <w:r>
        <w:rPr>
          <w:rStyle w:val="EndnoteReference"/>
          <w:rFonts w:ascii="Century Schoolbook" w:hAnsi="Century Schoolbook"/>
        </w:rPr>
        <w:endnoteReference w:id="86"/>
      </w:r>
      <w:r>
        <w:t xml:space="preserve">  The plaintiffs’ demand also directed the defendants to provide a proposed limited-liability release and affidavits establishing the amount of available insurance coverage.  The plaintiffs’ demand specifically prohibited any proposed release from including language requiring indemnification or the release of any property-damage claims, but no other specific language or provisions were addressed.</w:t>
      </w:r>
    </w:p>
    <w:p>
      <w:pPr>
        <w:pStyle w:val="BodyTextFirstIndent"/>
      </w:pPr>
      <w:r>
        <w:lastRenderedPageBreak/>
        <w:t>Before expiration of the deadline in the plaintiffs’ demand, the parties’ attorneys exchanged proposed settlement language.  In one e-mail, the defendants’ attorney provided some “proposed revisions” to a limited-liability release drafted by the plaintiffs’ attorney, and one of the revisions was to insert a statutory healthcare provider lien affidavit pursuant to O.C.G.A. § 44-14-473.</w:t>
      </w:r>
      <w:r>
        <w:rPr>
          <w:rStyle w:val="EndnoteReference"/>
          <w:rFonts w:ascii="Century Schoolbook" w:hAnsi="Century Schoolbook"/>
        </w:rPr>
        <w:endnoteReference w:id="87"/>
      </w:r>
      <w:r>
        <w:t xml:space="preserve">  The defendants’ attorney specifically stated that “[i]f you do not want your client to sign a release with my proposed changes, please let me know and let’s discuss.”  The plaintiffs’ attorney said he would take a look at the revised settlement documents and “get back to” the defendants’ attorney.</w:t>
      </w:r>
    </w:p>
    <w:p>
      <w:pPr>
        <w:pStyle w:val="BodyTextFirstIndent"/>
      </w:pPr>
      <w:r>
        <w:t>The plaintiffs’ attorney never contacted the defendants’ attorney to discuss the proposed language.  Before the demand expired, the defendants’ attorney sent the plaintiffs’ attorney a letter unconditionally accepting the demand and enclosing a check for the policy limits, the requested affidavits, and another copy of the proposed release with the defendants’ proposed revisions.  The letter again referred to the release as “proposed” and “invited feedback if the [plaintiffs] disagreed with the proffered changes.”</w:t>
      </w:r>
      <w:r>
        <w:rPr>
          <w:rStyle w:val="EndnoteReference"/>
          <w:rFonts w:ascii="Century Schoolbook" w:hAnsi="Century Schoolbook"/>
        </w:rPr>
        <w:endnoteReference w:id="88"/>
      </w:r>
    </w:p>
    <w:p>
      <w:pPr>
        <w:pStyle w:val="BodyTextFirstIndent"/>
      </w:pPr>
      <w:r>
        <w:t xml:space="preserve">In the weeks that followed, the defendants’ attorney again invited the plaintiffs “to discuss or make changes to the proposed release” at least two more times.  The plaintiffs did not do so, and eventually, the plaintiffs returned the settlement check and “rejected” what they characterized as a “counteroffer” by the defendants to the plaintiffs’ original demand.  The plaintiffs subsequently filed suit, and </w:t>
      </w:r>
      <w:r>
        <w:lastRenderedPageBreak/>
        <w:t>when the court granted summary judgment to the defendants to enforce the settlement agreement, the plaintiffs appealed.</w:t>
      </w:r>
    </w:p>
    <w:p>
      <w:pPr>
        <w:pStyle w:val="BodyTextFirstIndent"/>
      </w:pPr>
      <w:r>
        <w:t>On appeal, the plaintiffs contended that insertion of the statutory lien affidavit language into the proposed release by the defendants rendered the purported acceptance a counteroffer.  The Court of Appeals, however, disagreed, explaining that “the record reflects that the [defendants] repeatedly invited changes to the proposed release and feedback regarding any concerns the [plaintiffs] might have, and we discern nothing to suggest that the [defendants] intended for the release to constitute a counteroffer or that the [plaintiffs] were required to sign that particular release to effectuate settlement.”</w:t>
      </w:r>
      <w:r>
        <w:rPr>
          <w:rStyle w:val="EndnoteReference"/>
          <w:rFonts w:ascii="Century Schoolbook" w:hAnsi="Century Schoolbook"/>
        </w:rPr>
        <w:endnoteReference w:id="89"/>
      </w:r>
      <w:r>
        <w:t xml:space="preserve">  The appellate court also found that “the inclusion of the statutory-lien affidavit sought only to confirm an assertion that had previously been made by the [plaintiffs’] attorney—i.e., that there were no known healthcare-provider liens.”</w:t>
      </w:r>
      <w:r>
        <w:rPr>
          <w:rStyle w:val="EndnoteReference"/>
          <w:rFonts w:ascii="Century Schoolbook" w:hAnsi="Century Schoolbook"/>
        </w:rPr>
        <w:endnoteReference w:id="90"/>
      </w:r>
      <w:r>
        <w:t xml:space="preserve">  Accordingly, the Court of Appeals held the trial court was correct in holding that the defendants’ response was an acceptance of the plaintiffs’ demand as a matter of law.</w:t>
      </w:r>
      <w:r>
        <w:rPr>
          <w:rStyle w:val="EndnoteReference"/>
          <w:rFonts w:ascii="Century Schoolbook" w:hAnsi="Century Schoolbook"/>
        </w:rPr>
        <w:endnoteReference w:id="91"/>
      </w:r>
      <w:r>
        <w:t xml:space="preserve">  </w:t>
      </w:r>
    </w:p>
    <w:p>
      <w:pPr>
        <w:pStyle w:val="BodyTextFirstIndent"/>
      </w:pPr>
      <w:r>
        <w:t>The Court of Appeals also held on two separate occasions that sending the plaintiff a general release and asking the plaintiff to “please” sign it, rather than a limited release as the plaintiff agreed to execute in his time-limited, policy limits demand, did not convert an insurer’s acceptance of the demand into a counteroffer.</w:t>
      </w:r>
      <w:r>
        <w:rPr>
          <w:rStyle w:val="EndnoteReference"/>
          <w:rFonts w:ascii="Century Schoolbook" w:hAnsi="Century Schoolbook"/>
        </w:rPr>
        <w:endnoteReference w:id="92"/>
      </w:r>
      <w:r>
        <w:t xml:space="preserve">  In </w:t>
      </w:r>
      <w:r>
        <w:rPr>
          <w:i/>
        </w:rPr>
        <w:t>Newton v. Ragland</w:t>
      </w:r>
      <w:r>
        <w:t xml:space="preserve"> </w:t>
      </w:r>
      <w:r>
        <w:lastRenderedPageBreak/>
        <w:t xml:space="preserve">and </w:t>
      </w:r>
      <w:r>
        <w:rPr>
          <w:i/>
        </w:rPr>
        <w:t>Turner v. Williamson</w:t>
      </w:r>
      <w:r>
        <w:t>, the Court of Appeals held that “[a]lthough the general release provided by [the insurer] included additional terms not acceptable to [the plaintiff],” that did not render the acceptance a counteroffer because “it is well settled that the mere inclusion of a release form unacceptable to the plaintiff does not alter the fact that a meeting of the minds had occurred with regard to the terms of the settlement.”</w:t>
      </w:r>
      <w:r>
        <w:rPr>
          <w:rStyle w:val="EndnoteReference"/>
          <w:rFonts w:ascii="Century Schoolbook" w:hAnsi="Century Schoolbook"/>
        </w:rPr>
        <w:endnoteReference w:id="93"/>
      </w:r>
      <w:r>
        <w:t xml:space="preserve">  “[S]ince the agreement to terminate the controversy already had been created, the defendant’s subsequent proffer of a release form which plaintiff believed was not in compliance with the understanding of the parties would not be a rejection of the previously accepted offer.”</w:t>
      </w:r>
      <w:r>
        <w:rPr>
          <w:rStyle w:val="EndnoteReference"/>
          <w:rFonts w:ascii="Century Schoolbook" w:hAnsi="Century Schoolbook"/>
        </w:rPr>
        <w:endnoteReference w:id="94"/>
      </w:r>
      <w:r>
        <w:t xml:space="preserve">  The Court of Appeals also held that the offeree’s use of the word “please” with regard to execution of the general release and the lack of any language conditioning the offeree’s acceptance on execution of the general release rendered inclusion of the general release “precatory.”</w:t>
      </w:r>
      <w:r>
        <w:rPr>
          <w:rStyle w:val="EndnoteReference"/>
          <w:rFonts w:ascii="Century Schoolbook" w:hAnsi="Century Schoolbook"/>
        </w:rPr>
        <w:endnoteReference w:id="95"/>
      </w:r>
    </w:p>
    <w:p>
      <w:pPr>
        <w:pStyle w:val="BodyTextFirstIndent"/>
      </w:pPr>
      <w:r>
        <w:t>“In contrast, when the offeree’s response makes acceptance conditional on the offeror’s assent to an additional term, the response then constitutes a counteroffer rather than an acceptance.”</w:t>
      </w:r>
      <w:r>
        <w:rPr>
          <w:rStyle w:val="EndnoteReference"/>
          <w:rFonts w:ascii="Century Schoolbook" w:hAnsi="Century Schoolbook"/>
        </w:rPr>
        <w:endnoteReference w:id="96"/>
      </w:r>
      <w:r>
        <w:t xml:space="preserve">  In </w:t>
      </w:r>
      <w:r>
        <w:rPr>
          <w:i/>
        </w:rPr>
        <w:t>Frickey v. Jones</w:t>
      </w:r>
      <w:r>
        <w:t>, the Supreme Court of Georgia held that a defendant’s response to a plaintiff’s settlement offer amounted to a counteroffer and not an acceptance because it stated that “payment is complicated by what appears to be a [hospital lien] as well as potential liens by your client's health carrier.”</w:t>
      </w:r>
      <w:r>
        <w:rPr>
          <w:rStyle w:val="EndnoteReference"/>
          <w:rFonts w:ascii="Century Schoolbook" w:hAnsi="Century Schoolbook"/>
        </w:rPr>
        <w:endnoteReference w:id="97"/>
      </w:r>
      <w:r>
        <w:t xml:space="preserve">  Similarly, in </w:t>
      </w:r>
      <w:r>
        <w:rPr>
          <w:i/>
        </w:rPr>
        <w:t>McReynolds v. Krebs</w:t>
      </w:r>
      <w:r>
        <w:t xml:space="preserve">, the Supreme </w:t>
      </w:r>
      <w:r>
        <w:lastRenderedPageBreak/>
        <w:t>Court also held a purported acceptance of a settlement offer was actually a counteroffer because it included the direction to “call…in order to discuss how the lien(s) ([s]pecifically, but not limited to the $273,435.35 lien from [the hospital]) will be resolved as part of this settlement.”</w:t>
      </w:r>
      <w:r>
        <w:rPr>
          <w:rStyle w:val="EndnoteReference"/>
          <w:rFonts w:ascii="Century Schoolbook" w:hAnsi="Century Schoolbook"/>
        </w:rPr>
        <w:endnoteReference w:id="98"/>
      </w:r>
    </w:p>
    <w:p>
      <w:pPr>
        <w:pStyle w:val="BodyTextFirstIndent"/>
      </w:pPr>
      <w:r>
        <w:t xml:space="preserve">In </w:t>
      </w:r>
      <w:r>
        <w:rPr>
          <w:i/>
        </w:rPr>
        <w:t>Torres v. Elkin</w:t>
      </w:r>
      <w:r>
        <w:t>, the Court of Appeals considered whether the inclusion of a statement by an insurance adjustor that “I trust that your office will satisfy any liens arising out of this matter” rendered the response a counteroffer rather than an acceptance.</w:t>
      </w:r>
      <w:r>
        <w:rPr>
          <w:rStyle w:val="EndnoteReference"/>
          <w:rFonts w:ascii="Century Schoolbook" w:hAnsi="Century Schoolbook"/>
        </w:rPr>
        <w:t xml:space="preserve"> </w:t>
      </w:r>
      <w:r>
        <w:rPr>
          <w:rStyle w:val="EndnoteReference"/>
          <w:rFonts w:ascii="Century Schoolbook" w:hAnsi="Century Schoolbook"/>
        </w:rPr>
        <w:endnoteReference w:id="99"/>
      </w:r>
      <w:r>
        <w:t xml:space="preserve">  Relying largely on the Supreme Court’s decisions in </w:t>
      </w:r>
      <w:r>
        <w:rPr>
          <w:i/>
        </w:rPr>
        <w:t xml:space="preserve">Frickey </w:t>
      </w:r>
      <w:r>
        <w:t xml:space="preserve">and </w:t>
      </w:r>
      <w:r>
        <w:rPr>
          <w:i/>
        </w:rPr>
        <w:t>McReynolds</w:t>
      </w:r>
      <w:r>
        <w:t>, the Court of Appeals held that the sentence regarding satisfaction of liens in the insurer’s response was “sufficiently insistent to indicate a requirement that [the plaintiff] was required to satisfy [any outstanding liens] for [the insurer’s] acceptance to be effective.”</w:t>
      </w:r>
      <w:r>
        <w:rPr>
          <w:rStyle w:val="EndnoteReference"/>
          <w:rFonts w:ascii="Century Schoolbook" w:hAnsi="Century Schoolbook"/>
        </w:rPr>
        <w:endnoteReference w:id="100"/>
      </w:r>
      <w:r>
        <w:t xml:space="preserve">  The Court of Appeals held that “[a] reasonable person in the position of the other contracting party would interpret such language as imposing a condition, rather than as merely precatory.”</w:t>
      </w:r>
      <w:r>
        <w:rPr>
          <w:rStyle w:val="EndnoteReference"/>
          <w:rFonts w:ascii="Century Schoolbook" w:hAnsi="Century Schoolbook"/>
        </w:rPr>
        <w:endnoteReference w:id="101"/>
      </w:r>
      <w:r>
        <w:t xml:space="preserve">  Accordingly, the court held that the insurer’s letter in response to the plaintiff’s settlement offer was a counteroffer rather than an acceptance of the plaintiff’s offer.</w:t>
      </w:r>
      <w:r>
        <w:rPr>
          <w:rStyle w:val="EndnoteReference"/>
          <w:rFonts w:ascii="Century Schoolbook" w:hAnsi="Century Schoolbook"/>
        </w:rPr>
        <w:endnoteReference w:id="102"/>
      </w:r>
    </w:p>
    <w:p>
      <w:pPr>
        <w:pStyle w:val="BodyTextFirstIndent"/>
      </w:pPr>
      <w:r>
        <w:t xml:space="preserve">Thus, while the Court of Appeals’ holdings in cases such as </w:t>
      </w:r>
      <w:r>
        <w:rPr>
          <w:i/>
        </w:rPr>
        <w:t>Sherman</w:t>
      </w:r>
      <w:r>
        <w:t xml:space="preserve">, </w:t>
      </w:r>
      <w:r>
        <w:rPr>
          <w:i/>
        </w:rPr>
        <w:t>Newton</w:t>
      </w:r>
      <w:r>
        <w:t xml:space="preserve">, and </w:t>
      </w:r>
      <w:r>
        <w:rPr>
          <w:i/>
        </w:rPr>
        <w:t>Turner</w:t>
      </w:r>
      <w:r>
        <w:t xml:space="preserve"> demonstrate that Georgia courts are required to give defendants some benefit of the doubt as to acceptance of settlement offers, those cases do nothing to resolve the current crisis </w:t>
      </w:r>
      <w:r>
        <w:lastRenderedPageBreak/>
        <w:t xml:space="preserve">posed by the use of time-limited demands by unscrupulous or careless plaintiff’s attorneys with respect to medical liens.  Under the current state of Georgia law, a plaintiff or claimant remains free to require an alleged tortfeasor, defendant, or insurer to respond to a time-limited demand without permitting the offeree to ensure it will not be required to satisfy outstanding liens above and beyond the cost of the settlement proposal.  There is no legal authority stating whether such a settlement demand would be considered to have been made in “good faith” within the meaning of O.C.G.A. § 9-11-68 nor whether rejection of the demand could amount to “bad faith” as contemplated under </w:t>
      </w:r>
      <w:r>
        <w:rPr>
          <w:i/>
        </w:rPr>
        <w:t>Holt</w:t>
      </w:r>
      <w:r>
        <w:t xml:space="preserve"> and its progeny (despite the fact that payment would not completely resolve the potential liability of the defendant, insurer, or tortfeasor in connection with the plaintiff or claimant’s claims).</w:t>
      </w:r>
    </w:p>
    <w:p>
      <w:pPr>
        <w:pStyle w:val="BodyTextFirstIndent"/>
      </w:pPr>
      <w:r>
        <w:t xml:space="preserve">Until Georgia’s General Assembly or one of its appellate courts clarifies these points, particularly in cases where there are or may be significant liens, those receiving such time-limited demands will be in the untenable position of choosing either to risk having to “double pay” or face a potential “bad faith” claim and related extracontractual liability in the future. </w:t>
      </w:r>
      <w:bookmarkStart w:id="16" w:name="_Toc384899964"/>
    </w:p>
    <w:p>
      <w:pPr>
        <w:pStyle w:val="BodyTextFirstIndent"/>
        <w:keepNext/>
        <w:keepLines/>
        <w:ind w:left="720" w:hanging="720"/>
        <w:jc w:val="left"/>
        <w:rPr>
          <w:b/>
        </w:rPr>
      </w:pPr>
      <w:r>
        <w:rPr>
          <w:b/>
        </w:rPr>
        <w:t>IV.</w:t>
      </w:r>
      <w:r>
        <w:rPr>
          <w:b/>
        </w:rPr>
        <w:tab/>
        <w:t>The Danger of Making a Settlement Offer While a Motion for Summary Judgment is Pending</w:t>
      </w:r>
      <w:bookmarkEnd w:id="16"/>
    </w:p>
    <w:p>
      <w:pPr>
        <w:pStyle w:val="BodyTextFirstIndent"/>
      </w:pPr>
      <w:r>
        <w:t xml:space="preserve">In the recent case of </w:t>
      </w:r>
      <w:r>
        <w:rPr>
          <w:i/>
        </w:rPr>
        <w:t>Graham v. HHC St. Simons, Inc.</w:t>
      </w:r>
      <w:r>
        <w:t>,</w:t>
      </w:r>
      <w:r>
        <w:rPr>
          <w:rStyle w:val="EndnoteReference"/>
          <w:rFonts w:ascii="Century Schoolbook" w:hAnsi="Century Schoolbook"/>
        </w:rPr>
        <w:endnoteReference w:id="103"/>
      </w:r>
      <w:r>
        <w:t xml:space="preserve"> the Georgia Court of Appeals addressed a rather </w:t>
      </w:r>
      <w:r>
        <w:lastRenderedPageBreak/>
        <w:t>interesting argument regarding a plaintiff’s purported acceptance of a defendant’s offer of settlement.  The defendant in the case had made a settlement offer of $100,000.00 while the defendant’s motion for summary judgment was pending.  The offer did not contain a date of expiration.  Twenty days later, the trial court granted the defendant’s motion for summary judgment, and the day after that, the plaintiff’s attorney faxed a letter to the defendant’s attorney purportedly “accepting” the defendant’s offer.  After the defendant denied there was a settlement and refused to pay the plaintiff anything, the plaintiff filed a motion to enforce the purported settlement.  The trial court denied the plaintiff’s motion to enforce, and the plaintiff appealed.</w:t>
      </w:r>
    </w:p>
    <w:p>
      <w:pPr>
        <w:pStyle w:val="BodyTextFirstIndent"/>
      </w:pPr>
      <w:r>
        <w:t>In affirming the trial court’s refusal to enforce the purported settlement agreement, the Court of Appeals held that there was no “meeting of the minds” and no consideration to support an agreement.</w:t>
      </w:r>
      <w:r>
        <w:rPr>
          <w:rStyle w:val="EndnoteReference"/>
          <w:rFonts w:ascii="Century Schoolbook" w:hAnsi="Century Schoolbook"/>
        </w:rPr>
        <w:endnoteReference w:id="104"/>
      </w:r>
      <w:r>
        <w:t xml:space="preserve">  The appellate court held that the evidence, consisting of the defendant’s offer, the plaintiff’s purported “acceptance,” and the circumstances of each, “belie[d] [the plaintiff’s] claim that the parties agreed on the crucial element of consideration at the same time, in the same sense,” rendering the purported agreement without the necessary consideration.</w:t>
      </w:r>
      <w:r>
        <w:rPr>
          <w:rStyle w:val="EndnoteReference"/>
          <w:rFonts w:ascii="Century Schoolbook" w:hAnsi="Century Schoolbook"/>
        </w:rPr>
        <w:endnoteReference w:id="105"/>
      </w:r>
    </w:p>
    <w:p>
      <w:pPr>
        <w:pStyle w:val="BodyTextFirstIndent"/>
      </w:pPr>
      <w:r>
        <w:t xml:space="preserve">The Court of Appeals also held that the purported settlement agreement failed as a matter of law because the plaintiff failed to accept the offer within a “reasonable time.”  In that regard, Georgia law provides </w:t>
      </w:r>
      <w:r>
        <w:lastRenderedPageBreak/>
        <w:t>that “if an offer does not contain a specified expiration date, the offer must be accepted within a reasonable time,” and “[w]hat constitutes a reasonable time in any given case must depend upon its own peculiar facts.”</w:t>
      </w:r>
      <w:r>
        <w:rPr>
          <w:rStyle w:val="EndnoteReference"/>
          <w:rFonts w:ascii="Century Schoolbook" w:hAnsi="Century Schoolbook"/>
        </w:rPr>
        <w:endnoteReference w:id="106"/>
      </w:r>
      <w:r>
        <w:t xml:space="preserve">  The Court of Appeals held that, “[g]iven the fact that the summary judgment motion was pending and ripe for resolution when [the defendant] made its offer, a reasonable time for acceptance of the offer was before the trial court granted summary judgment.”</w:t>
      </w:r>
      <w:r>
        <w:rPr>
          <w:rStyle w:val="EndnoteReference"/>
          <w:rFonts w:ascii="Century Schoolbook" w:hAnsi="Century Schoolbook"/>
        </w:rPr>
        <w:endnoteReference w:id="107"/>
      </w:r>
      <w:r>
        <w:t xml:space="preserve">  Accordingly, the trial court had correctly held that the plaintiff’s purported “acceptance” of the offer was ineffective, and there was no settlement agreement to be enforced.</w:t>
      </w:r>
    </w:p>
    <w:p>
      <w:pPr>
        <w:pStyle w:val="BodyTextFirstIndent"/>
      </w:pPr>
      <w:r>
        <w:t>While this may seem like an obvious conclusion, there was previously no Georgia case addressing the situation.  Furthermore, the answer might have been different had the defendant’s offer been an “offer of judgment” pursuant to O.C.G.A. § 9-11-68.  Courts in other jurisdictions -- including at least one federal Circuit Court of Appeals -- have interpreted either Federal Rule of Civil Procedure 68 or the “Offer of Judgment” statutes of other states as requiring any offer made pursuant to the statute to remain open for the time provided in the statute.</w:t>
      </w:r>
      <w:r>
        <w:rPr>
          <w:rStyle w:val="EndnoteReference"/>
          <w:rFonts w:ascii="Century Schoolbook" w:hAnsi="Century Schoolbook"/>
        </w:rPr>
        <w:endnoteReference w:id="108"/>
      </w:r>
      <w:r>
        <w:t xml:space="preserve">  In those jurisdictions, the offer may be accepted by the plaintiff during the statutory period regardless of whether summary judgment has been entered already.</w:t>
      </w:r>
    </w:p>
    <w:p>
      <w:pPr>
        <w:pStyle w:val="BodyTextFirstIndent"/>
      </w:pPr>
      <w:r>
        <w:t xml:space="preserve">Although there does not appear to be any Georgia state or federal case law on point, a strong argument can be made that a litigant should not and would not be able to accept a statutory </w:t>
      </w:r>
      <w:r>
        <w:lastRenderedPageBreak/>
        <w:t xml:space="preserve">settlement offer made pursuant to O.C.G.A. § 9-11-68 after summary judgment had been granted to the offeror.  For one thing, the language of </w:t>
      </w:r>
      <w:r>
        <w:rPr>
          <w:smallCaps/>
        </w:rPr>
        <w:t>Fed. R. Civ. P.</w:t>
      </w:r>
      <w:r>
        <w:t xml:space="preserve"> 68, regarding statutory offers of judgment in the federal courts, is substantially different from that of O.C.G.A. § 9-11-68. In particular, </w:t>
      </w:r>
      <w:r>
        <w:rPr>
          <w:smallCaps/>
        </w:rPr>
        <w:t>Fed. R. Civ. P.</w:t>
      </w:r>
      <w:r>
        <w:t xml:space="preserve"> 68 provides no mechanism for revoking or withdrawing an offer once it is made.  By contrast, O.C.G.A. § 9-11-68 specifically permits revocation of an offer within the time period set forth in the offer:  “Any offer made under this Code section shall remain open for 30 days unless sooner withdrawn by a writing served on the offeree prior to acceptance by the offeree….”</w:t>
      </w:r>
      <w:r>
        <w:rPr>
          <w:rStyle w:val="EndnoteReference"/>
          <w:rFonts w:ascii="Century Schoolbook" w:hAnsi="Century Schoolbook"/>
        </w:rPr>
        <w:endnoteReference w:id="109"/>
      </w:r>
    </w:p>
    <w:p>
      <w:pPr>
        <w:pStyle w:val="BodyTextFirstIndent"/>
      </w:pPr>
      <w:r>
        <w:t xml:space="preserve">Furthermore, even under the more restrictive language of </w:t>
      </w:r>
      <w:r>
        <w:rPr>
          <w:smallCaps/>
        </w:rPr>
        <w:t>Fed. R. Civ. P.</w:t>
      </w:r>
      <w:r>
        <w:t xml:space="preserve"> 68, several courts have reached the more logical and reasonable conclusion that a grant of summary judgment renders an earlier </w:t>
      </w:r>
      <w:r>
        <w:rPr>
          <w:smallCaps/>
        </w:rPr>
        <w:t>Fed. R. Civ. P.</w:t>
      </w:r>
      <w:r>
        <w:t xml:space="preserve"> 68 offer of judgment moot and incapable of being accepted thereafter.</w:t>
      </w:r>
      <w:r>
        <w:rPr>
          <w:rStyle w:val="EndnoteReference"/>
          <w:rFonts w:ascii="Century Schoolbook" w:hAnsi="Century Schoolbook"/>
        </w:rPr>
        <w:endnoteReference w:id="110"/>
      </w:r>
      <w:r>
        <w:t xml:space="preserve">  Those courts have reasoned that “when the Court enters a final judgment in favor of [the] defendant, the Court ends the litigation, and the need for settlement is no longer present,” so the plaintiff cannot then “accept” a prior statutory offer of judgment.</w:t>
      </w:r>
      <w:r>
        <w:rPr>
          <w:rStyle w:val="EndnoteReference"/>
          <w:rFonts w:ascii="Century Schoolbook" w:hAnsi="Century Schoolbook"/>
        </w:rPr>
        <w:endnoteReference w:id="111"/>
      </w:r>
      <w:r>
        <w:t xml:space="preserve">  Similarly, the Court of Appeals of Arizona has held that a trial court’s entry of summary judgment “nullifies” an offer of settlement under Arizona’s own “Offer of Judgment” Statute.</w:t>
      </w:r>
      <w:r>
        <w:rPr>
          <w:rStyle w:val="EndnoteReference"/>
          <w:rFonts w:ascii="Century Schoolbook" w:hAnsi="Century Schoolbook"/>
        </w:rPr>
        <w:endnoteReference w:id="112"/>
      </w:r>
      <w:r>
        <w:t xml:space="preserve">  And a Florida District Court of Appeal recently rejected a plaintiff’s argument that a settlement offer made under Florida’s “Offer of Judgment” Statute could be </w:t>
      </w:r>
      <w:r>
        <w:lastRenderedPageBreak/>
        <w:t>accepted after summary judgment had been granted on the plaintiff’s claims, notwithstanding that the statutory time period for the offer had not yet elapsed.</w:t>
      </w:r>
      <w:r>
        <w:rPr>
          <w:rStyle w:val="EndnoteReference"/>
          <w:rFonts w:ascii="Century Schoolbook" w:hAnsi="Century Schoolbook"/>
        </w:rPr>
        <w:endnoteReference w:id="113"/>
      </w:r>
      <w:r>
        <w:t xml:space="preserve">  The trial court’s grant of summary judgment in favor of the defendant, the Florida court held, “terminated [the defendant’s] pending offer of judgment and precluded [the plaintiffs’] ability to accept it.”</w:t>
      </w:r>
      <w:r>
        <w:rPr>
          <w:rStyle w:val="EndnoteReference"/>
          <w:rFonts w:ascii="Century Schoolbook" w:hAnsi="Century Schoolbook"/>
        </w:rPr>
        <w:endnoteReference w:id="114"/>
      </w:r>
      <w:r>
        <w:t xml:space="preserve">  Permitting a party to accept a statutory offer of judgment after the trial court has granted summary judgment against that party “would frustrate the purpose of [the offer of judgment statute] to encourage settlement, obviate the necessity of protracted litigation, and totally defeat the ends of justice and allow a mockery of the judicial system.”</w:t>
      </w:r>
      <w:r>
        <w:rPr>
          <w:rStyle w:val="EndnoteReference"/>
          <w:rFonts w:ascii="Century Schoolbook" w:hAnsi="Century Schoolbook"/>
        </w:rPr>
        <w:endnoteReference w:id="115"/>
      </w:r>
    </w:p>
    <w:p>
      <w:pPr>
        <w:pStyle w:val="BodyTextFirstIndent"/>
      </w:pPr>
      <w:r>
        <w:t xml:space="preserve">As one federal district court explained in holding that the court’s grant of summary judgment superseded and destroyed the losing party’s ability to accept an Offer of Judgment pursuant to </w:t>
      </w:r>
      <w:r>
        <w:rPr>
          <w:smallCaps/>
        </w:rPr>
        <w:t>Fed. R. Civ. P.</w:t>
      </w:r>
      <w:r>
        <w:t xml:space="preserve"> 68:</w:t>
      </w:r>
    </w:p>
    <w:p>
      <w:pPr>
        <w:ind w:left="720" w:right="720"/>
        <w:jc w:val="both"/>
      </w:pPr>
      <w:r>
        <w:t xml:space="preserve">When a district court grants summary judgment in favor of the offering party, it enters judgment in favor of that party.  At that point, the defendant can no longer offer a judgment because a judgment has already been entered by the district court.  As such, the defendant's Rule 68 offer becomes a nullity with respect to that party.  The defendant can no longer offer judgment to [the plaintiff] “on specified terms” as prescribed by Rule 68 because the terms </w:t>
      </w:r>
      <w:r>
        <w:lastRenderedPageBreak/>
        <w:t>of the judgment have already been decided by the district court when rendering its summary judgment opinion.  To hold otherwise would create a scenario where there were two competing judgments:  the summary judgment entered in favor of the defendant by the district court, and the judgment offered by defendant and accepted by plaintiff after the court has entered summary judgment.  The judgment of the Court is paramount as the case against [the defendant] is over and there is nothing to resolve by way of the Judgment.</w:t>
      </w:r>
      <w:r>
        <w:rPr>
          <w:rStyle w:val="EndnoteReference"/>
          <w:rFonts w:ascii="Century Schoolbook" w:hAnsi="Century Schoolbook"/>
        </w:rPr>
        <w:endnoteReference w:id="116"/>
      </w:r>
    </w:p>
    <w:p>
      <w:pPr>
        <w:pStyle w:val="BodyTextFirstIndent"/>
      </w:pPr>
      <w:r>
        <w:t xml:space="preserve">Nevertheless, it does not appear that any Georgia appellate court or any Eleventh Circuit court has decided this issue.  As a result, caution is advisable in extending statutory offers of judgment, as it remains unclear what would be decided in a Georgia case with facts similar to </w:t>
      </w:r>
      <w:r>
        <w:rPr>
          <w:i/>
        </w:rPr>
        <w:t>Graham</w:t>
      </w:r>
      <w:r>
        <w:t xml:space="preserve">, but where the offer was an offer of judgment under either O.C.G.A. § 9-11-68 or </w:t>
      </w:r>
      <w:r>
        <w:rPr>
          <w:smallCaps/>
        </w:rPr>
        <w:t>Fed. R. Civ. P.</w:t>
      </w:r>
      <w:r>
        <w:t xml:space="preserve"> 68.</w:t>
      </w:r>
    </w:p>
    <w:p>
      <w:pPr>
        <w:spacing w:after="0"/>
        <w:jc w:val="center"/>
        <w:rPr>
          <w:b/>
          <w:bCs/>
          <w:sz w:val="21"/>
          <w:szCs w:val="21"/>
          <w:u w:val="single"/>
        </w:rPr>
      </w:pPr>
      <w:r>
        <w:rPr>
          <w:b/>
          <w:sz w:val="21"/>
          <w:szCs w:val="21"/>
          <w:u w:val="single"/>
        </w:rPr>
        <w:t>End Notes</w:t>
      </w:r>
    </w:p>
    <w:p>
      <w:pPr>
        <w:jc w:val="both"/>
        <w:rPr>
          <w:sz w:val="21"/>
          <w:szCs w:val="21"/>
        </w:rPr>
      </w:pPr>
    </w:p>
    <w:p>
      <w:pPr>
        <w:jc w:val="center"/>
        <w:rPr>
          <w:b/>
          <w:sz w:val="21"/>
          <w:szCs w:val="21"/>
          <w:u w:val="single"/>
        </w:rPr>
        <w:sectPr>
          <w:footnotePr>
            <w:numRestart w:val="eachSect"/>
          </w:footnotePr>
          <w:endnotePr>
            <w:numFmt w:val="decimal"/>
            <w:numRestart w:val="eachSect"/>
          </w:endnotePr>
          <w:type w:val="continuous"/>
          <w:pgSz w:w="12240" w:h="15840"/>
          <w:pgMar w:top="1440" w:right="1440" w:bottom="1440" w:left="1440" w:header="720" w:footer="720" w:gutter="0"/>
          <w:cols w:num="2" w:space="720"/>
          <w:rtlGutter/>
          <w:docGrid w:linePitch="360"/>
        </w:sectPr>
      </w:pPr>
    </w:p>
    <w:p>
      <w:pPr>
        <w:pStyle w:val="GDLA"/>
        <w:outlineLvl w:val="0"/>
        <w:rPr>
          <w:sz w:val="27"/>
          <w:szCs w:val="27"/>
        </w:rPr>
        <w:sectPr>
          <w:footnotePr>
            <w:numRestart w:val="eachSect"/>
          </w:footnotePr>
          <w:endnotePr>
            <w:numFmt w:val="decimal"/>
            <w:numRestart w:val="eachSect"/>
          </w:endnotePr>
          <w:type w:val="continuous"/>
          <w:pgSz w:w="12240" w:h="15840"/>
          <w:pgMar w:top="1440" w:right="1440" w:bottom="1440" w:left="1440" w:header="720" w:footer="720" w:gutter="0"/>
          <w:cols w:num="2" w:space="720"/>
          <w:rtlGutter/>
          <w:docGrid w:linePitch="360"/>
        </w:sectPr>
      </w:pPr>
      <w:bookmarkStart w:id="17" w:name="_Toc384899965"/>
    </w:p>
    <w:p>
      <w:pPr>
        <w:pStyle w:val="Heading1"/>
      </w:pPr>
      <w:bookmarkStart w:id="18" w:name="_Toc387223605"/>
      <w:r>
        <w:lastRenderedPageBreak/>
        <w:t>The New Federal Motor Carrier Regulations Governing a Driver’s</w:t>
      </w:r>
      <w:r>
        <w:br/>
        <w:t>Hours-of-Service:  Proving Compliance and Managing Document Preservation Letters</w:t>
      </w:r>
      <w:bookmarkEnd w:id="17"/>
      <w:bookmarkEnd w:id="18"/>
    </w:p>
    <w:p/>
    <w:p>
      <w:pPr>
        <w:pStyle w:val="Author"/>
      </w:pPr>
      <w:r>
        <w:t>By:</w:t>
      </w:r>
      <w:r>
        <w:tab/>
        <w:t>John L. McKinley, Jr.</w:t>
      </w:r>
    </w:p>
    <w:p>
      <w:pPr>
        <w:pStyle w:val="Author"/>
      </w:pPr>
      <w:r>
        <w:t>Chair, GDLA Trucking Law Committee</w:t>
      </w:r>
    </w:p>
    <w:p>
      <w:pPr>
        <w:pStyle w:val="Author"/>
      </w:pPr>
      <w:r>
        <w:t>Bridgette E. Eckerson</w:t>
      </w:r>
    </w:p>
    <w:p>
      <w:pPr>
        <w:pStyle w:val="Author"/>
      </w:pPr>
      <w:r>
        <w:t>Mozley, Finlayson &amp; Loggins, LLP</w:t>
      </w:r>
    </w:p>
    <w:p>
      <w:pPr>
        <w:spacing w:after="0"/>
        <w:jc w:val="both"/>
        <w:rPr>
          <w:sz w:val="21"/>
          <w:szCs w:val="21"/>
        </w:rPr>
      </w:pPr>
    </w:p>
    <w:p>
      <w:pPr>
        <w:pBdr>
          <w:top w:val="single" w:sz="4" w:space="1" w:color="auto"/>
          <w:left w:val="single" w:sz="4" w:space="4" w:color="auto"/>
          <w:bottom w:val="single" w:sz="4" w:space="1" w:color="auto"/>
          <w:right w:val="single" w:sz="4" w:space="4" w:color="auto"/>
        </w:pBdr>
        <w:shd w:val="clear" w:color="auto" w:fill="81BAC5"/>
        <w:spacing w:after="0"/>
        <w:jc w:val="both"/>
      </w:pPr>
      <w:r>
        <w:rPr>
          <w:noProof/>
        </w:rPr>
        <w:pict>
          <v:shape id="Picture 12" o:spid="_x0000_s1035" type="#_x0000_t75" alt="Bridgette Eckerson" style="position:absolute;left:0;text-align:left;margin-left:106.4pt;margin-top:23pt;width:94.2pt;height:117.55pt;z-index:-251673088;visibility:visible" wrapcoords="-171 0 -171 21462 21600 21462 21600 0 -171 0">
            <v:imagedata r:id="rId30" o:title=""/>
            <w10:wrap type="tight"/>
          </v:shape>
        </w:pict>
      </w:r>
      <w:r>
        <w:rPr>
          <w:noProof/>
        </w:rPr>
        <w:pict>
          <v:shape id="Picture 15" o:spid="_x0000_s1036" type="#_x0000_t75" alt="JohnMcKinley" style="position:absolute;left:0;text-align:left;margin-left:-1.4pt;margin-top:21.05pt;width:95.35pt;height:119.5pt;z-index:-251672064;visibility:visible" wrapcoords="-170 0 -170 21464 21600 21464 21600 0 -170 0">
            <v:imagedata r:id="rId31" o:title=""/>
            <w10:wrap type="tight"/>
          </v:shape>
        </w:pict>
      </w:r>
      <w:r>
        <w:rPr>
          <w:b/>
        </w:rPr>
        <w:t>John L. McKinley, Jr.</w:t>
      </w:r>
      <w:r>
        <w:t xml:space="preserve"> is a partner at Mozley, Finlayson &amp; Loggins LLP and defends businesses, including commercial trucking and transportation companies, and insurers against claims involving alleged wrongful death and catastrophic injury.  He also serves as the Chair of GDLA's Trucking Subcommittee.</w:t>
      </w:r>
    </w:p>
    <w:p>
      <w:pPr>
        <w:pBdr>
          <w:top w:val="single" w:sz="4" w:space="1" w:color="auto"/>
          <w:left w:val="single" w:sz="4" w:space="4" w:color="auto"/>
          <w:bottom w:val="single" w:sz="4" w:space="1" w:color="auto"/>
          <w:right w:val="single" w:sz="4" w:space="4" w:color="auto"/>
        </w:pBdr>
        <w:shd w:val="clear" w:color="auto" w:fill="81BAC5"/>
        <w:spacing w:after="0"/>
        <w:jc w:val="both"/>
      </w:pPr>
    </w:p>
    <w:p>
      <w:pPr>
        <w:pBdr>
          <w:top w:val="single" w:sz="4" w:space="1" w:color="auto"/>
          <w:left w:val="single" w:sz="4" w:space="4" w:color="auto"/>
          <w:bottom w:val="single" w:sz="4" w:space="1" w:color="auto"/>
          <w:right w:val="single" w:sz="4" w:space="4" w:color="auto"/>
        </w:pBdr>
        <w:shd w:val="clear" w:color="auto" w:fill="81BAC5"/>
        <w:spacing w:after="0"/>
      </w:pPr>
      <w:r>
        <w:rPr>
          <w:b/>
        </w:rPr>
        <w:t>Bridgette E. Eckerson</w:t>
      </w:r>
      <w:r>
        <w:rPr>
          <w:b/>
          <w:bCs/>
        </w:rPr>
        <w:t xml:space="preserve"> </w:t>
      </w:r>
      <w:r>
        <w:t>is an associate attorney at Mozley, Finlayson &amp; Loggins LLP and defends businesses and insurers against wrongful death and personal injury claims.</w:t>
      </w:r>
    </w:p>
    <w:p>
      <w:pPr>
        <w:spacing w:after="0"/>
        <w:rPr>
          <w:rFonts w:eastAsia="MS Mincho"/>
          <w:sz w:val="21"/>
          <w:szCs w:val="21"/>
          <w:u w:val="single"/>
        </w:rPr>
      </w:pPr>
    </w:p>
    <w:p>
      <w:pPr>
        <w:spacing w:after="0"/>
        <w:rPr>
          <w:rFonts w:eastAsia="MS Mincho"/>
          <w:sz w:val="21"/>
          <w:szCs w:val="21"/>
          <w:u w:val="single"/>
        </w:rPr>
        <w:sectPr>
          <w:footnotePr>
            <w:numRestart w:val="eachSect"/>
          </w:footnotePr>
          <w:endnotePr>
            <w:numFmt w:val="decimal"/>
            <w:numRestart w:val="eachSect"/>
          </w:endnotePr>
          <w:pgSz w:w="12240" w:h="15840"/>
          <w:pgMar w:top="1440" w:right="1440" w:bottom="1440" w:left="1440" w:header="720" w:footer="720" w:gutter="0"/>
          <w:cols w:space="720"/>
          <w:rtlGutter/>
          <w:docGrid w:linePitch="360"/>
        </w:sectPr>
      </w:pPr>
    </w:p>
    <w:p>
      <w:pPr>
        <w:pStyle w:val="BodyTextFirstIndent"/>
        <w:keepNext/>
        <w:keepLines/>
        <w:ind w:left="720" w:hanging="720"/>
        <w:jc w:val="left"/>
        <w:rPr>
          <w:rFonts w:eastAsia="MS Mincho"/>
          <w:b/>
        </w:rPr>
      </w:pPr>
      <w:r>
        <w:rPr>
          <w:rFonts w:eastAsia="MS Mincho"/>
          <w:b/>
        </w:rPr>
        <w:lastRenderedPageBreak/>
        <w:t>I.</w:t>
      </w:r>
      <w:r>
        <w:rPr>
          <w:rFonts w:eastAsia="MS Mincho"/>
          <w:b/>
        </w:rPr>
        <w:tab/>
        <w:t>Compliance with New Hours-of-Service Rules</w:t>
      </w:r>
    </w:p>
    <w:p>
      <w:pPr>
        <w:pStyle w:val="BodyTextFirstIndent"/>
        <w:rPr>
          <w:rFonts w:eastAsia="MS Mincho"/>
        </w:rPr>
      </w:pPr>
      <w:r>
        <w:rPr>
          <w:rFonts w:eastAsia="MS Mincho"/>
        </w:rPr>
        <w:t xml:space="preserve">In 2011, the Federal Motor Carrier Safety </w:t>
      </w:r>
      <w:r>
        <w:t>Administration</w:t>
      </w:r>
      <w:r>
        <w:rPr>
          <w:rFonts w:eastAsia="MS Mincho"/>
        </w:rPr>
        <w:t xml:space="preserve"> (“FMCSA”) promulgated new regulations governing the hours of service of commercial motor vehicle (“CMV”) drivers, requiring full compliance by July 1, 2013.</w:t>
      </w:r>
      <w:r>
        <w:rPr>
          <w:rFonts w:eastAsia="MS Mincho"/>
          <w:vertAlign w:val="superscript"/>
        </w:rPr>
        <w:endnoteReference w:id="117"/>
      </w:r>
      <w:r>
        <w:rPr>
          <w:rFonts w:eastAsia="MS Mincho"/>
        </w:rPr>
        <w:t xml:space="preserve"> The overarching purpose of the new hours-of-service regulations is twofold: (1) to prevent accidents related to driver fatigue, and (2) to protect the long-term health of drivers who may be chronically overworked. The net effect of the new rules is to reduce the total number of hours per day and per week that a driver may be on-duty.</w:t>
      </w:r>
    </w:p>
    <w:p>
      <w:pPr>
        <w:pStyle w:val="BodyTextFirstIndent"/>
      </w:pPr>
      <w:r>
        <w:t xml:space="preserve">In an effort to find evidence that drivers are exceeding their hours of service and are driving while fatigued (and also to set up spoliation claims), </w:t>
      </w:r>
      <w:r>
        <w:lastRenderedPageBreak/>
        <w:t>claimant attorneys routinely send document preservation letters to motor carriers, requesting the preservation of driver logs and other documents reflecting a driver’s hours of service. The recordkeeping requirements for a driver’s record-of-duty status remain the same, and driver logs are the primary method of recording a driver’s hours of service. This article sets forth the primary changes in the Federal Motor Carrier Safety Regulations (“FMCSR”) related to a driver’s hours of service, methods of proving compliance with the same, and the relevance of a driver’s hours of service to civil litigation arising out of a collision.</w:t>
      </w:r>
      <w:bookmarkStart w:id="19" w:name="_Toc384899968"/>
    </w:p>
    <w:p>
      <w:pPr>
        <w:pStyle w:val="BodyTextFirstIndent"/>
        <w:ind w:firstLine="0"/>
        <w:jc w:val="center"/>
        <w:rPr>
          <w:b/>
        </w:rPr>
      </w:pPr>
      <w:r>
        <w:rPr>
          <w:b/>
        </w:rPr>
        <w:t>A.</w:t>
      </w:r>
      <w:r>
        <w:rPr>
          <w:b/>
        </w:rPr>
        <w:tab/>
        <w:t>New Rules v. Old Rules</w:t>
      </w:r>
      <w:bookmarkEnd w:id="19"/>
    </w:p>
    <w:p>
      <w:pPr>
        <w:pStyle w:val="BodyTextFirstIndent"/>
        <w:rPr>
          <w:rFonts w:eastAsia="MS Mincho"/>
        </w:rPr>
      </w:pPr>
      <w:r>
        <w:rPr>
          <w:rFonts w:eastAsia="MS Mincho"/>
        </w:rPr>
        <w:t>It remains the rule that a driver may not operate a CMV beyond the 14</w:t>
      </w:r>
      <w:r>
        <w:rPr>
          <w:rFonts w:eastAsia="MS Mincho"/>
          <w:vertAlign w:val="superscript"/>
        </w:rPr>
        <w:t>th</w:t>
      </w:r>
      <w:r>
        <w:rPr>
          <w:rFonts w:eastAsia="MS Mincho"/>
        </w:rPr>
        <w:t xml:space="preserve"> consecutive hour after coming on-duty after a period of 10 consecutive </w:t>
      </w:r>
      <w:r>
        <w:rPr>
          <w:rFonts w:eastAsia="MS Mincho"/>
        </w:rPr>
        <w:lastRenderedPageBreak/>
        <w:t xml:space="preserve">hours of off-duty and/or </w:t>
      </w:r>
      <w:r>
        <w:t>sleeper</w:t>
      </w:r>
      <w:r>
        <w:rPr>
          <w:rFonts w:eastAsia="MS Mincho"/>
        </w:rPr>
        <w:t>-berth time.</w:t>
      </w:r>
      <w:r>
        <w:rPr>
          <w:rFonts w:eastAsia="MS Mincho"/>
          <w:vertAlign w:val="superscript"/>
        </w:rPr>
        <w:endnoteReference w:id="118"/>
      </w:r>
      <w:r>
        <w:rPr>
          <w:rFonts w:eastAsia="MS Mincho"/>
        </w:rPr>
        <w:t xml:space="preserve"> It also remains the rule that a driver is limited to 11 hours of driving during that 14-hour period.</w:t>
      </w:r>
      <w:r>
        <w:rPr>
          <w:rFonts w:eastAsia="MS Mincho"/>
          <w:vertAlign w:val="superscript"/>
        </w:rPr>
        <w:endnoteReference w:id="119"/>
      </w:r>
      <w:r>
        <w:rPr>
          <w:rFonts w:eastAsia="MS Mincho"/>
        </w:rPr>
        <w:t xml:space="preserve"> The new regulations, however, redefine on-duty time and create more restrictive limitations on restarts and rest breaks. The provisions redefining on-duty time and the penalties for violations became effective on February 27, 2012, and the compliance date for the remaining provisions, including those governing restarts and rest breaks, began July 1, 2013. Consequently, counsel can expect the prior rules to be at issue for collisions occurring prior to the above dates. It is critical that any analysis of these and other regulations be placed in the context of the rules in effect on the date of the accident, and that corporate representatives, drivers, and counsel be fully aware of the applicable regulations during litigation, especially wh</w:t>
      </w:r>
      <w:bookmarkStart w:id="20" w:name="_Toc384899969"/>
      <w:r>
        <w:rPr>
          <w:rFonts w:eastAsia="MS Mincho"/>
        </w:rPr>
        <w:t>en presenting for depositions.</w:t>
      </w:r>
    </w:p>
    <w:p>
      <w:pPr>
        <w:pStyle w:val="BodyTextFirstIndent"/>
        <w:keepNext/>
        <w:ind w:firstLine="0"/>
        <w:jc w:val="center"/>
        <w:rPr>
          <w:b/>
        </w:rPr>
      </w:pPr>
      <w:r>
        <w:rPr>
          <w:b/>
        </w:rPr>
        <w:t>1.</w:t>
      </w:r>
      <w:r>
        <w:rPr>
          <w:b/>
        </w:rPr>
        <w:tab/>
        <w:t>On-Duty Time</w:t>
      </w:r>
      <w:bookmarkEnd w:id="20"/>
    </w:p>
    <w:p>
      <w:pPr>
        <w:pStyle w:val="BodyTextFirstIndent"/>
        <w:rPr>
          <w:rFonts w:eastAsia="MS Mincho"/>
        </w:rPr>
      </w:pPr>
      <w:r>
        <w:rPr>
          <w:rFonts w:eastAsia="MS Mincho"/>
        </w:rPr>
        <w:t>On-duty time is defined as “all time from the time a driver begins to work or is required to be in readiness to work until the time the driver is relieved from work and all responsibility for performing work.”</w:t>
      </w:r>
      <w:r>
        <w:rPr>
          <w:rFonts w:eastAsia="MS Mincho"/>
          <w:vertAlign w:val="superscript"/>
        </w:rPr>
        <w:endnoteReference w:id="120"/>
      </w:r>
      <w:r>
        <w:rPr>
          <w:rFonts w:eastAsia="MS Mincho"/>
        </w:rPr>
        <w:t xml:space="preserve"> Previously, the rules required a driver to count </w:t>
      </w:r>
      <w:r>
        <w:rPr>
          <w:rFonts w:eastAsia="MS Mincho"/>
          <w:i/>
        </w:rPr>
        <w:t>any</w:t>
      </w:r>
      <w:r>
        <w:rPr>
          <w:rFonts w:eastAsia="MS Mincho"/>
        </w:rPr>
        <w:t xml:space="preserve"> time spent in a CMV, except any time in the sleeper berth, as on-duty time. This included time in a parked CMV and time in the passenger seat when traveling as a co-driver. </w:t>
      </w:r>
      <w:r>
        <w:t>Consequently</w:t>
      </w:r>
      <w:r>
        <w:rPr>
          <w:rFonts w:eastAsia="MS Mincho"/>
        </w:rPr>
        <w:t xml:space="preserve">, a driver could not count any of that time toward his rest breaks. The new rule, by contrast, does </w:t>
      </w:r>
      <w:r>
        <w:rPr>
          <w:rFonts w:eastAsia="MS Mincho"/>
          <w:i/>
        </w:rPr>
        <w:t>not</w:t>
      </w:r>
      <w:r>
        <w:rPr>
          <w:rFonts w:eastAsia="MS Mincho"/>
        </w:rPr>
        <w:t xml:space="preserve"> permit a driver to count any time resting in a parked vehicle </w:t>
      </w:r>
      <w:r>
        <w:rPr>
          <w:rFonts w:eastAsia="MS Mincho"/>
        </w:rPr>
        <w:lastRenderedPageBreak/>
        <w:t>toward on-duty time.</w:t>
      </w:r>
      <w:r>
        <w:rPr>
          <w:rFonts w:eastAsia="MS Mincho"/>
          <w:vertAlign w:val="superscript"/>
        </w:rPr>
        <w:endnoteReference w:id="121"/>
      </w:r>
      <w:r>
        <w:rPr>
          <w:rFonts w:eastAsia="MS Mincho"/>
        </w:rPr>
        <w:t xml:space="preserve"> Otherwise, a driver may have no choice but to spend time out of the CMV when taking a required break, even if it is not feasible or safe to do so. This time is now considered off-duty and may be counted toward the required rest breaks. In addition to allowing time spent resting in a parked vehicle to be considered off-duty, the rules now allow a driver to count up to two hours in the passenger seat of a moving CMV as off-duty if that time immediately precedes and/or follows eight consecutive hours in the sleeper berth.</w:t>
      </w:r>
      <w:r>
        <w:rPr>
          <w:rFonts w:eastAsia="MS Mincho"/>
          <w:vertAlign w:val="superscript"/>
        </w:rPr>
        <w:endnoteReference w:id="122"/>
      </w:r>
      <w:r>
        <w:rPr>
          <w:rFonts w:eastAsia="MS Mincho"/>
        </w:rPr>
        <w:t xml:space="preserve"> Otherwise, a co-driver would be required to spend the entire ten-hour off-duty period in the sleeper berth. Any time in the passenger seat over that two-hour period is considered on-duty/not driving time. </w:t>
      </w:r>
      <w:bookmarkStart w:id="21" w:name="_Toc384899970"/>
    </w:p>
    <w:p>
      <w:pPr>
        <w:pStyle w:val="BodyTextFirstIndent"/>
        <w:keepNext/>
        <w:ind w:firstLine="0"/>
        <w:jc w:val="center"/>
        <w:rPr>
          <w:b/>
        </w:rPr>
      </w:pPr>
      <w:r>
        <w:rPr>
          <w:b/>
        </w:rPr>
        <w:t>2.</w:t>
      </w:r>
      <w:r>
        <w:rPr>
          <w:b/>
        </w:rPr>
        <w:tab/>
        <w:t>Restarts</w:t>
      </w:r>
      <w:bookmarkEnd w:id="21"/>
    </w:p>
    <w:p>
      <w:pPr>
        <w:pStyle w:val="BodyTextFirstIndent"/>
        <w:rPr>
          <w:rFonts w:eastAsia="MS Mincho"/>
        </w:rPr>
      </w:pPr>
      <w:r>
        <w:rPr>
          <w:rFonts w:eastAsia="MS Mincho"/>
        </w:rPr>
        <w:t>Under the new rules, a driver must be off-duty for a period of thirty-four consecutive hours before beginning a new period for purposes of calculating on-duty time (</w:t>
      </w:r>
      <w:r>
        <w:t>commonly</w:t>
      </w:r>
      <w:r>
        <w:rPr>
          <w:rFonts w:eastAsia="MS Mincho"/>
        </w:rPr>
        <w:t xml:space="preserve"> known as a thirty-four-hour “restart”).</w:t>
      </w:r>
      <w:r>
        <w:rPr>
          <w:rFonts w:eastAsia="MS Mincho"/>
          <w:vertAlign w:val="superscript"/>
        </w:rPr>
        <w:endnoteReference w:id="123"/>
      </w:r>
      <w:r>
        <w:rPr>
          <w:rFonts w:eastAsia="MS Mincho"/>
        </w:rPr>
        <w:t xml:space="preserve"> The new rules limit 34-hour restarts to once per week or once per every 168 hours. For motor carriers that do not operate CMVs every day of the week, a driver is limited to an average of sixty hours of driving time in seven consecutive days.</w:t>
      </w:r>
      <w:r>
        <w:rPr>
          <w:rFonts w:eastAsia="MS Mincho"/>
          <w:vertAlign w:val="superscript"/>
        </w:rPr>
        <w:endnoteReference w:id="124"/>
      </w:r>
      <w:r>
        <w:rPr>
          <w:rFonts w:eastAsia="MS Mincho"/>
        </w:rPr>
        <w:t xml:space="preserve"> For motor carriers that do operate CMVs every day of the week, a driver is limited to an average of seventy hours of driving time in eight consecutive days.</w:t>
      </w:r>
      <w:r>
        <w:rPr>
          <w:rFonts w:eastAsia="MS Mincho"/>
          <w:vertAlign w:val="superscript"/>
        </w:rPr>
        <w:endnoteReference w:id="125"/>
      </w:r>
      <w:r>
        <w:rPr>
          <w:rFonts w:eastAsia="MS Mincho"/>
        </w:rPr>
        <w:t xml:space="preserve"> Previously, a driver could conceivably take two thirty-four-hour restarts in a week, and therefore average eighty-two hours of driving </w:t>
      </w:r>
      <w:r>
        <w:rPr>
          <w:rFonts w:eastAsia="MS Mincho"/>
        </w:rPr>
        <w:lastRenderedPageBreak/>
        <w:t xml:space="preserve">time per week, potentially resulting in overwork and fatigue. </w:t>
      </w:r>
    </w:p>
    <w:p>
      <w:pPr>
        <w:pStyle w:val="BodyTextFirstIndent"/>
        <w:rPr>
          <w:rFonts w:eastAsia="MS Mincho"/>
        </w:rPr>
      </w:pPr>
      <w:r>
        <w:rPr>
          <w:rFonts w:eastAsia="MS Mincho"/>
        </w:rPr>
        <w:t xml:space="preserve">In addition, a thirty-four-hour restart must </w:t>
      </w:r>
      <w:r>
        <w:t>include</w:t>
      </w:r>
      <w:r>
        <w:rPr>
          <w:rFonts w:eastAsia="MS Mincho"/>
        </w:rPr>
        <w:t xml:space="preserve"> at least two periods between 1:00 a.m. and 5:00 a.m.</w:t>
      </w:r>
      <w:r>
        <w:rPr>
          <w:rFonts w:eastAsia="MS Mincho"/>
          <w:vertAlign w:val="superscript"/>
        </w:rPr>
        <w:endnoteReference w:id="126"/>
      </w:r>
      <w:r>
        <w:rPr>
          <w:rFonts w:eastAsia="MS Mincho"/>
        </w:rPr>
        <w:t xml:space="preserve"> Again, this provision is intended to prevent driver fatigue by forcing the thirty-four-hour restart period to encompass at least two full nights.</w:t>
      </w:r>
      <w:bookmarkStart w:id="22" w:name="_Toc384899971"/>
    </w:p>
    <w:p>
      <w:pPr>
        <w:pStyle w:val="BodyTextFirstIndent"/>
        <w:ind w:firstLine="0"/>
        <w:jc w:val="center"/>
        <w:rPr>
          <w:b/>
        </w:rPr>
      </w:pPr>
      <w:r>
        <w:rPr>
          <w:b/>
        </w:rPr>
        <w:t>3.</w:t>
      </w:r>
      <w:r>
        <w:rPr>
          <w:b/>
        </w:rPr>
        <w:tab/>
        <w:t>Rest Breaks</w:t>
      </w:r>
      <w:bookmarkEnd w:id="22"/>
    </w:p>
    <w:p>
      <w:pPr>
        <w:pStyle w:val="BodyTextFirstIndent"/>
        <w:rPr>
          <w:rFonts w:eastAsia="MS Mincho"/>
        </w:rPr>
      </w:pPr>
      <w:r>
        <w:rPr>
          <w:rFonts w:eastAsia="MS Mincho"/>
        </w:rPr>
        <w:t xml:space="preserve">To further prevent driver fatigue, the new rules now require drivers to take at least one </w:t>
      </w:r>
      <w:r>
        <w:t>off</w:t>
      </w:r>
      <w:r>
        <w:rPr>
          <w:rFonts w:eastAsia="MS Mincho"/>
        </w:rPr>
        <w:t>-duty or sleeper-berth break of thirty minutes or more after on-duty time of up to eight consecutive hours.</w:t>
      </w:r>
      <w:r>
        <w:rPr>
          <w:rFonts w:eastAsia="MS Mincho"/>
          <w:vertAlign w:val="superscript"/>
        </w:rPr>
        <w:endnoteReference w:id="127"/>
      </w:r>
      <w:r>
        <w:rPr>
          <w:rFonts w:eastAsia="MS Mincho"/>
        </w:rPr>
        <w:t xml:space="preserve"> This eight-hour period is not simply driving time; it encompasses all on-duty time, which may include such non-driving activities as attending, loading, unloading, or servicing the CMV, or simply waiting to be dispatched.</w:t>
      </w:r>
      <w:r>
        <w:rPr>
          <w:rFonts w:eastAsia="MS Mincho"/>
          <w:vertAlign w:val="superscript"/>
        </w:rPr>
        <w:endnoteReference w:id="128"/>
      </w:r>
      <w:r>
        <w:rPr>
          <w:rFonts w:eastAsia="MS Mincho"/>
        </w:rPr>
        <w:t xml:space="preserve"> The new rule does not require a driver to “rest” during the thirty-minute break; the driver simply cannot be performing any activity that would be encompassed within the definition of on-duty time. Meal breaks are included as well as off-duty or sleeper-berth time. One notable exception to this rule applies to drivers who are required to attend the CMV at all times, so long as that is the only activity they perform.</w:t>
      </w:r>
      <w:r>
        <w:rPr>
          <w:rFonts w:eastAsia="MS Mincho"/>
          <w:vertAlign w:val="superscript"/>
        </w:rPr>
        <w:endnoteReference w:id="129"/>
      </w:r>
      <w:bookmarkStart w:id="23" w:name="_Toc384899972"/>
    </w:p>
    <w:p>
      <w:pPr>
        <w:pStyle w:val="BodyTextFirstIndent"/>
        <w:ind w:firstLine="0"/>
        <w:jc w:val="center"/>
        <w:rPr>
          <w:b/>
        </w:rPr>
      </w:pPr>
      <w:r>
        <w:rPr>
          <w:b/>
        </w:rPr>
        <w:t>4.</w:t>
      </w:r>
      <w:r>
        <w:rPr>
          <w:b/>
        </w:rPr>
        <w:tab/>
        <w:t>Penalties</w:t>
      </w:r>
      <w:bookmarkEnd w:id="23"/>
    </w:p>
    <w:p>
      <w:pPr>
        <w:pStyle w:val="BodyTextFirstIndent"/>
        <w:rPr>
          <w:rFonts w:eastAsia="MS Mincho"/>
        </w:rPr>
      </w:pPr>
      <w:r>
        <w:rPr>
          <w:rFonts w:eastAsia="MS Mincho"/>
        </w:rPr>
        <w:t xml:space="preserve">Motor carriers may be subject to the maximum penalties if drivers exceed the allowed eleven hours of driving time by a mere three hours. Exceeding this limit by only three hours may be considered an </w:t>
      </w:r>
      <w:r>
        <w:rPr>
          <w:rFonts w:eastAsia="MS Mincho"/>
        </w:rPr>
        <w:lastRenderedPageBreak/>
        <w:t xml:space="preserve">“egregious” violation. A motor carrier that violates the hours-of-service </w:t>
      </w:r>
      <w:r>
        <w:t>requirements</w:t>
      </w:r>
      <w:r>
        <w:rPr>
          <w:rFonts w:eastAsia="MS Mincho"/>
        </w:rPr>
        <w:t xml:space="preserve"> may be subject to a civil penalty of not more than $10,000 for </w:t>
      </w:r>
      <w:r>
        <w:t>each</w:t>
      </w:r>
      <w:r>
        <w:rPr>
          <w:rFonts w:eastAsia="MS Mincho"/>
        </w:rPr>
        <w:t xml:space="preserve"> offense, and an individual employee of a motor carrier may be subject to a civil penalty of not more than $2,500 for each offense.</w:t>
      </w:r>
      <w:r>
        <w:rPr>
          <w:rFonts w:eastAsia="MS Mincho"/>
          <w:vertAlign w:val="superscript"/>
        </w:rPr>
        <w:endnoteReference w:id="130"/>
      </w:r>
      <w:r>
        <w:rPr>
          <w:rFonts w:eastAsia="MS Mincho"/>
        </w:rPr>
        <w:t xml:space="preserve"> The Secretary of Transportation may also order a vehicle or a motor carrier’s employee out of service or order a motor carrier to cease all commercial motor vehicle operations, if it makes a finding that any violation poses an “imminent hazard to safety.”</w:t>
      </w:r>
      <w:r>
        <w:rPr>
          <w:rFonts w:eastAsia="MS Mincho"/>
          <w:vertAlign w:val="superscript"/>
        </w:rPr>
        <w:endnoteReference w:id="131"/>
      </w:r>
      <w:r>
        <w:rPr>
          <w:rFonts w:eastAsia="MS Mincho"/>
        </w:rPr>
        <w:t xml:space="preserve"> An out-of-service order must be narrowly tailored to abate the violation, and must be supported by a finding that the individual, vehicle, or motor carrier poses an imminent hazard.</w:t>
      </w:r>
      <w:r>
        <w:rPr>
          <w:rFonts w:eastAsia="MS Mincho"/>
          <w:vertAlign w:val="superscript"/>
        </w:rPr>
        <w:endnoteReference w:id="132"/>
      </w:r>
      <w:r>
        <w:rPr>
          <w:rFonts w:eastAsia="MS Mincho"/>
        </w:rPr>
        <w:t xml:space="preserve"> A motor carrier may also be subject to criminal penalties for such violations, and for each offense, the penalty may not exceed $25,000 or imprisonment for a term not to exceed one year, or both.</w:t>
      </w:r>
      <w:r>
        <w:rPr>
          <w:rFonts w:eastAsia="MS Mincho"/>
          <w:vertAlign w:val="superscript"/>
        </w:rPr>
        <w:endnoteReference w:id="133"/>
      </w:r>
      <w:r>
        <w:rPr>
          <w:rFonts w:eastAsia="MS Mincho"/>
        </w:rPr>
        <w:t xml:space="preserve"> Individual employees are subject to a fine not to exceed $2,500 only if their activities while operating a CMV “have led or could have led to death or serious injury.”</w:t>
      </w:r>
      <w:r>
        <w:rPr>
          <w:rFonts w:eastAsia="MS Mincho"/>
          <w:vertAlign w:val="superscript"/>
        </w:rPr>
        <w:endnoteReference w:id="134"/>
      </w:r>
      <w:bookmarkStart w:id="24" w:name="_Toc384899973"/>
    </w:p>
    <w:p>
      <w:pPr>
        <w:pStyle w:val="BodyTextFirstIndent"/>
        <w:keepNext/>
        <w:keepLines/>
        <w:ind w:firstLine="0"/>
        <w:jc w:val="center"/>
        <w:rPr>
          <w:b/>
        </w:rPr>
      </w:pPr>
      <w:r>
        <w:rPr>
          <w:b/>
        </w:rPr>
        <w:t>B.</w:t>
      </w:r>
      <w:r>
        <w:rPr>
          <w:b/>
        </w:rPr>
        <w:tab/>
        <w:t>Methods for Proving Compliance with Hours-of-Service Rules</w:t>
      </w:r>
      <w:bookmarkEnd w:id="24"/>
    </w:p>
    <w:p>
      <w:pPr>
        <w:pStyle w:val="BodyTextFirstIndent"/>
        <w:rPr>
          <w:rFonts w:eastAsia="MS Mincho"/>
        </w:rPr>
      </w:pPr>
      <w:r>
        <w:rPr>
          <w:rFonts w:eastAsia="MS Mincho"/>
        </w:rPr>
        <w:t xml:space="preserve">In addition to driver logs, a motor carrier may have other documents available to prove that its driver complied with the hours-of-service requirements. Drivers often physically or electronically punch time cards as they arrive to and from work or as they exit and enter a distribution facility. Trip reports or bills of lading may reflect the time a driver picks up a load, starts driving, or arrives at his </w:t>
      </w:r>
      <w:r>
        <w:rPr>
          <w:rFonts w:eastAsia="MS Mincho"/>
        </w:rPr>
        <w:lastRenderedPageBreak/>
        <w:t>destination. Automatic on-board recording devices are an alternative method for recording a driver’s hours of service.</w:t>
      </w:r>
      <w:r>
        <w:rPr>
          <w:rFonts w:eastAsia="MS Mincho"/>
          <w:vertAlign w:val="superscript"/>
        </w:rPr>
        <w:endnoteReference w:id="135"/>
      </w:r>
      <w:r>
        <w:rPr>
          <w:rFonts w:eastAsia="MS Mincho"/>
        </w:rPr>
        <w:t xml:space="preserve"> GPS may provide coordinates to track a CMV’s location at certain times, providing information about the movement of a particular CMV. Payroll records may also reflect a driver’s hours of service, depending on how that driver is paid. Fuel receipts, hotel bills, toll tickets, or other </w:t>
      </w:r>
      <w:r>
        <w:t>records</w:t>
      </w:r>
      <w:r>
        <w:rPr>
          <w:rFonts w:eastAsia="MS Mincho"/>
        </w:rPr>
        <w:t xml:space="preserve"> of expenses may also allow a motor carrier or its counsel to reconstruct a timeline for a driver’s trip.  These methods may be inexact and are not a perfect substitute for a properly completed driver log, but they may provide enough of an estimate of a driver’s hours of service to demonstrate that a driver was in compliance with the FMCSR and thereby rebut any inference that he was fatigue</w:t>
      </w:r>
      <w:bookmarkStart w:id="25" w:name="_Toc384899974"/>
      <w:r>
        <w:rPr>
          <w:rFonts w:eastAsia="MS Mincho"/>
        </w:rPr>
        <w:t>d at the time of the collision.</w:t>
      </w:r>
    </w:p>
    <w:p>
      <w:pPr>
        <w:pStyle w:val="BodyTextFirstIndent"/>
        <w:ind w:left="720" w:hanging="720"/>
        <w:jc w:val="left"/>
        <w:rPr>
          <w:b/>
        </w:rPr>
      </w:pPr>
      <w:r>
        <w:rPr>
          <w:b/>
        </w:rPr>
        <w:t>II.</w:t>
      </w:r>
      <w:r>
        <w:rPr>
          <w:b/>
        </w:rPr>
        <w:tab/>
        <w:t>Importance for Civil Litigatio</w:t>
      </w:r>
      <w:bookmarkStart w:id="26" w:name="_Toc384899975"/>
      <w:bookmarkEnd w:id="25"/>
      <w:r>
        <w:rPr>
          <w:b/>
        </w:rPr>
        <w:t>n</w:t>
      </w:r>
    </w:p>
    <w:p>
      <w:pPr>
        <w:pStyle w:val="BodyTextFirstIndent"/>
        <w:ind w:firstLine="0"/>
        <w:jc w:val="center"/>
        <w:rPr>
          <w:b/>
        </w:rPr>
      </w:pPr>
      <w:r>
        <w:rPr>
          <w:b/>
        </w:rPr>
        <w:t>A.</w:t>
      </w:r>
      <w:r>
        <w:rPr>
          <w:b/>
        </w:rPr>
        <w:tab/>
        <w:t>Spoliation Letter</w:t>
      </w:r>
      <w:bookmarkEnd w:id="26"/>
    </w:p>
    <w:p>
      <w:pPr>
        <w:pStyle w:val="BodyTextFirstIndent"/>
        <w:rPr>
          <w:rFonts w:eastAsia="MS Mincho"/>
        </w:rPr>
      </w:pPr>
      <w:r>
        <w:rPr>
          <w:rFonts w:eastAsia="MS Mincho"/>
        </w:rPr>
        <w:t xml:space="preserve">With increasing frequency, shortly after many </w:t>
      </w:r>
      <w:r>
        <w:t>collisions</w:t>
      </w:r>
      <w:r>
        <w:rPr>
          <w:rFonts w:eastAsia="MS Mincho"/>
        </w:rPr>
        <w:t xml:space="preserve">, claimant attorneys are serving onerous document-preservation letters on motor carriers, requesting the pre-suit preservation of broad categories of documents. Some of the documents that claimants are requesting are typical: the driver qualification file, daily vehicle inspection reports, driver logs and other documents reflecting a driver’s hours of service, maintenance and repair records for the subject CMV, documents related to the subject collision, and documents regarding any driver discipline. In some </w:t>
      </w:r>
      <w:r>
        <w:rPr>
          <w:rFonts w:eastAsia="MS Mincho"/>
        </w:rPr>
        <w:lastRenderedPageBreak/>
        <w:t xml:space="preserve">instances, however, claimant attorneys are requesting months’ and years’ worth of documents within each category, requests which are clearly overly broad in time and scope and which would elicit appropriate objections during formal discovery. In addition, most of these letters will request that a motor carrier preserve, sometimes indefinitely, the tractor and/or trailer involved in the collision, which can truly be a burden if a motor carrier has limited equipment available for use. </w:t>
      </w:r>
    </w:p>
    <w:p>
      <w:pPr>
        <w:pStyle w:val="BodyTextFirstIndent"/>
        <w:rPr>
          <w:rFonts w:eastAsia="MS Mincho"/>
        </w:rPr>
      </w:pPr>
      <w:r>
        <w:rPr>
          <w:rFonts w:eastAsia="MS Mincho"/>
        </w:rPr>
        <w:t xml:space="preserve">During the discovery period once suit has been filed, a motor carrier would have the benefit of various objections and motions practice to refine the permissible and appropriate areas of inquiry as applied to that particular case and would also have the benefit of a neutral judge to weigh the relative merits of each side’s position. Many of these requests would be objectionable as privileged under the work-product doctrine, irrelevant to the subject incident, overly broad, or unduly </w:t>
      </w:r>
      <w:r>
        <w:t>burdensome</w:t>
      </w:r>
      <w:r>
        <w:rPr>
          <w:rFonts w:eastAsia="MS Mincho"/>
        </w:rPr>
        <w:t>. Pre-suit, however, a prudent motor carrier has little choice but to err on the side of caution and preserve a fairly broad spectrum of the requested documents, regardless of relevance and regardless of the burden it must shoulder to undertake such document preservation. The prospect of sanctions for spoliation during the ensuing litigation is too great.</w:t>
      </w:r>
      <w:r>
        <w:rPr>
          <w:rFonts w:eastAsia="MS Mincho"/>
          <w:vertAlign w:val="superscript"/>
        </w:rPr>
        <w:endnoteReference w:id="136"/>
      </w:r>
    </w:p>
    <w:p>
      <w:pPr>
        <w:pStyle w:val="BodyTextFirstIndent"/>
        <w:rPr>
          <w:rFonts w:eastAsia="MS Mincho"/>
        </w:rPr>
      </w:pPr>
      <w:r>
        <w:rPr>
          <w:rFonts w:eastAsia="MS Mincho"/>
        </w:rPr>
        <w:t xml:space="preserve">Pursuant to the document retention requirements of the FMCSR, motor carriers would be permitted to purge many of these documents in the normal course of business. With respect to driver logs specifically, the </w:t>
      </w:r>
      <w:r>
        <w:rPr>
          <w:rFonts w:eastAsia="MS Mincho"/>
        </w:rPr>
        <w:lastRenderedPageBreak/>
        <w:t xml:space="preserve">FMCSR requires that “[e]ach motor carrier shall maintain records of duty status </w:t>
      </w:r>
      <w:r>
        <w:rPr>
          <w:rFonts w:eastAsia="MS Mincho"/>
          <w:i/>
        </w:rPr>
        <w:t>and all supporting documents</w:t>
      </w:r>
      <w:r>
        <w:rPr>
          <w:rFonts w:eastAsia="MS Mincho"/>
        </w:rPr>
        <w:t xml:space="preserve"> for each driver it employs for a period of six months from the date of receipt.”</w:t>
      </w:r>
      <w:r>
        <w:rPr>
          <w:rFonts w:eastAsia="MS Mincho"/>
          <w:vertAlign w:val="superscript"/>
        </w:rPr>
        <w:endnoteReference w:id="137"/>
      </w:r>
      <w:r>
        <w:rPr>
          <w:rFonts w:eastAsia="MS Mincho"/>
        </w:rPr>
        <w:t xml:space="preserve"> Document-preservation letters, however, are efforts to effectively rewrite the FMCSR document-retention requirements and impose substantial burdens on motor carriers in the process. By imposing the burden of preservation of voluminous documents, many of which would have no bearing on the collision at issue, while threatening serious spoliation sanctions, these document-preservation letters place motor carriers between a rock and a hard place, and are setting them up for potential spoliation arguments if they do not </w:t>
      </w:r>
      <w:bookmarkStart w:id="27" w:name="_Toc384899976"/>
      <w:r>
        <w:rPr>
          <w:rFonts w:eastAsia="MS Mincho"/>
        </w:rPr>
        <w:t xml:space="preserve">comply with the requests. </w:t>
      </w:r>
    </w:p>
    <w:p>
      <w:pPr>
        <w:pStyle w:val="BodyTextFirstIndent"/>
        <w:ind w:firstLine="0"/>
        <w:jc w:val="center"/>
        <w:rPr>
          <w:rFonts w:eastAsia="MS Mincho"/>
          <w:b/>
        </w:rPr>
      </w:pPr>
      <w:r>
        <w:rPr>
          <w:b/>
        </w:rPr>
        <w:t>B.</w:t>
      </w:r>
      <w:r>
        <w:rPr>
          <w:b/>
        </w:rPr>
        <w:tab/>
        <w:t>Causation</w:t>
      </w:r>
      <w:bookmarkEnd w:id="27"/>
    </w:p>
    <w:p>
      <w:pPr>
        <w:pStyle w:val="BodyTextFirstIndent"/>
        <w:rPr>
          <w:rFonts w:eastAsia="MS Mincho"/>
        </w:rPr>
      </w:pPr>
      <w:r>
        <w:rPr>
          <w:rFonts w:eastAsia="MS Mincho"/>
        </w:rPr>
        <w:t>Plaintiffs are requesting hours-of-service documents in part to attempt to set up a claim for punitive damages directly against the motor carrier. They may attempt to demonstrate a driver’s or motor carrier’s willful and wanton disregard for the safety of others by showing that a driver is chronically fatigued or repeatedly exceeding his hours of service. In order to prevail on a claim for punitive damages, plaintiffs must show that motor carriers and drivers have a “pattern or policy” of hours-of-service violations.</w:t>
      </w:r>
      <w:r>
        <w:rPr>
          <w:rFonts w:eastAsia="MS Mincho"/>
          <w:vertAlign w:val="superscript"/>
        </w:rPr>
        <w:endnoteReference w:id="138"/>
      </w:r>
      <w:r>
        <w:rPr>
          <w:rFonts w:eastAsia="MS Mincho"/>
        </w:rPr>
        <w:t xml:space="preserve"> In addition, in order to </w:t>
      </w:r>
      <w:r>
        <w:t>prevail</w:t>
      </w:r>
      <w:r>
        <w:rPr>
          <w:rFonts w:eastAsia="MS Mincho"/>
        </w:rPr>
        <w:t xml:space="preserve"> on a claim for punitive damages against a motor carrier for the negligent entrustment and supervision of a driver, plaintiffs must show not only that the driver had a tendency to drive while fatigued, but also that the motor carrier was aware </w:t>
      </w:r>
      <w:r>
        <w:rPr>
          <w:rFonts w:eastAsia="MS Mincho"/>
        </w:rPr>
        <w:lastRenderedPageBreak/>
        <w:t>of this tendency.</w:t>
      </w:r>
      <w:r>
        <w:rPr>
          <w:rFonts w:eastAsia="MS Mincho"/>
          <w:vertAlign w:val="superscript"/>
        </w:rPr>
        <w:endnoteReference w:id="139"/>
      </w:r>
      <w:r>
        <w:rPr>
          <w:rFonts w:eastAsia="MS Mincho"/>
        </w:rPr>
        <w:t xml:space="preserve"> The mere fact of an isolated hours-of-service violation at the time of the collision will not entitle a plaintiff to an inference of driver fatigue, nor is it alone sufficient to demonstrate a pattern or policy of such violations.</w:t>
      </w:r>
      <w:r>
        <w:rPr>
          <w:rFonts w:eastAsia="MS Mincho"/>
          <w:vertAlign w:val="superscript"/>
        </w:rPr>
        <w:endnoteReference w:id="140"/>
      </w:r>
    </w:p>
    <w:p>
      <w:pPr>
        <w:pStyle w:val="BodyTextFirstIndent"/>
        <w:rPr>
          <w:rFonts w:eastAsia="MS Mincho"/>
        </w:rPr>
      </w:pPr>
      <w:r>
        <w:rPr>
          <w:rFonts w:eastAsia="MS Mincho"/>
        </w:rPr>
        <w:t xml:space="preserve">Repeated violations of hours-of-service requirements, however, coupled with destruction of the documents that evidence a driver’s hours of service, even when such destruction is permitted by the applicable regulations, may support an award of punitive damages. In </w:t>
      </w:r>
      <w:r>
        <w:rPr>
          <w:rFonts w:eastAsia="MS Mincho"/>
          <w:i/>
        </w:rPr>
        <w:t>J.B. Hunt Transp. v. Bentley</w:t>
      </w:r>
      <w:r>
        <w:rPr>
          <w:rFonts w:eastAsia="MS Mincho"/>
        </w:rPr>
        <w:t>, the defendant driver continuously weaved in traffic in a construction zone for ten to twenty miles and failed to apply his brakes prior to colliding with a vehicle parked on the side of the roadway.</w:t>
      </w:r>
      <w:r>
        <w:rPr>
          <w:rFonts w:eastAsia="MS Mincho"/>
          <w:vertAlign w:val="superscript"/>
        </w:rPr>
        <w:endnoteReference w:id="141"/>
      </w:r>
      <w:r>
        <w:rPr>
          <w:rFonts w:eastAsia="MS Mincho"/>
        </w:rPr>
        <w:t xml:space="preserve"> The court upheld a jury verdict awarding the plaintiff punitive damages in part because of J.B. Hunt’s evidentiary problems related to retention of driver logs and in part because of evidence that J.B. Hunt’s drivers habitually violated the hours-of-service requirements of the Georgia Public Service Commission.</w:t>
      </w:r>
      <w:r>
        <w:rPr>
          <w:rFonts w:eastAsia="MS Mincho"/>
          <w:vertAlign w:val="superscript"/>
        </w:rPr>
        <w:endnoteReference w:id="142"/>
      </w:r>
      <w:r>
        <w:rPr>
          <w:rFonts w:eastAsia="MS Mincho"/>
        </w:rPr>
        <w:t xml:space="preserve"> J.B. Hunt had taken advantage of the rule allowing the destruction of the defendant driver’s driver logs after six months, in the normal course of business.</w:t>
      </w:r>
      <w:r>
        <w:rPr>
          <w:rFonts w:eastAsia="MS Mincho"/>
          <w:vertAlign w:val="superscript"/>
        </w:rPr>
        <w:endnoteReference w:id="143"/>
      </w:r>
      <w:r>
        <w:rPr>
          <w:rFonts w:eastAsia="MS Mincho"/>
        </w:rPr>
        <w:t xml:space="preserve"> Within that six months, however, J.B. Hunt had also undertaken an investigation of the plaintiffs “in anticipation of litigation.”</w:t>
      </w:r>
      <w:r>
        <w:rPr>
          <w:rFonts w:eastAsia="MS Mincho"/>
          <w:vertAlign w:val="superscript"/>
        </w:rPr>
        <w:endnoteReference w:id="144"/>
      </w:r>
      <w:r>
        <w:rPr>
          <w:rFonts w:eastAsia="MS Mincho"/>
        </w:rPr>
        <w:t xml:space="preserve"> J.B. Hunt also operated a “forced </w:t>
      </w:r>
      <w:r>
        <w:t>dispatch</w:t>
      </w:r>
      <w:r>
        <w:rPr>
          <w:rFonts w:eastAsia="MS Mincho"/>
        </w:rPr>
        <w:t>” system, whereby drivers could lose their jobs if they refused to drive, and nearly one-third of its drivers were penalized for driving in excess of the hours-of-</w:t>
      </w:r>
      <w:r>
        <w:rPr>
          <w:rFonts w:eastAsia="MS Mincho"/>
        </w:rPr>
        <w:lastRenderedPageBreak/>
        <w:t>service requirements. Given J.B. Hunt’s history of habitual violations, and given that J.B. Hunt destroyed the defendant driver’s driver logs from the date of the incident despite itself preparing for litigation, the court found that it was reasonable to presume that fatigue was either a contributing factor or a cause of the collision.</w:t>
      </w:r>
      <w:r>
        <w:rPr>
          <w:rFonts w:eastAsia="MS Mincho"/>
          <w:vertAlign w:val="superscript"/>
        </w:rPr>
        <w:endnoteReference w:id="145"/>
      </w:r>
      <w:r>
        <w:rPr>
          <w:rFonts w:eastAsia="MS Mincho"/>
        </w:rPr>
        <w:t xml:space="preserve"> </w:t>
      </w:r>
    </w:p>
    <w:p>
      <w:pPr>
        <w:pStyle w:val="BodyTextFirstIndent"/>
        <w:rPr>
          <w:rFonts w:eastAsia="MS Mincho"/>
        </w:rPr>
      </w:pPr>
      <w:r>
        <w:rPr>
          <w:rFonts w:eastAsia="MS Mincho"/>
        </w:rPr>
        <w:t>If driver fatigue or hours-of-service violations are not the cause of the collision, however, then documentation reflecting a driver’s hours of service become largely irrelevant. Causation remains an essential element, and a court may not infer causation; rather, a plaintiff must set forth evidence to prove it.</w:t>
      </w:r>
      <w:r>
        <w:rPr>
          <w:rFonts w:eastAsia="MS Mincho"/>
          <w:vertAlign w:val="superscript"/>
        </w:rPr>
        <w:endnoteReference w:id="146"/>
      </w:r>
      <w:r>
        <w:rPr>
          <w:rFonts w:eastAsia="MS Mincho"/>
        </w:rPr>
        <w:t xml:space="preserve"> A plaintiff must connect driver fatigue to any alleged hours-of-service violations, and those violations must also connect with evidence of the cause of the collision.</w:t>
      </w:r>
      <w:r>
        <w:rPr>
          <w:rFonts w:eastAsia="MS Mincho"/>
          <w:vertAlign w:val="superscript"/>
        </w:rPr>
        <w:endnoteReference w:id="147"/>
      </w:r>
      <w:r>
        <w:rPr>
          <w:rFonts w:eastAsia="MS Mincho"/>
        </w:rPr>
        <w:t xml:space="preserve"> In </w:t>
      </w:r>
      <w:r>
        <w:rPr>
          <w:rFonts w:eastAsia="MS Mincho"/>
          <w:i/>
        </w:rPr>
        <w:t>Bennett v. McGriff Transp., Inc.</w:t>
      </w:r>
      <w:r>
        <w:rPr>
          <w:rFonts w:eastAsia="MS Mincho"/>
        </w:rPr>
        <w:t xml:space="preserve">, the plaintiffs sought to amend their complaint shortly before the end of the discovery period to add a claim for punitive damages based solely on </w:t>
      </w:r>
      <w:r>
        <w:t>the</w:t>
      </w:r>
      <w:r>
        <w:rPr>
          <w:rFonts w:eastAsia="MS Mincho"/>
        </w:rPr>
        <w:t xml:space="preserve"> driver’s alleged violation of the hours-of-service requirements.</w:t>
      </w:r>
      <w:r>
        <w:rPr>
          <w:rFonts w:eastAsia="MS Mincho"/>
          <w:vertAlign w:val="superscript"/>
        </w:rPr>
        <w:endnoteReference w:id="148"/>
      </w:r>
      <w:r>
        <w:rPr>
          <w:rFonts w:eastAsia="MS Mincho"/>
        </w:rPr>
        <w:t xml:space="preserve">  The undisputed evidence of record showed, however, that the accident was caused because the defendant driver was looking to the right at the time of the rear-end collision.</w:t>
      </w:r>
      <w:r>
        <w:rPr>
          <w:rFonts w:eastAsia="MS Mincho"/>
          <w:vertAlign w:val="superscript"/>
        </w:rPr>
        <w:endnoteReference w:id="149"/>
      </w:r>
      <w:r>
        <w:rPr>
          <w:rFonts w:eastAsia="MS Mincho"/>
        </w:rPr>
        <w:t xml:space="preserve"> There was no evidence to suggest that the driver was fatigued, and the plaintiffs were not entitled to that inference simply because the driver had violated the hours-of-service requirements.</w:t>
      </w:r>
      <w:r>
        <w:rPr>
          <w:rFonts w:eastAsia="MS Mincho"/>
          <w:vertAlign w:val="superscript"/>
        </w:rPr>
        <w:endnoteReference w:id="150"/>
      </w:r>
      <w:r>
        <w:rPr>
          <w:rFonts w:eastAsia="MS Mincho"/>
        </w:rPr>
        <w:t xml:space="preserve"> These facts stopped “well short” of demonstrating a pattern or policy of driving while fatigued sufficient to </w:t>
      </w:r>
      <w:r>
        <w:rPr>
          <w:rFonts w:eastAsia="MS Mincho"/>
        </w:rPr>
        <w:lastRenderedPageBreak/>
        <w:t>support a claim for punitive damages.</w:t>
      </w:r>
      <w:r>
        <w:rPr>
          <w:rFonts w:eastAsia="MS Mincho"/>
          <w:vertAlign w:val="superscript"/>
        </w:rPr>
        <w:endnoteReference w:id="151"/>
      </w:r>
      <w:r>
        <w:rPr>
          <w:rFonts w:eastAsia="MS Mincho"/>
        </w:rPr>
        <w:t xml:space="preserve">  </w:t>
      </w:r>
    </w:p>
    <w:p>
      <w:pPr>
        <w:pStyle w:val="BodyTextFirstIndent"/>
        <w:rPr>
          <w:rFonts w:eastAsia="MS Mincho"/>
        </w:rPr>
      </w:pPr>
      <w:r>
        <w:rPr>
          <w:rFonts w:eastAsia="MS Mincho"/>
        </w:rPr>
        <w:t>The analysis extends to other alleged violations of the FMCSR, in addition to hours-of-service violations. Where a collision was caused by a negligent act other than the violation of a particular statute or regulation, any such FMCSR violations will not be germane to the question of whether a driver exhibited a pattern or policy of dangerous driving.</w:t>
      </w:r>
      <w:r>
        <w:rPr>
          <w:rFonts w:eastAsia="MS Mincho"/>
          <w:vertAlign w:val="superscript"/>
        </w:rPr>
        <w:endnoteReference w:id="152"/>
      </w:r>
      <w:r>
        <w:rPr>
          <w:rFonts w:eastAsia="MS Mincho"/>
        </w:rPr>
        <w:t xml:space="preserve"> In </w:t>
      </w:r>
      <w:r>
        <w:rPr>
          <w:rFonts w:eastAsia="MS Mincho"/>
          <w:i/>
        </w:rPr>
        <w:t xml:space="preserve">Highsmith v. Tractor </w:t>
      </w:r>
      <w:r>
        <w:t>Trailer</w:t>
      </w:r>
      <w:r>
        <w:rPr>
          <w:rFonts w:eastAsia="MS Mincho"/>
          <w:i/>
        </w:rPr>
        <w:t xml:space="preserve"> Serv.,</w:t>
      </w:r>
      <w:r>
        <w:rPr>
          <w:rFonts w:eastAsia="MS Mincho"/>
        </w:rPr>
        <w:t xml:space="preserve"> the defendant driver had reported prior mechanical problems with the vehicle, and pulled over to the side of the road for a few minutes when he experienced additional problems. When he pulled over, part of the trailer extended five feet into the lane of traffic.</w:t>
      </w:r>
      <w:r>
        <w:rPr>
          <w:rFonts w:eastAsia="MS Mincho"/>
          <w:vertAlign w:val="superscript"/>
        </w:rPr>
        <w:endnoteReference w:id="153"/>
      </w:r>
      <w:r>
        <w:rPr>
          <w:rFonts w:eastAsia="MS Mincho"/>
        </w:rPr>
        <w:t xml:space="preserve"> The plaintiff alleged that the defendant motor carrier violated applicable state and federal regulations with respect to the maintenance and service of the defendant’s vehicle, including failing “to inspect or service the truck and trailer, assure that the truck had an adequate towing capacity, determine whether the truck and trailer’s equipment was working properly, or ensure that it was properly equipped” with safety devices required by the FMCSR.</w:t>
      </w:r>
      <w:r>
        <w:rPr>
          <w:rFonts w:eastAsia="MS Mincho"/>
          <w:vertAlign w:val="superscript"/>
        </w:rPr>
        <w:endnoteReference w:id="154"/>
      </w:r>
      <w:r>
        <w:rPr>
          <w:rFonts w:eastAsia="MS Mincho"/>
        </w:rPr>
        <w:t xml:space="preserve"> The accident was not caused by any such violations, however, but rather by the fact that the stopped trailer extended approximately five feet into the travel lane.</w:t>
      </w:r>
      <w:r>
        <w:rPr>
          <w:rFonts w:eastAsia="MS Mincho"/>
          <w:vertAlign w:val="superscript"/>
        </w:rPr>
        <w:endnoteReference w:id="155"/>
      </w:r>
      <w:r>
        <w:rPr>
          <w:rFonts w:eastAsia="MS Mincho"/>
        </w:rPr>
        <w:t xml:space="preserve"> Punitive damages were not authorized in that case because the plaintiff could not show that the negligent act proximately causing the injury, parking a vehicle on </w:t>
      </w:r>
      <w:r>
        <w:t>the</w:t>
      </w:r>
      <w:r>
        <w:rPr>
          <w:rFonts w:eastAsia="MS Mincho"/>
        </w:rPr>
        <w:t xml:space="preserve"> side of the highway such that it encroached into the lane of travel, occurred </w:t>
      </w:r>
      <w:r>
        <w:rPr>
          <w:rFonts w:eastAsia="MS Mincho"/>
        </w:rPr>
        <w:lastRenderedPageBreak/>
        <w:t>because of a pattern or policy of dangerous driving or was done with a conscious indifference to the consequences.</w:t>
      </w:r>
      <w:r>
        <w:rPr>
          <w:rFonts w:eastAsia="MS Mincho"/>
          <w:vertAlign w:val="superscript"/>
        </w:rPr>
        <w:endnoteReference w:id="156"/>
      </w:r>
      <w:bookmarkStart w:id="28" w:name="_Toc384899977"/>
      <w:r>
        <w:rPr>
          <w:rFonts w:eastAsia="MS Mincho"/>
        </w:rPr>
        <w:t xml:space="preserve">  </w:t>
      </w:r>
    </w:p>
    <w:p>
      <w:pPr>
        <w:pStyle w:val="BodyTextFirstIndent"/>
        <w:ind w:left="720" w:hanging="720"/>
        <w:jc w:val="left"/>
        <w:rPr>
          <w:rFonts w:eastAsia="MS Mincho"/>
          <w:b/>
        </w:rPr>
      </w:pPr>
      <w:r>
        <w:t>III.</w:t>
      </w:r>
      <w:r>
        <w:tab/>
      </w:r>
      <w:r>
        <w:rPr>
          <w:b/>
        </w:rPr>
        <w:t>Options for the Motor Carrier in Response to Document Preservation Letters</w:t>
      </w:r>
      <w:bookmarkEnd w:id="28"/>
    </w:p>
    <w:p>
      <w:pPr>
        <w:pStyle w:val="BodyTextFirstIndent"/>
        <w:rPr>
          <w:rFonts w:eastAsia="MS Mincho"/>
        </w:rPr>
      </w:pPr>
      <w:r>
        <w:rPr>
          <w:rFonts w:eastAsia="MS Mincho"/>
        </w:rPr>
        <w:t xml:space="preserve">Upon receipt of a spoliation letter requesting </w:t>
      </w:r>
      <w:r>
        <w:t>preservation</w:t>
      </w:r>
      <w:r>
        <w:rPr>
          <w:rFonts w:eastAsia="MS Mincho"/>
        </w:rPr>
        <w:t xml:space="preserve"> of documentation that would evidence a driver’s hours of service, a motor carrier is not without options.  A motor carrier should, of course, make good faith, reasonable efforts to preserve those documents that have not already been destroyed in the normal course of business pursuant to the applicable regulations. Once a motor carrier is put on notice that an injured person is contemplating litigation, anything a motor carrier does going forward will be considered in anticipation of litigation, triggering </w:t>
      </w:r>
      <w:r>
        <w:rPr>
          <w:rFonts w:eastAsia="MS Mincho"/>
          <w:i/>
        </w:rPr>
        <w:t xml:space="preserve">de facto </w:t>
      </w:r>
      <w:r>
        <w:t>obligations</w:t>
      </w:r>
      <w:r>
        <w:rPr>
          <w:rFonts w:eastAsia="MS Mincho"/>
        </w:rPr>
        <w:t xml:space="preserve"> to preserve evidence the motor carrier knows will be relevant, while at the same time triggering work-product protections.</w:t>
      </w:r>
    </w:p>
    <w:p>
      <w:pPr>
        <w:pStyle w:val="BodyTextFirstIndent"/>
        <w:rPr>
          <w:rFonts w:eastAsia="MS Mincho"/>
        </w:rPr>
      </w:pPr>
      <w:r>
        <w:rPr>
          <w:rFonts w:eastAsia="MS Mincho"/>
        </w:rPr>
        <w:t xml:space="preserve">However, a motor carrier need not accept that it is without defenses at this stage or that it must acquiesce to every demand as written. The motor carrier or its counsel may draft an objection letter in response, setting forth documents it feels are reasonable and relevant to preserve, and noting objections to the relevance or discoverability of the items requested to be preserved and the burden it must undertake if a document preservation letter includes particularly onerous requests. Counsel should also state that, by complying </w:t>
      </w:r>
      <w:r>
        <w:rPr>
          <w:rFonts w:eastAsia="MS Mincho"/>
        </w:rPr>
        <w:lastRenderedPageBreak/>
        <w:t xml:space="preserve">with the request for preservation of documents, they do not necessarily agree that any of the documents requested are either relevant or calculated to lead to the discovery of admissible evidence, or even that the request itself is reasonable. The motor carrier should also strongly consider allowing an inspection of the involved CMV within a time-certain if it has been preserved. Additionally, counsel may invite the claimant to file suit if they disagree with the scope of what is </w:t>
      </w:r>
      <w:r>
        <w:t>being</w:t>
      </w:r>
      <w:r>
        <w:rPr>
          <w:rFonts w:eastAsia="MS Mincho"/>
        </w:rPr>
        <w:t xml:space="preserve"> preserved so that a judicial determination may be had, rather than the increasingly common practice of immediately sending a document preservation letter and waiting an extended time to file suit (sometimes with the hope that documents or evidence will not be maintained, thus setting up a spoliation claim). Lastly, counsel should craft a document-preservation letter of their own directed to the claimant, requesting preservation of any physical evidence, including the claimant’s vehicle, GPS data (from a cell phone or navigation system), documentary evidence, photographs, social media and email ac</w:t>
      </w:r>
      <w:bookmarkStart w:id="29" w:name="_Toc384899978"/>
      <w:r>
        <w:rPr>
          <w:rFonts w:eastAsia="MS Mincho"/>
        </w:rPr>
        <w:t>counts, and cell phone records.</w:t>
      </w:r>
    </w:p>
    <w:p>
      <w:pPr>
        <w:pStyle w:val="BodyTextFirstIndent"/>
        <w:ind w:left="720" w:hanging="720"/>
        <w:rPr>
          <w:rFonts w:eastAsia="MS Mincho"/>
        </w:rPr>
      </w:pPr>
      <w:r>
        <w:rPr>
          <w:rFonts w:eastAsia="MS Mincho"/>
        </w:rPr>
        <w:t>IV.</w:t>
      </w:r>
      <w:r>
        <w:rPr>
          <w:rFonts w:eastAsia="MS Mincho"/>
        </w:rPr>
        <w:tab/>
      </w:r>
      <w:r>
        <w:rPr>
          <w:b/>
        </w:rPr>
        <w:t>Conclusion</w:t>
      </w:r>
      <w:bookmarkEnd w:id="29"/>
    </w:p>
    <w:p>
      <w:pPr>
        <w:pStyle w:val="BodyTextFirstIndent"/>
        <w:rPr>
          <w:rFonts w:eastAsia="MS Mincho"/>
        </w:rPr>
      </w:pPr>
      <w:r>
        <w:rPr>
          <w:rFonts w:eastAsia="MS Mincho"/>
        </w:rPr>
        <w:t xml:space="preserve">The new FMSCR governing a driver’s hours of service are intended to prevent driver fatigue and reduce the number of </w:t>
      </w:r>
      <w:r>
        <w:t>accidents</w:t>
      </w:r>
      <w:r>
        <w:rPr>
          <w:rFonts w:eastAsia="MS Mincho"/>
        </w:rPr>
        <w:t xml:space="preserve"> related to fatigue. With respect to civil litigation, although evidence that a driver violated the hours-of-service requirement will provide support for a claim that driver fatigue caused a collision, it is not sufficient to show a pattern or policy of driving while fatigued. Further, for driver logs or </w:t>
      </w:r>
      <w:r>
        <w:rPr>
          <w:rFonts w:eastAsia="MS Mincho"/>
        </w:rPr>
        <w:lastRenderedPageBreak/>
        <w:t xml:space="preserve">other documentation of a driver’s hours of service to be relevant, a plaintiff must show that driver fatigue caused the accident. The increasing pre-suit use of onerous document-preservation letters by claimant attorneys requesting such documentation places motor carriers in a difficult position. If the motor carrier does not undertake a good faith effort to preserve the requested documents, it may face severe sanctions for alleged spoliation many years later. Motor carriers should not only preserve the documents, but also lay out their objections to what are often burdensome and irrelevant document requests. It remains clear, however, that the most prudent course of </w:t>
      </w:r>
      <w:r>
        <w:t>action</w:t>
      </w:r>
      <w:r>
        <w:rPr>
          <w:rFonts w:eastAsia="MS Mincho"/>
        </w:rPr>
        <w:t xml:space="preserve"> for the motor carrier is to place itself in a position to affirmatively prove compliance with the regulations once suit is filed and remove that potentially damaging issue from the lawsuit.</w:t>
      </w:r>
    </w:p>
    <w:p>
      <w:pPr>
        <w:spacing w:after="0"/>
        <w:jc w:val="center"/>
        <w:rPr>
          <w:rFonts w:eastAsia="MS Mincho"/>
          <w:b/>
          <w:sz w:val="21"/>
          <w:szCs w:val="21"/>
          <w:u w:val="single"/>
        </w:rPr>
      </w:pPr>
      <w:r>
        <w:rPr>
          <w:rFonts w:eastAsia="MS Mincho"/>
          <w:b/>
          <w:sz w:val="21"/>
          <w:szCs w:val="21"/>
          <w:u w:val="single"/>
        </w:rPr>
        <w:t>End Notes</w:t>
      </w:r>
    </w:p>
    <w:p>
      <w:pPr>
        <w:spacing w:after="0"/>
        <w:jc w:val="center"/>
        <w:rPr>
          <w:sz w:val="18"/>
          <w:szCs w:val="18"/>
        </w:rPr>
      </w:pPr>
    </w:p>
    <w:p>
      <w:pPr>
        <w:spacing w:after="0"/>
        <w:jc w:val="center"/>
        <w:rPr>
          <w:sz w:val="18"/>
          <w:szCs w:val="18"/>
        </w:rPr>
        <w:sectPr>
          <w:footnotePr>
            <w:numRestart w:val="eachSect"/>
          </w:footnotePr>
          <w:endnotePr>
            <w:numFmt w:val="decimal"/>
            <w:numRestart w:val="eachSect"/>
          </w:endnotePr>
          <w:type w:val="continuous"/>
          <w:pgSz w:w="12240" w:h="15840"/>
          <w:pgMar w:top="1440" w:right="1440" w:bottom="1440" w:left="1440" w:header="720" w:footer="720" w:gutter="0"/>
          <w:cols w:num="2" w:space="720"/>
          <w:rtlGutter/>
          <w:docGrid w:linePitch="360"/>
        </w:sectPr>
      </w:pPr>
    </w:p>
    <w:p>
      <w:pPr>
        <w:pStyle w:val="Heading1"/>
      </w:pPr>
      <w:bookmarkStart w:id="30" w:name="_Toc387223607"/>
      <w:r>
        <w:lastRenderedPageBreak/>
        <w:t>Georgia’s Direct Action Statute —</w:t>
      </w:r>
      <w:r>
        <w:br/>
        <w:t>A Statutory Exception to the General Rule</w:t>
      </w:r>
      <w:bookmarkEnd w:id="30"/>
      <w:r>
        <w:t xml:space="preserve"> </w:t>
      </w:r>
    </w:p>
    <w:p/>
    <w:p>
      <w:pPr>
        <w:pStyle w:val="Author"/>
      </w:pPr>
      <w:r>
        <w:t>By: Scott W. McMickle</w:t>
      </w:r>
    </w:p>
    <w:p>
      <w:pPr>
        <w:pStyle w:val="Author"/>
      </w:pPr>
      <w:r>
        <w:t>Stephanie F. Brown</w:t>
      </w:r>
    </w:p>
    <w:p>
      <w:pPr>
        <w:pStyle w:val="Author"/>
      </w:pPr>
      <w:r>
        <w:t>McMickle, Kurey and Branch, LLP</w:t>
      </w:r>
    </w:p>
    <w:p>
      <w:pPr>
        <w:pStyle w:val="Author"/>
      </w:pPr>
    </w:p>
    <w:p>
      <w:pPr>
        <w:spacing w:after="0"/>
        <w:jc w:val="both"/>
        <w:rPr>
          <w:rFonts w:ascii="Times New Roman" w:hAnsi="Times New Roman"/>
          <w:b/>
          <w:sz w:val="23"/>
          <w:szCs w:val="23"/>
        </w:rPr>
        <w:sectPr>
          <w:footnotePr>
            <w:numRestart w:val="eachSect"/>
          </w:footnotePr>
          <w:endnotePr>
            <w:numFmt w:val="decimal"/>
            <w:numRestart w:val="eachSect"/>
          </w:endnotePr>
          <w:pgSz w:w="12240" w:h="15840"/>
          <w:pgMar w:top="1440" w:right="1440" w:bottom="1440" w:left="1440" w:header="720" w:footer="720" w:gutter="0"/>
          <w:cols w:space="720"/>
          <w:docGrid w:linePitch="360"/>
        </w:sectPr>
      </w:pPr>
    </w:p>
    <w:p>
      <w:pPr>
        <w:pBdr>
          <w:top w:val="single" w:sz="4" w:space="1" w:color="auto"/>
          <w:left w:val="single" w:sz="4" w:space="4" w:color="auto"/>
          <w:bottom w:val="single" w:sz="4" w:space="1" w:color="auto"/>
          <w:right w:val="single" w:sz="4" w:space="4" w:color="auto"/>
        </w:pBdr>
        <w:shd w:val="clear" w:color="auto" w:fill="81BAC5"/>
        <w:spacing w:after="0"/>
      </w:pPr>
      <w:r>
        <w:rPr>
          <w:noProof/>
        </w:rPr>
        <w:pict>
          <v:shape id="Picture 3" o:spid="_x0000_s1037" type="#_x0000_t75" style="position:absolute;margin-left:-4.85pt;margin-top:21.8pt;width:93.6pt;height:100.8pt;z-index:-251674112;visibility:visible" wrapcoords="-173 0 -173 21439 21600 21439 21600 0 -173 0" o:allowoverlap="f">
            <v:imagedata r:id="rId32" o:title=""/>
            <w10:wrap type="tight"/>
          </v:shape>
        </w:pict>
      </w:r>
      <w:r>
        <w:rPr>
          <w:b/>
        </w:rPr>
        <w:t>Scott W. McMickle</w:t>
      </w:r>
      <w:r>
        <w:t xml:space="preserve"> is a founding partner of McMickle, Kurey &amp; Branch, LLP.  He focuses his practice on insurance coverage litigation, specializing in motor carrier insurance coverage, and motor carrier defense litigation.  </w:t>
      </w:r>
    </w:p>
    <w:p>
      <w:pPr>
        <w:pBdr>
          <w:top w:val="single" w:sz="4" w:space="1" w:color="auto"/>
          <w:left w:val="single" w:sz="4" w:space="4" w:color="auto"/>
          <w:bottom w:val="single" w:sz="4" w:space="1" w:color="auto"/>
          <w:right w:val="single" w:sz="4" w:space="4" w:color="auto"/>
        </w:pBdr>
        <w:shd w:val="clear" w:color="auto" w:fill="81BAC5"/>
        <w:spacing w:after="0"/>
      </w:pPr>
    </w:p>
    <w:p>
      <w:pPr>
        <w:pBdr>
          <w:top w:val="single" w:sz="4" w:space="1" w:color="auto"/>
          <w:left w:val="single" w:sz="4" w:space="4" w:color="auto"/>
          <w:bottom w:val="single" w:sz="4" w:space="1" w:color="auto"/>
          <w:right w:val="single" w:sz="4" w:space="4" w:color="auto"/>
        </w:pBdr>
        <w:shd w:val="clear" w:color="auto" w:fill="81BAC5"/>
        <w:spacing w:after="0"/>
      </w:pPr>
      <w:r>
        <w:rPr>
          <w:noProof/>
        </w:rPr>
        <w:pict>
          <v:shape id="_x0000_s1038" type="#_x0000_t75" style="position:absolute;margin-left:-4.85pt;margin-top:4.9pt;width:93.6pt;height:100.8pt;z-index:-251675136;visibility:visible" wrapcoords="-173 0 -173 21439 21600 21439 21600 0 -173 0">
            <v:imagedata r:id="rId33" o:title=""/>
            <w10:wrap type="tight"/>
          </v:shape>
        </w:pict>
      </w:r>
      <w:r>
        <w:rPr>
          <w:b/>
        </w:rPr>
        <w:t>Stephanie F. Brown</w:t>
      </w:r>
      <w:r>
        <w:t xml:space="preserve"> is a partner with McMickle, Kurey &amp; Branch, LLP.  Her practice focuses on motor carrier, premises liability, and fire defense litigation.</w:t>
      </w:r>
    </w:p>
    <w:p>
      <w:pPr>
        <w:ind w:left="720" w:hanging="720"/>
        <w:rPr>
          <w:b/>
        </w:rPr>
      </w:pPr>
    </w:p>
    <w:p>
      <w:pPr>
        <w:ind w:left="720" w:hanging="720"/>
        <w:rPr>
          <w:b/>
        </w:rPr>
      </w:pPr>
      <w:r>
        <w:rPr>
          <w:b/>
        </w:rPr>
        <w:t>I.</w:t>
      </w:r>
      <w:r>
        <w:rPr>
          <w:b/>
        </w:rPr>
        <w:tab/>
        <w:t>The General Rule Prohibits Direct Actions Against Insurance Companies</w:t>
      </w:r>
    </w:p>
    <w:p>
      <w:pPr>
        <w:pStyle w:val="BodyTextFirstIndent"/>
      </w:pPr>
      <w:r>
        <w:t>Georgia recognizes the general rule that “because there is no privity of contract, a party may not bring a direct action against the liability insurer of the party who allegedly caused the damage unless there is an unsatisfied judgment against the insured or it is specifically permitted either by statute or a provision in the policy.”</w:t>
      </w:r>
      <w:r>
        <w:rPr>
          <w:rStyle w:val="EndnoteReference"/>
          <w:rFonts w:ascii="Century Schoolbook" w:hAnsi="Century Schoolbook"/>
          <w:sz w:val="21"/>
          <w:szCs w:val="21"/>
        </w:rPr>
        <w:endnoteReference w:id="157"/>
      </w:r>
      <w:r>
        <w:t xml:space="preserve">  According to the Georgia Court of Appeals, the rationale for this rule “is that the injured party is not in privity of contract with the insurer and may not maintain a direct action on the contract for payment of a claim </w:t>
      </w:r>
      <w:r>
        <w:lastRenderedPageBreak/>
        <w:t>unless a judgment obtained against the insured</w:t>
      </w:r>
      <w:r>
        <w:rPr>
          <w:color w:val="000000"/>
        </w:rPr>
        <w:t xml:space="preserve"> </w:t>
      </w:r>
      <w:r>
        <w:t>under the liability policy remains unsatisfied.”</w:t>
      </w:r>
      <w:r>
        <w:rPr>
          <w:rStyle w:val="EndnoteTextChar"/>
          <w:sz w:val="21"/>
          <w:szCs w:val="21"/>
          <w:vertAlign w:val="superscript"/>
        </w:rPr>
        <w:endnoteReference w:id="158"/>
      </w:r>
    </w:p>
    <w:p>
      <w:pPr>
        <w:pStyle w:val="BodyTextFirstIndent"/>
      </w:pPr>
      <w:r>
        <w:t xml:space="preserve">Georgia has a statutory exception to the general rule, however, where the insurance carrier insures a motor carrier.  This statutory exception is called the “Direct Action Statute” and is currently codified in two statutes: Official Code of Georgia Annotated ("O.C.G.A.") </w:t>
      </w:r>
      <w:r>
        <w:rPr>
          <w:rFonts w:ascii="Century" w:hAnsi="Century"/>
        </w:rPr>
        <w:t>§§</w:t>
      </w:r>
      <w:r>
        <w:t xml:space="preserve"> 40-2-140</w:t>
      </w:r>
      <w:r>
        <w:rPr>
          <w:vertAlign w:val="superscript"/>
        </w:rPr>
        <w:endnoteReference w:id="159"/>
      </w:r>
      <w:r>
        <w:t xml:space="preserve"> and 40-1-112.</w:t>
      </w:r>
      <w:r>
        <w:rPr>
          <w:vertAlign w:val="superscript"/>
        </w:rPr>
        <w:endnoteReference w:id="160"/>
      </w:r>
      <w:r>
        <w:t xml:space="preserve">  Under these statutes, the insurer of a motor carrier may, under certain circumstances, be named as a defendant in a lawsuit by an injured party.</w:t>
      </w:r>
      <w:r>
        <w:rPr>
          <w:vertAlign w:val="superscript"/>
        </w:rPr>
        <w:endnoteReference w:id="161"/>
      </w:r>
      <w:r>
        <w:t xml:space="preserve">  </w:t>
      </w:r>
    </w:p>
    <w:p>
      <w:pPr>
        <w:pStyle w:val="BodyTextFirstIndent"/>
      </w:pPr>
      <w:r>
        <w:t>Georgia courts have held that because Direct Action Statutes are in derogation of the common law rule prohibiting direct actions by injured parties against insurers, the statutes must be strictly construed.</w:t>
      </w:r>
      <w:r>
        <w:rPr>
          <w:vertAlign w:val="superscript"/>
        </w:rPr>
        <w:endnoteReference w:id="162"/>
      </w:r>
      <w:r>
        <w:t xml:space="preserve">  Despite this general principle of strict construal, Georgia courts have generally permitted direct actions against the insurers of motor carriers under varying circumstances.  </w:t>
      </w:r>
    </w:p>
    <w:p>
      <w:pPr>
        <w:pStyle w:val="BodyTextFirstIndent"/>
      </w:pPr>
      <w:r>
        <w:t>The Georgia Direct Action Statutes have taken various forms since the first one was enacted in 1937.  Understanding the history of the Direct Action Statutes helps explain the current status of these statutes.</w:t>
      </w:r>
      <w:bookmarkStart w:id="31" w:name="_Toc384899980"/>
    </w:p>
    <w:p>
      <w:pPr>
        <w:pStyle w:val="BodyTextFirstIndent"/>
        <w:keepNext/>
        <w:ind w:left="720" w:hanging="720"/>
        <w:jc w:val="left"/>
        <w:rPr>
          <w:b/>
        </w:rPr>
      </w:pPr>
      <w:r>
        <w:rPr>
          <w:b/>
        </w:rPr>
        <w:lastRenderedPageBreak/>
        <w:t>II.</w:t>
      </w:r>
      <w:r>
        <w:rPr>
          <w:b/>
        </w:rPr>
        <w:tab/>
        <w:t>The History of the Direct Action Statute in Georgia</w:t>
      </w:r>
      <w:bookmarkStart w:id="32" w:name="_Toc384899981"/>
      <w:bookmarkEnd w:id="31"/>
    </w:p>
    <w:p>
      <w:pPr>
        <w:pStyle w:val="BodyTextFirstIndent"/>
        <w:ind w:left="720" w:hanging="720"/>
        <w:jc w:val="center"/>
        <w:rPr>
          <w:b/>
        </w:rPr>
      </w:pPr>
      <w:r>
        <w:rPr>
          <w:b/>
        </w:rPr>
        <w:t>A.</w:t>
      </w:r>
      <w:r>
        <w:rPr>
          <w:b/>
        </w:rPr>
        <w:tab/>
        <w:t>Georgia Motor Carrier Act</w:t>
      </w:r>
      <w:r>
        <w:rPr>
          <w:b/>
        </w:rPr>
        <w:br/>
        <w:t>of 1931</w:t>
      </w:r>
      <w:bookmarkEnd w:id="32"/>
    </w:p>
    <w:p>
      <w:pPr>
        <w:pStyle w:val="BodyTextFirstIndent"/>
      </w:pPr>
      <w:r>
        <w:t>The first Direct Action Statute was enacted in 1937 as an amendment to the Georgia Motor Carrier Act of 1931.</w:t>
      </w:r>
      <w:r>
        <w:rPr>
          <w:rStyle w:val="EndnoteReference"/>
          <w:rFonts w:ascii="Century Schoolbook" w:hAnsi="Century Schoolbook"/>
          <w:sz w:val="21"/>
          <w:szCs w:val="21"/>
        </w:rPr>
        <w:endnoteReference w:id="163"/>
      </w:r>
      <w:r>
        <w:t xml:space="preserve">  Under the Georgia Motor Carrier Act of 1931, the Georgia Public Service Commission (“PSC”) was responsible for regulating “the business of any person engaged in transportation as a common carrier or contract carrier of persons or property on Georgia public highways.”</w:t>
      </w:r>
      <w:r>
        <w:rPr>
          <w:rStyle w:val="EndnoteReference"/>
          <w:rFonts w:ascii="Century Schoolbook" w:hAnsi="Century Schoolbook"/>
          <w:sz w:val="21"/>
          <w:szCs w:val="21"/>
        </w:rPr>
        <w:endnoteReference w:id="164"/>
      </w:r>
      <w:r>
        <w:t xml:space="preserve">   Any motor carrier operating in Georgia was required, under this act, to obtain a certificate of public convenience from the PSC.</w:t>
      </w:r>
      <w:r>
        <w:rPr>
          <w:rStyle w:val="EndnoteReference"/>
          <w:rFonts w:ascii="Century Schoolbook" w:hAnsi="Century Schoolbook"/>
          <w:sz w:val="21"/>
          <w:szCs w:val="21"/>
        </w:rPr>
        <w:endnoteReference w:id="165"/>
      </w:r>
      <w:r>
        <w:t xml:space="preserve">  </w:t>
      </w:r>
    </w:p>
    <w:p>
      <w:pPr>
        <w:pStyle w:val="BodyTextFirstIndent"/>
      </w:pPr>
      <w:r>
        <w:t>In 1937, Georgia enacted the first Direct Action Statute.</w:t>
      </w:r>
      <w:r>
        <w:rPr>
          <w:rStyle w:val="EndnoteReference"/>
          <w:sz w:val="21"/>
          <w:szCs w:val="21"/>
        </w:rPr>
        <w:endnoteReference w:id="166"/>
      </w:r>
      <w:r>
        <w:t xml:space="preserve">  Under this statute, motor carriers registered in Georgia with the PSC were required to file a certificate of financial responsibility with the PSC.  The certificate of financial responsibility was required to show that the motor carrier had a policy of insurance in place to cover injury to the public caused by the motor carrier’s negligence.  Where a motor carrier was required to have a certificate of financial responsibility on file with the PSC, an injured party was permitted to bring a direct action against the insurer of the motor carrier.</w:t>
      </w:r>
      <w:r>
        <w:rPr>
          <w:rStyle w:val="EndnoteReference"/>
          <w:sz w:val="21"/>
          <w:szCs w:val="21"/>
        </w:rPr>
        <w:endnoteReference w:id="167"/>
      </w:r>
    </w:p>
    <w:p>
      <w:pPr>
        <w:pStyle w:val="StyleCenturySchoolbookJustifiedFirstline05"/>
      </w:pPr>
      <w:r>
        <w:t>Originally, a direct action under the Direct Action Statute was conditioned upon filing the insurance certificate with the state.</w:t>
      </w:r>
      <w:r>
        <w:rPr>
          <w:rStyle w:val="EndnoteReference"/>
          <w:sz w:val="21"/>
          <w:szCs w:val="21"/>
        </w:rPr>
        <w:endnoteReference w:id="168"/>
      </w:r>
      <w:r>
        <w:t xml:space="preserve">  This loophole was eliminated in 2000 by the Georgia General Assembly when it amended O.C.G.A. § 46-7-12</w:t>
      </w:r>
      <w:r>
        <w:rPr>
          <w:rStyle w:val="EndnoteReference"/>
          <w:sz w:val="21"/>
          <w:szCs w:val="21"/>
        </w:rPr>
        <w:endnoteReference w:id="169"/>
      </w:r>
      <w:r>
        <w:t xml:space="preserve"> to state that “the failure to file any form … </w:t>
      </w:r>
      <w:r>
        <w:lastRenderedPageBreak/>
        <w:t>shall not diminish the rights of any person to pursue an action against a motor carrier’s insurer.”</w:t>
      </w:r>
    </w:p>
    <w:p>
      <w:pPr>
        <w:pStyle w:val="BodyTextFirstIndent"/>
      </w:pPr>
      <w:r>
        <w:t xml:space="preserve">While Georgia’s authority to regulate </w:t>
      </w:r>
      <w:r>
        <w:rPr>
          <w:i/>
        </w:rPr>
        <w:t>intrastate</w:t>
      </w:r>
      <w:r>
        <w:t xml:space="preserve"> motor carriers is not questioned, its authority to regulate </w:t>
      </w:r>
      <w:r>
        <w:rPr>
          <w:i/>
        </w:rPr>
        <w:t>interstate</w:t>
      </w:r>
      <w:r>
        <w:t xml:space="preserve"> motor carriers is another matter.  Pursuant to the Commerce Clause in the United States Constitution, states may only impose significant regulatory burdens on interstate motor carriers when authorized to do so by Congress.</w:t>
      </w:r>
      <w:r>
        <w:rPr>
          <w:rStyle w:val="EndnoteReference"/>
          <w:rFonts w:ascii="Century Schoolbook" w:hAnsi="Century Schoolbook"/>
          <w:sz w:val="21"/>
          <w:szCs w:val="21"/>
        </w:rPr>
        <w:endnoteReference w:id="170"/>
      </w:r>
      <w:r>
        <w:t xml:space="preserve">   Federal regulatory schemes have impacted the state’s ability to regulate motor carriers that operate in interstate commerce only.</w:t>
      </w:r>
      <w:bookmarkStart w:id="33" w:name="_Toc384899982"/>
    </w:p>
    <w:p>
      <w:pPr>
        <w:pStyle w:val="BodyTextFirstIndent"/>
        <w:ind w:firstLine="0"/>
        <w:jc w:val="center"/>
        <w:rPr>
          <w:b/>
        </w:rPr>
      </w:pPr>
      <w:r>
        <w:rPr>
          <w:b/>
        </w:rPr>
        <w:t>B.</w:t>
      </w:r>
      <w:r>
        <w:rPr>
          <w:b/>
        </w:rPr>
        <w:tab/>
        <w:t>Impact of the Federal Single</w:t>
      </w:r>
      <w:r>
        <w:rPr>
          <w:b/>
        </w:rPr>
        <w:br/>
        <w:t>State Registration System</w:t>
      </w:r>
      <w:r>
        <w:rPr>
          <w:b/>
        </w:rPr>
        <w:br/>
        <w:t xml:space="preserve">of 1993 on Georgia’s </w:t>
      </w:r>
      <w:r>
        <w:rPr>
          <w:b/>
        </w:rPr>
        <w:br/>
        <w:t>Regulation of Motor Carriers</w:t>
      </w:r>
      <w:bookmarkEnd w:id="33"/>
    </w:p>
    <w:p>
      <w:pPr>
        <w:pStyle w:val="BodyTextFirstIndent"/>
      </w:pPr>
      <w:r>
        <w:t xml:space="preserve">In 1993, the former Interstate Commerce Commission created the federal “single state” registration system (“SSRS”) for </w:t>
      </w:r>
      <w:r>
        <w:rPr>
          <w:i/>
        </w:rPr>
        <w:t>interstate</w:t>
      </w:r>
      <w:r>
        <w:t xml:space="preserve"> motor carriers.</w:t>
      </w:r>
      <w:r>
        <w:rPr>
          <w:rStyle w:val="EndnoteReference"/>
          <w:rFonts w:ascii="Century Schoolbook" w:hAnsi="Century Schoolbook"/>
          <w:sz w:val="21"/>
          <w:szCs w:val="21"/>
        </w:rPr>
        <w:endnoteReference w:id="171"/>
      </w:r>
      <w:r>
        <w:t xml:space="preserve">  Under the single state registration system, </w:t>
      </w:r>
      <w:r>
        <w:rPr>
          <w:i/>
        </w:rPr>
        <w:t>interstate</w:t>
      </w:r>
      <w:r>
        <w:t xml:space="preserve"> motor carriers were required to register annually in one state.</w:t>
      </w:r>
      <w:r>
        <w:rPr>
          <w:rStyle w:val="EndnoteReference"/>
          <w:rFonts w:ascii="Century Schoolbook" w:hAnsi="Century Schoolbook"/>
          <w:sz w:val="21"/>
          <w:szCs w:val="21"/>
        </w:rPr>
        <w:endnoteReference w:id="172"/>
      </w:r>
      <w:r>
        <w:t xml:space="preserve">    Registration in a single, base state by an interstate motor carrier was “deemed to satisfy the requirements of all other States.”</w:t>
      </w:r>
      <w:r>
        <w:rPr>
          <w:rStyle w:val="EndnoteReference"/>
          <w:rFonts w:ascii="Century Schoolbook" w:hAnsi="Century Schoolbook"/>
          <w:sz w:val="21"/>
          <w:szCs w:val="21"/>
        </w:rPr>
        <w:endnoteReference w:id="173"/>
      </w:r>
    </w:p>
    <w:p>
      <w:pPr>
        <w:pStyle w:val="BodyTextFirstIndent"/>
      </w:pPr>
      <w:r>
        <w:t xml:space="preserve">Where a motor carrier operated on an </w:t>
      </w:r>
      <w:r>
        <w:rPr>
          <w:i/>
        </w:rPr>
        <w:t>intrastate</w:t>
      </w:r>
      <w:r>
        <w:t>-only basis in Georgia, however, the carrier was subject to state regulation.  The intrastate-only carrier was required to obtain a permit to operate from the Georgia PSC.</w:t>
      </w:r>
      <w:r>
        <w:rPr>
          <w:rStyle w:val="EndnoteReference"/>
          <w:rFonts w:ascii="Century Schoolbook" w:hAnsi="Century Schoolbook"/>
          <w:sz w:val="21"/>
          <w:szCs w:val="21"/>
        </w:rPr>
        <w:endnoteReference w:id="174"/>
      </w:r>
      <w:r>
        <w:t xml:space="preserve">  In addition, if an </w:t>
      </w:r>
      <w:r>
        <w:rPr>
          <w:i/>
        </w:rPr>
        <w:t>interstate</w:t>
      </w:r>
      <w:r>
        <w:t xml:space="preserve"> motor carrier selected Georgia as its base registration state under the SSRS system, it was required to </w:t>
      </w:r>
      <w:r>
        <w:lastRenderedPageBreak/>
        <w:t>obtain a permit to operate from the Georgia PSC.</w:t>
      </w:r>
      <w:r>
        <w:rPr>
          <w:rStyle w:val="EndnoteReference"/>
          <w:rFonts w:ascii="Century Schoolbook" w:hAnsi="Century Schoolbook"/>
          <w:sz w:val="21"/>
          <w:szCs w:val="21"/>
        </w:rPr>
        <w:endnoteReference w:id="175"/>
      </w:r>
      <w:r>
        <w:t xml:space="preserve">   </w:t>
      </w:r>
    </w:p>
    <w:p>
      <w:pPr>
        <w:pStyle w:val="BodyTextFirstIndent"/>
        <w:rPr>
          <w:u w:val="single"/>
        </w:rPr>
      </w:pPr>
      <w:r>
        <w:t>Thus, if a motor carrier operated on an</w:t>
      </w:r>
      <w:r>
        <w:rPr>
          <w:i/>
        </w:rPr>
        <w:t xml:space="preserve"> intrastate</w:t>
      </w:r>
      <w:r>
        <w:t xml:space="preserve"> basis in Georgia or if an </w:t>
      </w:r>
      <w:r>
        <w:rPr>
          <w:i/>
        </w:rPr>
        <w:t>interstate</w:t>
      </w:r>
      <w:r>
        <w:t xml:space="preserve"> motor carrier selected Georgia as its base registration state under the SSRS, then the motor carrier was required to file a certificate of insurance with the Georgia Department of Revenue.</w:t>
      </w:r>
      <w:r>
        <w:rPr>
          <w:rStyle w:val="EndnoteReference"/>
          <w:rFonts w:ascii="Century Schoolbook" w:hAnsi="Century Schoolbook"/>
          <w:sz w:val="21"/>
          <w:szCs w:val="21"/>
        </w:rPr>
        <w:endnoteReference w:id="176"/>
      </w:r>
      <w:r>
        <w:t xml:space="preserve">  Where a motor carrier was required to file a certificate of insurance with the Georgia PSC, then its insurer was subject to a direct action under former O.C.G.A. § 46-7-12 (which permitted a direct action against intrastate motor carriers of household goods and passengers) or former O.C.G.A. § 46-7-12.1</w:t>
      </w:r>
      <w:r>
        <w:rPr>
          <w:rStyle w:val="EndnoteReference"/>
          <w:rFonts w:ascii="Century Schoolbook" w:hAnsi="Century Schoolbook"/>
          <w:sz w:val="21"/>
          <w:szCs w:val="21"/>
        </w:rPr>
        <w:endnoteReference w:id="177"/>
      </w:r>
      <w:r>
        <w:t xml:space="preserve"> (which permitted a direct action against motor carriers of property).</w:t>
      </w:r>
    </w:p>
    <w:p>
      <w:pPr>
        <w:pStyle w:val="BodyTextFirstIndent"/>
      </w:pPr>
      <w:r>
        <w:t xml:space="preserve">Where a motor carrier was only engaged in </w:t>
      </w:r>
      <w:r>
        <w:rPr>
          <w:i/>
        </w:rPr>
        <w:t>interstate</w:t>
      </w:r>
      <w:r>
        <w:t xml:space="preserve"> commerce over the public highways of Georgia and did not select Georgia as its base state under the SSRS system, there were varying rulings by the Georgia appellate courts as to whether an injured party could pursue a direct action against the motor carrier’s insurer.  One Georgia Supreme Court decision held that an </w:t>
      </w:r>
      <w:r>
        <w:rPr>
          <w:i/>
        </w:rPr>
        <w:t>interstate</w:t>
      </w:r>
      <w:r>
        <w:t>-only motor carrier was subject to a direct action in Georgia.</w:t>
      </w:r>
      <w:r>
        <w:rPr>
          <w:rStyle w:val="EndnoteReference"/>
          <w:rFonts w:ascii="Century Schoolbook" w:hAnsi="Century Schoolbook"/>
          <w:sz w:val="21"/>
          <w:szCs w:val="21"/>
        </w:rPr>
        <w:endnoteReference w:id="178"/>
      </w:r>
      <w:r>
        <w:t xml:space="preserve"> Later Georgia Court of Appeals decisions held that the Direct Action Statute did not apply in the case of an </w:t>
      </w:r>
      <w:r>
        <w:rPr>
          <w:i/>
        </w:rPr>
        <w:t xml:space="preserve">interstate </w:t>
      </w:r>
      <w:r>
        <w:t>motor carrier passing through Georgia.</w:t>
      </w:r>
      <w:r>
        <w:rPr>
          <w:rStyle w:val="EndnoteReference"/>
          <w:rFonts w:ascii="Century Schoolbook" w:hAnsi="Century Schoolbook"/>
          <w:sz w:val="21"/>
          <w:szCs w:val="21"/>
        </w:rPr>
        <w:endnoteReference w:id="179"/>
      </w:r>
    </w:p>
    <w:p>
      <w:pPr>
        <w:pStyle w:val="BodyTextFirstIndent"/>
      </w:pPr>
      <w:r>
        <w:t xml:space="preserve">Similarly, federal district courts in Georgia have held that the Georgia Direct Action Statute did not allow a direct action against the insurer of a strictly </w:t>
      </w:r>
      <w:r>
        <w:rPr>
          <w:i/>
        </w:rPr>
        <w:t>interstate</w:t>
      </w:r>
      <w:r>
        <w:t xml:space="preserve"> motor carrier who was not engaged in an intrastate </w:t>
      </w:r>
      <w:r>
        <w:lastRenderedPageBreak/>
        <w:t xml:space="preserve">shipment in Georgia and was not registered in Georgia as its base state. </w:t>
      </w:r>
      <w:r>
        <w:rPr>
          <w:rStyle w:val="EndnoteReference"/>
          <w:rFonts w:ascii="Century Schoolbook" w:hAnsi="Century Schoolbook"/>
          <w:sz w:val="21"/>
          <w:szCs w:val="21"/>
        </w:rPr>
        <w:endnoteReference w:id="180"/>
      </w:r>
      <w:r>
        <w:t xml:space="preserve"> </w:t>
      </w:r>
    </w:p>
    <w:p>
      <w:pPr>
        <w:pStyle w:val="BodyTextFirstIndent"/>
      </w:pPr>
      <w:r>
        <w:t xml:space="preserve">For example, in </w:t>
      </w:r>
      <w:r>
        <w:rPr>
          <w:i/>
        </w:rPr>
        <w:t>Cain v. Shoreline Transp., Inc.</w:t>
      </w:r>
      <w:r>
        <w:t>, the Northern District of Georgia found that:</w:t>
      </w:r>
    </w:p>
    <w:p>
      <w:pPr>
        <w:ind w:left="720" w:right="720"/>
        <w:jc w:val="both"/>
        <w:rPr>
          <w:sz w:val="21"/>
          <w:szCs w:val="21"/>
        </w:rPr>
      </w:pPr>
      <w:r>
        <w:t xml:space="preserve">[t]he Direct Action Statute permits suits only against those insurers of motor carriers subject to filing requirements specified in the same article in which the language permitting suit appears. . . . </w:t>
      </w:r>
      <w:r>
        <w:rPr>
          <w:i/>
        </w:rPr>
        <w:t xml:space="preserve">The Georgia code explicitly provides that interstate motor carriers are not required to obtain permits from the State of Georgia. . .  </w:t>
      </w:r>
      <w:r>
        <w:t>Therefore, this Court holds that the Georgia Direct Action Statute does not provide a vehicle through which Plaintiff . . . may sue the insurer of a non-Georgia motor carrier that does not engage in intrastate commerce in Georgia.</w:t>
      </w:r>
      <w:r>
        <w:rPr>
          <w:sz w:val="21"/>
          <w:szCs w:val="21"/>
        </w:rPr>
        <w:t xml:space="preserve"> </w:t>
      </w:r>
      <w:r>
        <w:rPr>
          <w:rStyle w:val="EndnoteReference"/>
          <w:rFonts w:ascii="Century Schoolbook" w:hAnsi="Century Schoolbook"/>
          <w:sz w:val="21"/>
          <w:szCs w:val="21"/>
        </w:rPr>
        <w:endnoteReference w:id="181"/>
      </w:r>
      <w:r>
        <w:rPr>
          <w:sz w:val="21"/>
          <w:szCs w:val="21"/>
        </w:rPr>
        <w:t xml:space="preserve"> </w:t>
      </w:r>
    </w:p>
    <w:p>
      <w:pPr>
        <w:ind w:left="720" w:right="720"/>
        <w:jc w:val="both"/>
        <w:rPr>
          <w:sz w:val="21"/>
          <w:szCs w:val="21"/>
        </w:rPr>
      </w:pPr>
      <w:r>
        <w:rPr>
          <w:sz w:val="21"/>
          <w:szCs w:val="21"/>
        </w:rPr>
        <w:t>(emphasis added)</w:t>
      </w:r>
    </w:p>
    <w:p>
      <w:pPr>
        <w:pStyle w:val="BodyTextFirstIndent"/>
      </w:pPr>
      <w:r>
        <w:t xml:space="preserve">Similarly, in </w:t>
      </w:r>
      <w:r>
        <w:rPr>
          <w:i/>
        </w:rPr>
        <w:t>Erving v. Vanliner Ins. Co</w:t>
      </w:r>
      <w:r>
        <w:t>., the Southern District of Georgia found that “claims against the insurer of an interstate motor carrier who . . . has registered pursuant to the Federal Single State Registration System in a state other than Georgia, cannot be understood to ‘arise under’ the Georgia Direct Action Statute.”</w:t>
      </w:r>
      <w:r>
        <w:rPr>
          <w:rStyle w:val="EndnoteReference"/>
          <w:rFonts w:ascii="Century Schoolbook" w:hAnsi="Century Schoolbook"/>
          <w:sz w:val="21"/>
          <w:szCs w:val="21"/>
        </w:rPr>
        <w:endnoteReference w:id="182"/>
      </w:r>
      <w:r>
        <w:t xml:space="preserve">  Therefore, the court found that “the registration obligations of Georgia’s Direct Action Statute do not apply to insurers of motor carriers engaged solely in interstate commerce and based in a state other than Georgia.”</w:t>
      </w:r>
      <w:r>
        <w:rPr>
          <w:rStyle w:val="EndnoteReference"/>
          <w:rFonts w:ascii="Century Schoolbook" w:hAnsi="Century Schoolbook"/>
          <w:sz w:val="21"/>
          <w:szCs w:val="21"/>
        </w:rPr>
        <w:endnoteReference w:id="183"/>
      </w:r>
      <w:r>
        <w:t xml:space="preserve">  As a result, there was no direct action </w:t>
      </w:r>
      <w:r>
        <w:lastRenderedPageBreak/>
        <w:t>against the insurer of the interstate-only motor carrier.</w:t>
      </w:r>
      <w:r>
        <w:rPr>
          <w:rStyle w:val="EndnoteReference"/>
          <w:rFonts w:ascii="Century Schoolbook" w:hAnsi="Century Schoolbook"/>
          <w:sz w:val="21"/>
          <w:szCs w:val="21"/>
        </w:rPr>
        <w:endnoteReference w:id="184"/>
      </w:r>
      <w:r>
        <w:t xml:space="preserve">  </w:t>
      </w:r>
    </w:p>
    <w:p>
      <w:pPr>
        <w:pStyle w:val="BodyTextFirstIndent"/>
      </w:pPr>
      <w:r>
        <w:t xml:space="preserve">The Middle District of Georgia reached the same conclusion in </w:t>
      </w:r>
      <w:r>
        <w:rPr>
          <w:i/>
        </w:rPr>
        <w:t>Clark v. Irvin.</w:t>
      </w:r>
      <w:r>
        <w:rPr>
          <w:rStyle w:val="EndnoteReference"/>
          <w:rFonts w:ascii="Century Schoolbook" w:hAnsi="Century Schoolbook"/>
          <w:i/>
          <w:sz w:val="21"/>
          <w:szCs w:val="21"/>
        </w:rPr>
        <w:endnoteReference w:id="185"/>
      </w:r>
      <w:r>
        <w:rPr>
          <w:i/>
        </w:rPr>
        <w:t xml:space="preserve"> </w:t>
      </w:r>
      <w:r>
        <w:t xml:space="preserve">In </w:t>
      </w:r>
      <w:r>
        <w:rPr>
          <w:i/>
        </w:rPr>
        <w:t>Clark</w:t>
      </w:r>
      <w:r>
        <w:t>, the Middle District found that as a prerequisite to a direct action against an insurance carrier under Georgia’s Direct Action Statute:</w:t>
      </w:r>
    </w:p>
    <w:p>
      <w:pPr>
        <w:ind w:left="720" w:right="720"/>
        <w:jc w:val="both"/>
        <w:rPr>
          <w:sz w:val="21"/>
          <w:szCs w:val="21"/>
        </w:rPr>
      </w:pPr>
      <w:r>
        <w:t>the insurer’s motor carrier must or should have been authorized to do business in Georgia, thereby statutorily requiring the motor carrier to have obtained . . . liability insurance and the insurer to have filed the certificate of insurance. . . Accordingly, if the carrier solely engages in interstate commerce over the public highways of Georgia, the certificate of insurance … is not required.</w:t>
      </w:r>
      <w:r>
        <w:rPr>
          <w:sz w:val="21"/>
          <w:szCs w:val="21"/>
        </w:rPr>
        <w:t xml:space="preserve"> </w:t>
      </w:r>
      <w:r>
        <w:rPr>
          <w:rStyle w:val="EndnoteReference"/>
          <w:rFonts w:ascii="Century Schoolbook" w:hAnsi="Century Schoolbook"/>
          <w:sz w:val="21"/>
          <w:szCs w:val="21"/>
        </w:rPr>
        <w:endnoteReference w:id="186"/>
      </w:r>
      <w:r>
        <w:rPr>
          <w:sz w:val="21"/>
          <w:szCs w:val="21"/>
        </w:rPr>
        <w:t xml:space="preserve">  </w:t>
      </w:r>
    </w:p>
    <w:p>
      <w:pPr>
        <w:pStyle w:val="BodyTextFirstIndent"/>
      </w:pPr>
      <w:r>
        <w:t>Because a certificate of insurance was not required for the interstate motor carrier, the Court found that a direct action against its insurer was not permitted.</w:t>
      </w:r>
      <w:r>
        <w:rPr>
          <w:rStyle w:val="EndnoteReference"/>
          <w:rFonts w:ascii="Century Schoolbook" w:hAnsi="Century Schoolbook"/>
          <w:sz w:val="21"/>
          <w:szCs w:val="21"/>
        </w:rPr>
        <w:endnoteReference w:id="187"/>
      </w:r>
      <w:bookmarkStart w:id="34" w:name="_Toc384899983"/>
    </w:p>
    <w:p>
      <w:pPr>
        <w:pStyle w:val="BodyTextFirstIndent"/>
        <w:ind w:firstLine="0"/>
        <w:jc w:val="center"/>
        <w:rPr>
          <w:b/>
        </w:rPr>
      </w:pPr>
      <w:r>
        <w:rPr>
          <w:b/>
        </w:rPr>
        <w:t>C.</w:t>
      </w:r>
      <w:r>
        <w:rPr>
          <w:b/>
        </w:rPr>
        <w:tab/>
        <w:t>Impact of the Federal Unified Carrier Registration (UCR) System of 2005 on Georgia’s Regulation of Motor Carriers</w:t>
      </w:r>
      <w:bookmarkEnd w:id="34"/>
    </w:p>
    <w:p>
      <w:pPr>
        <w:pStyle w:val="BodyTextFirstIndent"/>
      </w:pPr>
      <w:r>
        <w:t>The federal SSRS was abandoned in 2008 with the enactment of the federal “Unified Carrier Registration Agreement. ("UCR")”</w:t>
      </w:r>
      <w:r>
        <w:rPr>
          <w:rStyle w:val="EndnoteReference"/>
          <w:rFonts w:ascii="Century Schoolbook" w:hAnsi="Century Schoolbook"/>
          <w:sz w:val="21"/>
          <w:szCs w:val="21"/>
        </w:rPr>
        <w:endnoteReference w:id="188"/>
      </w:r>
      <w:r>
        <w:t xml:space="preserve">  Georgia opted to join the UCR Agreement and enacted O.C.G.A. § 40-2-140</w:t>
      </w:r>
      <w:r>
        <w:rPr>
          <w:rStyle w:val="EndnoteReference"/>
          <w:rFonts w:ascii="Century Schoolbook" w:hAnsi="Century Schoolbook"/>
          <w:sz w:val="21"/>
          <w:szCs w:val="21"/>
        </w:rPr>
        <w:endnoteReference w:id="189"/>
      </w:r>
      <w:r>
        <w:t xml:space="preserve"> in 2009 to administer the UCR system in Georgia.</w:t>
      </w:r>
      <w:r>
        <w:rPr>
          <w:rStyle w:val="EndnoteReference"/>
          <w:rFonts w:ascii="Century Schoolbook" w:hAnsi="Century Schoolbook"/>
          <w:sz w:val="21"/>
          <w:szCs w:val="21"/>
        </w:rPr>
        <w:endnoteReference w:id="190"/>
      </w:r>
      <w:r>
        <w:tab/>
        <w:t xml:space="preserve">   O.C.G.A. § 40-2-140  provides that:</w:t>
      </w:r>
    </w:p>
    <w:p>
      <w:pPr>
        <w:pStyle w:val="BBDoubleIndent"/>
      </w:pPr>
      <w:r>
        <w:t xml:space="preserve">(a) The Department of Revenue shall be the </w:t>
      </w:r>
      <w:r>
        <w:lastRenderedPageBreak/>
        <w:t>state agency responsible for the administration of the federal Unified Carrier Registration Act of 2005, which includes participating in the development, implementation, and administration of the Unified Carrier Registration Agreement.</w:t>
      </w:r>
    </w:p>
    <w:p>
      <w:pPr>
        <w:pStyle w:val="BBDoubleIndent"/>
      </w:pPr>
      <w:r>
        <w:t>(b) Every foreign or domestic motor carrier, leasing company leasing to a motor carrier, broker, or freight forwarder that engages in interstate commerce in this state shall register with the commissioner or a base state and pay all fees as required by the federal Unified Carrier Registration Act of 2005.</w:t>
      </w:r>
    </w:p>
    <w:p>
      <w:pPr>
        <w:pStyle w:val="BBDoubleIndent"/>
      </w:pPr>
      <w:r>
        <w:t>(c)(1) Any motor carrier, leasing company leasing to a motor carrier, broker, or freight forwarder that engages in intrastate commerce and operates a motor vehicle on or over any public highway of this state shall register with the commissioner and pay a fee determined by the commissioner.</w:t>
      </w:r>
    </w:p>
    <w:p>
      <w:pPr>
        <w:pStyle w:val="BBDoubleIndent"/>
      </w:pPr>
      <w:r>
        <w:t xml:space="preserve">(2) No motor carrier shall be issued a registration unless there is filed with the commissioner or the Federal Motor Carrier Safety Administration or </w:t>
      </w:r>
      <w:r>
        <w:lastRenderedPageBreak/>
        <w:t xml:space="preserve">any successor agency a certificate of insurance for such applicant or holder, on forms prescribed by the commissioner, evidencing a policy of indemnity insurance by an insurance company licensed to do business in this state. Such policy shall provide for the protection of passengers in passenger vehicles and the protection of the public against the negligence of such motor carrier, and its servants or agents, when it is determined to be the proximate cause of any injury. The commissioner shall determine and fix the amounts of such indemnity insurance and shall prescribe the provisions and limitations thereof. The insurer shall file such certificate. Failure to file any form required by the commissioner shall not diminish the rights of any person to pursue an action directly against a motor carrier's insurer. The insurer may file its certificate of insurance electronically with the commissioner. </w:t>
      </w:r>
    </w:p>
    <w:p>
      <w:pPr>
        <w:pStyle w:val="BBDoubleIndent"/>
      </w:pPr>
      <w:r>
        <w:t xml:space="preserve">(3) The commissioner shall have the power to permit self-insurance in lieu of a policy of </w:t>
      </w:r>
      <w:r>
        <w:lastRenderedPageBreak/>
        <w:t xml:space="preserve">indemnity insurance whenever in his or her opinion the financial ability of the motor carrier so warrants. </w:t>
      </w:r>
    </w:p>
    <w:p>
      <w:pPr>
        <w:pStyle w:val="BBDoubleIndent"/>
      </w:pPr>
      <w:r>
        <w:t xml:space="preserve">(4) Any person having a cause of action, whether arising in tort or contract, under this Code section may join in the same cause of action the motor carrier and its insurance carrier. </w:t>
      </w:r>
      <w:r>
        <w:br/>
        <w:t>(emphasis added).</w:t>
      </w:r>
      <w:r>
        <w:rPr>
          <w:rStyle w:val="EndnoteReference"/>
          <w:rFonts w:ascii="Century Schoolbook" w:hAnsi="Century Schoolbook"/>
          <w:vertAlign w:val="baseline"/>
        </w:rPr>
        <w:t xml:space="preserve"> </w:t>
      </w:r>
      <w:r>
        <w:rPr>
          <w:rStyle w:val="EndnoteReference"/>
          <w:rFonts w:ascii="Century Schoolbook" w:hAnsi="Century Schoolbook"/>
          <w:sz w:val="21"/>
          <w:szCs w:val="21"/>
        </w:rPr>
        <w:endnoteReference w:id="191"/>
      </w:r>
    </w:p>
    <w:p>
      <w:pPr>
        <w:pStyle w:val="BodyTextFirstIndent"/>
      </w:pPr>
      <w:r>
        <w:t xml:space="preserve">Notably, under this statute, the direct action component is found in subsection (c) of the statute.  Subsection (c) pertains to </w:t>
      </w:r>
      <w:r>
        <w:rPr>
          <w:i/>
        </w:rPr>
        <w:t xml:space="preserve">intrastate </w:t>
      </w:r>
      <w:r>
        <w:t xml:space="preserve">carriers only.  Subsection (b), which pertains to </w:t>
      </w:r>
      <w:r>
        <w:rPr>
          <w:i/>
        </w:rPr>
        <w:t>interstate c</w:t>
      </w:r>
      <w:r>
        <w:t>arriers, does not have a provision permitting a direct action against an interstate carrier that is registered in Georgia as its base state under the UCR Agreement.  Based upon rules of statutory construction, an argument can be made that this direct action provision only applies to carriers specifically identified in subsection (c) of the statute—</w:t>
      </w:r>
      <w:r>
        <w:rPr>
          <w:i/>
        </w:rPr>
        <w:t>intrastate</w:t>
      </w:r>
      <w:r>
        <w:t xml:space="preserve"> carriers.</w:t>
      </w:r>
      <w:r>
        <w:rPr>
          <w:rStyle w:val="EndnoteReference"/>
          <w:rFonts w:ascii="Century Schoolbook" w:hAnsi="Century Schoolbook"/>
          <w:sz w:val="21"/>
          <w:szCs w:val="21"/>
        </w:rPr>
        <w:t xml:space="preserve"> </w:t>
      </w:r>
      <w:r>
        <w:rPr>
          <w:rStyle w:val="EndnoteReference"/>
          <w:rFonts w:ascii="Century Schoolbook" w:hAnsi="Century Schoolbook"/>
          <w:sz w:val="21"/>
          <w:szCs w:val="21"/>
        </w:rPr>
        <w:endnoteReference w:id="192"/>
      </w:r>
      <w:r>
        <w:t xml:space="preserve">  </w:t>
      </w:r>
    </w:p>
    <w:p>
      <w:pPr>
        <w:pStyle w:val="BodyTextFirstIndent"/>
      </w:pPr>
      <w:r>
        <w:t>In addition, an argument can be made that O.C.G.A. § 40-1-126</w:t>
      </w:r>
      <w:r>
        <w:rPr>
          <w:rStyle w:val="EndnoteReference"/>
          <w:rFonts w:ascii="Century Schoolbook" w:hAnsi="Century Schoolbook"/>
          <w:sz w:val="21"/>
          <w:szCs w:val="21"/>
        </w:rPr>
        <w:endnoteReference w:id="193"/>
      </w:r>
      <w:r>
        <w:t xml:space="preserve"> prohibits state regulation of the interstate aspects of a motor carrier’s operations.   O.C.G.A. § 40-1-126 provides that:</w:t>
      </w:r>
    </w:p>
    <w:p>
      <w:pPr>
        <w:pStyle w:val="BBDoubleIndent"/>
      </w:pPr>
      <w:r>
        <w:t xml:space="preserve">In circumstances where a motor carrier is engaged in both interstate and intrastate commerce, it shall nevertheless be subject to all the provisions of this part so </w:t>
      </w:r>
      <w:r>
        <w:lastRenderedPageBreak/>
        <w:t xml:space="preserve">far as it separately relates to commerce carried on exclusively in this state. It is not intended that the department shall have the power of regulating the interstate commerce of such motor carrier, except to the extent expressly authorized by this part as to such commerce. The provisions of this part do not apply to purely interstate commerce nor to carriers exclusively engaged in interstate commerce. When a motor carrier is engaged in both intrastate and interstate commerce, it shall be subject to all the provisions of this part so far as they separately relate to commerce carried on in this state. </w:t>
      </w:r>
    </w:p>
    <w:p>
      <w:pPr>
        <w:pStyle w:val="BBDoubleIndent"/>
      </w:pPr>
      <w:r>
        <w:t>(emphasis added).</w:t>
      </w:r>
      <w:r>
        <w:rPr>
          <w:rStyle w:val="EndnoteReference"/>
          <w:rFonts w:ascii="Century Schoolbook" w:hAnsi="Century Schoolbook"/>
          <w:sz w:val="21"/>
          <w:szCs w:val="21"/>
        </w:rPr>
        <w:endnoteReference w:id="194"/>
      </w:r>
    </w:p>
    <w:p>
      <w:pPr>
        <w:pStyle w:val="BodyTextFirstIndent"/>
      </w:pPr>
      <w:r>
        <w:t>A former version of O.C.G.A. § 40-1-126 was analyzed by the United States District Court, Middle District of Georgia in determining whether a direct action was permitted against the insurer of an interstate motor carrier under former O.C.G.A. § 46-7-12.  In finding that a direct action was not permitted against the insurer of an interstate only motor carrier, the Court found that:</w:t>
      </w:r>
    </w:p>
    <w:p>
      <w:pPr>
        <w:pStyle w:val="BBDoubleIndent"/>
      </w:pPr>
      <w:r>
        <w:t xml:space="preserve">A plain reading of O.C.G.A. § 46-7-36 [now codified at O.C.G.A. § 40-1-126] therefore indicates </w:t>
      </w:r>
      <w:r>
        <w:lastRenderedPageBreak/>
        <w:t xml:space="preserve">that the commerce in which the interstate motor carrier was engaged must have been intrastate in nature to subject the interstate motor carrier, and thus its insurer to a direct action. </w:t>
      </w:r>
    </w:p>
    <w:p>
      <w:pPr>
        <w:pStyle w:val="BBDoubleIndent"/>
      </w:pPr>
      <w:r>
        <w:t>(emphasis supplied).</w:t>
      </w:r>
      <w:r>
        <w:rPr>
          <w:rStyle w:val="EndnoteReference"/>
          <w:rFonts w:ascii="Century Schoolbook" w:hAnsi="Century Schoolbook"/>
          <w:sz w:val="21"/>
          <w:szCs w:val="21"/>
        </w:rPr>
        <w:endnoteReference w:id="195"/>
      </w:r>
      <w:r>
        <w:t xml:space="preserve"> </w:t>
      </w:r>
    </w:p>
    <w:p>
      <w:pPr>
        <w:pStyle w:val="BodyTextFirstIndent"/>
      </w:pPr>
      <w:r>
        <w:t>In addition to these arguments under state law, the federal statute establishing the UCR Agreement contains a preemption provision that provides:</w:t>
      </w:r>
    </w:p>
    <w:p>
      <w:pPr>
        <w:pStyle w:val="BBDoubleIndent"/>
      </w:pPr>
      <w:r>
        <w:t>(c) Unreasonable burden.--For purposes of this section, it shall be considered an unreasonable burden upon interstate commerce for any State or any political subdivision of a State, or any political authority of two or more States--</w:t>
      </w:r>
      <w:bookmarkStart w:id="35" w:name="I2BE359B1E54C11E0B4E3AFEE9C117E40"/>
      <w:bookmarkStart w:id="36" w:name="I87FF2A85D5F711E087E98FD66C474270"/>
      <w:bookmarkEnd w:id="35"/>
      <w:bookmarkEnd w:id="36"/>
    </w:p>
    <w:p>
      <w:pPr>
        <w:pStyle w:val="BBDoubleIndent"/>
      </w:pPr>
      <w:r>
        <w:t xml:space="preserve">(1) to enact, impose, or enforce any requirement or standards with respect to, or levy any fee or charge on, any motor carrier or motor private carrier providing transportation or service subject to jurisdiction under subchapter I of chapter 135 (in this section referred to as an “interstate motor carrier” and an “interstate motor private carrier”, respectively) in connection with-- </w:t>
      </w:r>
      <w:bookmarkStart w:id="37" w:name="I2BE359B2E54C11E0B4E3AFEE9C117E40"/>
      <w:bookmarkStart w:id="38" w:name="I87FF2A86D5F711E087E98FD66C474270"/>
      <w:bookmarkEnd w:id="37"/>
      <w:bookmarkEnd w:id="38"/>
    </w:p>
    <w:p>
      <w:pPr>
        <w:pStyle w:val="BBDoubleIndent"/>
      </w:pPr>
      <w:bookmarkStart w:id="39" w:name="SP;73390000a9020"/>
      <w:bookmarkEnd w:id="39"/>
      <w:r>
        <w:lastRenderedPageBreak/>
        <w:t xml:space="preserve">(A) the registration with the State of the interstate operations of the motor carrier or motor private carrier; </w:t>
      </w:r>
      <w:bookmarkStart w:id="40" w:name="I2BE359B3E54C11E0B4E3AFEE9C117E40"/>
      <w:bookmarkStart w:id="41" w:name="I87FF2A87D5F711E087E98FD66C474270"/>
      <w:bookmarkEnd w:id="40"/>
      <w:bookmarkEnd w:id="41"/>
    </w:p>
    <w:p>
      <w:pPr>
        <w:pStyle w:val="BBDoubleIndent"/>
      </w:pPr>
      <w:bookmarkStart w:id="42" w:name="SP;4d8a000011f17"/>
      <w:bookmarkEnd w:id="42"/>
      <w:r>
        <w:t>(B) the filing with the State of information relating to the financial responsibility of a motor carrier or motor private carrier pursuant to sections 31138 or 31139</w:t>
      </w:r>
      <w:bookmarkStart w:id="43" w:name="SP;4e350000f8fd7"/>
      <w:bookmarkStart w:id="44" w:name="I2BE359B4E54C11E0B4E3AFEE9C117E40"/>
      <w:bookmarkStart w:id="45" w:name="I87FF2A88D5F711E087E98FD66C474270"/>
      <w:bookmarkEnd w:id="43"/>
      <w:bookmarkEnd w:id="44"/>
      <w:bookmarkEnd w:id="45"/>
      <w:r>
        <w:t>.</w:t>
      </w:r>
      <w:r>
        <w:rPr>
          <w:rStyle w:val="EndnoteReference"/>
          <w:rFonts w:ascii="Century Schoolbook" w:hAnsi="Century Schoolbook"/>
          <w:sz w:val="21"/>
          <w:szCs w:val="21"/>
        </w:rPr>
        <w:endnoteReference w:id="196"/>
      </w:r>
      <w:r>
        <w:t xml:space="preserve"> </w:t>
      </w:r>
    </w:p>
    <w:p>
      <w:pPr>
        <w:pStyle w:val="BBDoubleIndent"/>
        <w:rPr>
          <w:sz w:val="21"/>
          <w:szCs w:val="21"/>
        </w:rPr>
      </w:pPr>
      <w:r>
        <w:rPr>
          <w:sz w:val="21"/>
          <w:szCs w:val="21"/>
        </w:rPr>
        <w:t>(</w:t>
      </w:r>
      <w:r>
        <w:t>emphasis</w:t>
      </w:r>
      <w:r>
        <w:rPr>
          <w:sz w:val="21"/>
          <w:szCs w:val="21"/>
        </w:rPr>
        <w:t xml:space="preserve"> added).</w:t>
      </w:r>
    </w:p>
    <w:p>
      <w:pPr>
        <w:pStyle w:val="BodyTextFirstIndent"/>
      </w:pPr>
      <w:r>
        <w:t xml:space="preserve">There are no Georgia appellate decisions construing O.C.G.A. § 40-2-140.  In a federal district court opinion, however, the Northern District of Georgia rejected an argument that the insurer of an </w:t>
      </w:r>
      <w:r>
        <w:rPr>
          <w:i/>
        </w:rPr>
        <w:t>interstate</w:t>
      </w:r>
      <w:r>
        <w:t>-only motor carrier was not subject to a direct action.</w:t>
      </w:r>
      <w:r>
        <w:rPr>
          <w:rStyle w:val="EndnoteReference"/>
          <w:rFonts w:ascii="Century Schoolbook" w:hAnsi="Century Schoolbook"/>
          <w:sz w:val="21"/>
          <w:szCs w:val="21"/>
        </w:rPr>
        <w:endnoteReference w:id="197"/>
      </w:r>
      <w:r>
        <w:t xml:space="preserve">  In </w:t>
      </w:r>
      <w:r>
        <w:rPr>
          <w:i/>
        </w:rPr>
        <w:t>Bramlett v. Bajric,</w:t>
      </w:r>
      <w:r>
        <w:t xml:space="preserve"> the insurance carrier argued that it was not subject to a direct action under O.C.G.A. § 40-2-140 because the carrier insured an interstate-only motor carrier.  </w:t>
      </w:r>
    </w:p>
    <w:p>
      <w:pPr>
        <w:pStyle w:val="BodyTextFirstIndent"/>
      </w:pPr>
      <w:r>
        <w:t xml:space="preserve">The Court, rejecting an argument that subsection (c) (4) of O.C.G.A. § 40-2-140 only applies to intrastate carriers, found that: </w:t>
      </w:r>
    </w:p>
    <w:p>
      <w:pPr>
        <w:pStyle w:val="BBDoubleIndent"/>
        <w:rPr>
          <w:rFonts w:eastAsia="MS Mincho"/>
        </w:rPr>
      </w:pPr>
      <w:r>
        <w:rPr>
          <w:rFonts w:eastAsia="MS Mincho"/>
        </w:rPr>
        <w:t xml:space="preserve">insurers of interstate carriers can be joined as parties under the statute. First, the statutory language itself indicates that the joinder provisions apply to both intrastate and interstate carriers. O.C.G.A. § 40–2–140(c) (4) states that “[a]ny person having a cause of action, whether </w:t>
      </w:r>
      <w:r>
        <w:rPr>
          <w:rFonts w:eastAsia="MS Mincho"/>
        </w:rPr>
        <w:lastRenderedPageBreak/>
        <w:t>arising in tort or contract, under this Code section may join in the same cause of action the motor carrier and its insurance carrier.” The phrase “Code section,” as used throughout the Georgia Code, refers to the entire § 40–2–140.</w:t>
      </w:r>
      <w:bookmarkStart w:id="46" w:name="Document1zzF00112028909583"/>
      <w:bookmarkEnd w:id="46"/>
      <w:r>
        <w:rPr>
          <w:rFonts w:eastAsia="MS Mincho"/>
        </w:rPr>
        <w:t xml:space="preserve"> The proper title for the section is Title 40, Chapter 2, Article 6A, § 40–2–140.  . . . In the absence of any constraining language, there is no reason to think that the § 40–2–140 (c) (4)'s reference to “this Code section” refers to anything but the entire code section, 40–2–140. Therefore, the plain language of the statute indicates that injured parties are able to join the insurers of interstate motor carriers.</w:t>
      </w:r>
      <w:r>
        <w:rPr>
          <w:rStyle w:val="EndnoteReference"/>
          <w:rFonts w:ascii="Century Schoolbook" w:eastAsia="MS Mincho" w:hAnsi="Century Schoolbook" w:cs="Verdana"/>
          <w:color w:val="000000"/>
          <w:sz w:val="21"/>
          <w:szCs w:val="21"/>
        </w:rPr>
        <w:endnoteReference w:id="198"/>
      </w:r>
    </w:p>
    <w:p>
      <w:pPr>
        <w:pStyle w:val="BodyTextFirstIndent"/>
      </w:pPr>
      <w:r>
        <w:t xml:space="preserve">The Court in </w:t>
      </w:r>
      <w:r>
        <w:rPr>
          <w:i/>
        </w:rPr>
        <w:t>Bramlet</w:t>
      </w:r>
      <w:r>
        <w:t xml:space="preserve"> further found that:</w:t>
      </w:r>
    </w:p>
    <w:p>
      <w:pPr>
        <w:pStyle w:val="BBDoubleIndent"/>
      </w:pPr>
      <w:r>
        <w:t xml:space="preserve">the broad language within section (c) (2) strongly supports the conclusion that the statute is intended to ensure that motorists injured in Georgia can sue a motor carrier and its insurer without regard to the carrier's scope of business.  . . . Finally, there is no indication that the 2009 amendments removed the ability to join insurers of </w:t>
      </w:r>
      <w:r>
        <w:lastRenderedPageBreak/>
        <w:t xml:space="preserve">interstate motor carriers. In Westport Trucking Co. v. Griffin, 254 Ga. 361 (1985), the Georgia Supreme Court faced the question of “whether a motorist injured in a collision with a truck operated by a motor contract carrier engaged solely in interstate commerce may join the motor carrier's liability insurer in the motorist's suit for personal injuries.”   Id. at 361. . . .The high court pointed to O.C.G.A. § 47–7–58(e), the former direct action statute, . . . [and] concluded that the statute was applicable to interstate as well as intrastate carriers. Id. at 363. </w:t>
      </w:r>
      <w:r>
        <w:rPr>
          <w:rStyle w:val="EndnoteReference"/>
          <w:rFonts w:ascii="Century Schoolbook" w:hAnsi="Century Schoolbook"/>
          <w:sz w:val="21"/>
          <w:szCs w:val="21"/>
        </w:rPr>
        <w:endnoteReference w:id="199"/>
      </w:r>
    </w:p>
    <w:p>
      <w:pPr>
        <w:pStyle w:val="BodyTextFirstIndent"/>
      </w:pPr>
      <w:r>
        <w:t>Of course, until a Georgia Court addresses this issue, it remains unknown whether the federal court’s interpretation of O.C.G.A. § 40-2-140 is correct.</w:t>
      </w:r>
      <w:bookmarkStart w:id="47" w:name="_Toc384899984"/>
    </w:p>
    <w:p>
      <w:pPr>
        <w:pStyle w:val="BodyTextFirstIndent"/>
        <w:ind w:firstLine="0"/>
        <w:jc w:val="center"/>
        <w:rPr>
          <w:b/>
        </w:rPr>
      </w:pPr>
      <w:r>
        <w:rPr>
          <w:b/>
        </w:rPr>
        <w:t>D.</w:t>
      </w:r>
      <w:r>
        <w:rPr>
          <w:b/>
        </w:rPr>
        <w:tab/>
        <w:t>Georgia Motor Common Carrier Act of 2012</w:t>
      </w:r>
      <w:bookmarkEnd w:id="47"/>
    </w:p>
    <w:p>
      <w:pPr>
        <w:pStyle w:val="BodyTextFirstIndent"/>
      </w:pPr>
      <w:r>
        <w:t>In 2012, the Georgia General Assembly enacted the Motor Carrier Act of 2012.</w:t>
      </w:r>
      <w:r>
        <w:rPr>
          <w:rStyle w:val="EndnoteReference"/>
          <w:sz w:val="21"/>
          <w:szCs w:val="21"/>
        </w:rPr>
        <w:endnoteReference w:id="200"/>
      </w:r>
      <w:r>
        <w:t xml:space="preserve">  This Act created a Motor Carrier Compliance Division in the Georgia Department of Public Safety to regulate motor carriers and limousine carriers.</w:t>
      </w:r>
      <w:r>
        <w:rPr>
          <w:rStyle w:val="EndnoteReference"/>
          <w:sz w:val="21"/>
          <w:szCs w:val="21"/>
        </w:rPr>
        <w:endnoteReference w:id="201"/>
      </w:r>
      <w:r>
        <w:t xml:space="preserve">  Within the Motor Carrier Compliance Division, two sections were created: the Motor Carrier Compliance Enforcement Section and the Motor Carrier </w:t>
      </w:r>
      <w:r>
        <w:lastRenderedPageBreak/>
        <w:t>Regulation Compliance Section.</w:t>
      </w:r>
      <w:r>
        <w:rPr>
          <w:rStyle w:val="EndnoteReference"/>
          <w:sz w:val="21"/>
          <w:szCs w:val="21"/>
        </w:rPr>
        <w:endnoteReference w:id="202"/>
      </w:r>
      <w:r>
        <w:t xml:space="preserve">  The Motor Carrier Regulation Compliance Section is charged with regulating the operation of motor carriers and limousine carriers while the Motor Carrier Compliance Enforcement Section is a law enforcement section.  Any regulation previously handled by the Georgia PSC was transferred to the Department of Public Safety.</w:t>
      </w:r>
      <w:r>
        <w:rPr>
          <w:rStyle w:val="EndnoteReference"/>
          <w:sz w:val="21"/>
          <w:szCs w:val="21"/>
        </w:rPr>
        <w:endnoteReference w:id="203"/>
      </w:r>
    </w:p>
    <w:p>
      <w:pPr>
        <w:pStyle w:val="BodyTextFirstIndent"/>
      </w:pPr>
      <w:r>
        <w:t>Pursuant to O.C.G.A. § 40-1-101</w:t>
      </w:r>
      <w:r>
        <w:rPr>
          <w:rStyle w:val="EndnoteReference"/>
          <w:sz w:val="21"/>
          <w:szCs w:val="21"/>
        </w:rPr>
        <w:endnoteReference w:id="204"/>
      </w:r>
      <w:r>
        <w:t>, any motor carrier operating in Georgia is subject to the requirements of the Motor Carrier Act and the Department of Public Safety is vested with power to regulate the motor carrier unless prohibited by federal law.  Motor carriers are required to obtain a certificate to operate and to maintain liability insurance as provided by Department of Public Safety regulations.</w:t>
      </w:r>
      <w:r>
        <w:rPr>
          <w:rStyle w:val="EndnoteReference"/>
          <w:sz w:val="21"/>
          <w:szCs w:val="21"/>
        </w:rPr>
        <w:endnoteReference w:id="205"/>
      </w:r>
    </w:p>
    <w:p>
      <w:pPr>
        <w:pStyle w:val="BodyTextFirstIndent"/>
      </w:pPr>
      <w:r>
        <w:t>The Motor Carrier Act provides that a motor carrier cannot be issued a certificate to operate in Georgia unless the motor carrier filed a certificate of insurance with the Department of Public Safety.</w:t>
      </w:r>
      <w:r>
        <w:rPr>
          <w:rStyle w:val="EndnoteReference"/>
          <w:sz w:val="21"/>
          <w:szCs w:val="21"/>
        </w:rPr>
        <w:endnoteReference w:id="206"/>
      </w:r>
      <w:r>
        <w:t xml:space="preserve">  O.C.G.A. § 40-1-103</w:t>
      </w:r>
      <w:r>
        <w:rPr>
          <w:rStyle w:val="EndnoteReference"/>
          <w:sz w:val="21"/>
          <w:szCs w:val="21"/>
        </w:rPr>
        <w:endnoteReference w:id="207"/>
      </w:r>
      <w:r>
        <w:t xml:space="preserve"> provides that a motor carrier certificate can only be issued to a motor carrier business domiciled in Georgia.  The Motor Carrier Act of 2012 also provides for a direct action against insurers of motor carriers in O.C.G.A. § 40-1-112.  </w:t>
      </w:r>
    </w:p>
    <w:p>
      <w:pPr>
        <w:pStyle w:val="BodyTextFirstIndent"/>
      </w:pPr>
      <w:r>
        <w:t xml:space="preserve">Thus, at this time, there are two Direct Action Statutes: O.C.G.A. § 40-1-112, which applies to motor carriers operating pursuant to a permit issued by the Georgia Department of Public Safety, and O.C.G.A. § 40-2-140 (discussed at length above) which was enacted in </w:t>
      </w:r>
      <w:r>
        <w:lastRenderedPageBreak/>
        <w:t>order to administer the UCR system in Georgia.  The administrative functions previously handled by the Georgia PSC and the Georgia Department of Revenue are now handled by the Georgia Department of Public Safety.</w:t>
      </w:r>
      <w:r>
        <w:rPr>
          <w:rStyle w:val="EndnoteReference"/>
          <w:sz w:val="21"/>
          <w:szCs w:val="21"/>
        </w:rPr>
        <w:endnoteReference w:id="208"/>
      </w:r>
      <w:r>
        <w:t xml:space="preserve"> </w:t>
      </w:r>
    </w:p>
    <w:p>
      <w:pPr>
        <w:pStyle w:val="BodyTextFirstIndent"/>
      </w:pPr>
      <w:r>
        <w:t xml:space="preserve">As discussed above, O.C.G.A. § 40-1-126 limits the authority of the Motor Carrier Act of 2012 to a motor carrier’s </w:t>
      </w:r>
      <w:r>
        <w:rPr>
          <w:i/>
        </w:rPr>
        <w:t xml:space="preserve">intrastate </w:t>
      </w:r>
      <w:r>
        <w:t xml:space="preserve">operations.  Based upon this statute, along with O.C.G.A. § 40-1-103 (b), an argument can be made that the Direct Action Statute now found at O.C.G.A. § 40-1-112 only applies to the </w:t>
      </w:r>
      <w:r>
        <w:rPr>
          <w:i/>
        </w:rPr>
        <w:t>intrastate</w:t>
      </w:r>
      <w:r>
        <w:t xml:space="preserve"> operations of a motor carrier that is domiciled in Georgia.  There have been no appellate decisions interpreting these statutory provisions to date.</w:t>
      </w:r>
      <w:bookmarkStart w:id="48" w:name="_Toc384899985"/>
    </w:p>
    <w:p>
      <w:pPr>
        <w:pStyle w:val="BodyTextFirstIndent"/>
        <w:ind w:left="720" w:hanging="720"/>
        <w:jc w:val="left"/>
        <w:rPr>
          <w:b/>
        </w:rPr>
      </w:pPr>
      <w:r>
        <w:rPr>
          <w:b/>
        </w:rPr>
        <w:t>III.</w:t>
      </w:r>
      <w:r>
        <w:rPr>
          <w:b/>
        </w:rPr>
        <w:tab/>
        <w:t>Proving the Direct Action Against the Insurance Carrier</w:t>
      </w:r>
      <w:bookmarkStart w:id="49" w:name="_Toc384899986"/>
      <w:bookmarkEnd w:id="48"/>
    </w:p>
    <w:p>
      <w:pPr>
        <w:pStyle w:val="BodyTextFirstIndent"/>
        <w:ind w:firstLine="0"/>
        <w:jc w:val="center"/>
        <w:rPr>
          <w:b/>
        </w:rPr>
      </w:pPr>
      <w:r>
        <w:rPr>
          <w:b/>
        </w:rPr>
        <w:t>A.</w:t>
      </w:r>
      <w:r>
        <w:rPr>
          <w:b/>
        </w:rPr>
        <w:tab/>
        <w:t>Venue as to the Insurance Carrier</w:t>
      </w:r>
      <w:bookmarkEnd w:id="49"/>
    </w:p>
    <w:p>
      <w:pPr>
        <w:pStyle w:val="StyleCenturySchoolbookJustifiedFirstline05"/>
      </w:pPr>
      <w:r>
        <w:t>The Direct Action Statute does not have the effect of making the motor carrier company or the driver of the tractor-trailer a joint tortfeasor with the insurance company.</w:t>
      </w:r>
      <w:r>
        <w:rPr>
          <w:rStyle w:val="EndnoteReference"/>
          <w:sz w:val="21"/>
          <w:szCs w:val="21"/>
        </w:rPr>
        <w:endnoteReference w:id="209"/>
      </w:r>
      <w:r>
        <w:t xml:space="preserve">  In </w:t>
      </w:r>
      <w:r>
        <w:rPr>
          <w:i/>
        </w:rPr>
        <w:t>Thomas v. Bobby Stevens Hauling Contractors, Inc.</w:t>
      </w:r>
      <w:r>
        <w:t>, the Georgia Court of Appeals held that former Direct Action Statute, O.C.G.A. § 46-7-12, “established an independent cause of action against the carrier’s insurer on behalf of a member of the public injured by the carrier’s negligence.”</w:t>
      </w:r>
      <w:r>
        <w:rPr>
          <w:rStyle w:val="EndnoteReference"/>
          <w:sz w:val="21"/>
          <w:szCs w:val="21"/>
        </w:rPr>
        <w:endnoteReference w:id="210"/>
      </w:r>
      <w:r>
        <w:t xml:space="preserve">  This cause of action, however, “is not on the tort; but on the contract by alleging the occurrence of the condition precedent required by the statute, which statute is an integral part of the contract of insurance.”</w:t>
      </w:r>
      <w:r>
        <w:rPr>
          <w:rStyle w:val="EndnoteReference"/>
          <w:sz w:val="21"/>
          <w:szCs w:val="21"/>
        </w:rPr>
        <w:endnoteReference w:id="211"/>
      </w:r>
      <w:r>
        <w:t xml:space="preserve">  Therefore, any action against the insurance carrier must independently satisfy constitutional </w:t>
      </w:r>
      <w:r>
        <w:lastRenderedPageBreak/>
        <w:t>venue requirements.</w:t>
      </w:r>
      <w:r>
        <w:rPr>
          <w:rStyle w:val="EndnoteReference"/>
          <w:sz w:val="21"/>
          <w:szCs w:val="21"/>
        </w:rPr>
        <w:endnoteReference w:id="212"/>
      </w:r>
      <w:r>
        <w:t xml:space="preserve">  Generally, venue as to an insurance carrier is appropriate in the county where it has a registered agent for service of process or in any county where it has an agent or maintains a place of doing business.</w:t>
      </w:r>
      <w:r>
        <w:rPr>
          <w:rStyle w:val="EndnoteReference"/>
          <w:sz w:val="21"/>
          <w:szCs w:val="21"/>
        </w:rPr>
        <w:endnoteReference w:id="213"/>
      </w:r>
      <w:bookmarkStart w:id="50" w:name="_Toc384899987"/>
    </w:p>
    <w:p>
      <w:pPr>
        <w:pStyle w:val="StyleCenturySchoolbookJustifiedFirstline05"/>
        <w:keepNext/>
        <w:keepLines/>
        <w:ind w:firstLine="0"/>
        <w:jc w:val="center"/>
        <w:rPr>
          <w:b/>
        </w:rPr>
      </w:pPr>
      <w:r>
        <w:rPr>
          <w:b/>
        </w:rPr>
        <w:t>B.</w:t>
      </w:r>
      <w:r>
        <w:rPr>
          <w:b/>
        </w:rPr>
        <w:tab/>
        <w:t>Proving the Direct Action Claim at Trial</w:t>
      </w:r>
      <w:bookmarkEnd w:id="50"/>
    </w:p>
    <w:p>
      <w:pPr>
        <w:pStyle w:val="BodyTextFirstIndent"/>
      </w:pPr>
      <w:r>
        <w:t>The Direct Action is an action against the insurer of the motor carrier tortfeasor.  Proof of the direct action against the insurance carrier requires different elements of proof than the injured party’s tort claim against the tortfeasor.  The plaintiff in a direct action claim has the burden of proving that the direct action statute applies.</w:t>
      </w:r>
      <w:r>
        <w:rPr>
          <w:rStyle w:val="EndnoteReference"/>
          <w:sz w:val="21"/>
          <w:szCs w:val="21"/>
        </w:rPr>
        <w:endnoteReference w:id="214"/>
      </w:r>
    </w:p>
    <w:p>
      <w:pPr>
        <w:pStyle w:val="BodyTextFirstIndent"/>
        <w:rPr>
          <w:rFonts w:ascii="Times New Roman" w:hAnsi="Times New Roman"/>
          <w:sz w:val="23"/>
          <w:szCs w:val="23"/>
          <w:u w:val="single"/>
        </w:rPr>
      </w:pPr>
      <w:r>
        <w:t xml:space="preserve">In order to recover on a direct action claim, the plaintiff must prove the policy as well as the policy limit.  In </w:t>
      </w:r>
      <w:r>
        <w:rPr>
          <w:rFonts w:ascii="Times New Roman" w:hAnsi="Times New Roman"/>
          <w:i/>
          <w:sz w:val="23"/>
          <w:szCs w:val="23"/>
        </w:rPr>
        <w:t>Carolina Casualty Insurance Company v. Davalos</w:t>
      </w:r>
      <w:r>
        <w:rPr>
          <w:rFonts w:ascii="Times New Roman" w:hAnsi="Times New Roman"/>
          <w:sz w:val="23"/>
          <w:szCs w:val="23"/>
        </w:rPr>
        <w:t>,</w:t>
      </w:r>
      <w:r>
        <w:rPr>
          <w:rStyle w:val="EndnoteReference"/>
          <w:sz w:val="21"/>
          <w:szCs w:val="21"/>
        </w:rPr>
        <w:endnoteReference w:id="215"/>
      </w:r>
      <w:r>
        <w:rPr>
          <w:rFonts w:ascii="Times New Roman" w:hAnsi="Times New Roman"/>
          <w:sz w:val="23"/>
          <w:szCs w:val="23"/>
        </w:rPr>
        <w:t xml:space="preserve"> </w:t>
      </w:r>
      <w:r>
        <w:t>the plaintiff filed a direct action against the insurer of a motor carrier under a former version of the Georgia Direct Action Statute.  The Georgia Supreme Court held that in order to recover under the Georgia Direct Action Statute, the plaintiff must prove the policy limits in order to sustain a judgment against the insurance company</w:t>
      </w:r>
      <w:r>
        <w:rPr>
          <w:rFonts w:ascii="Times New Roman" w:hAnsi="Times New Roman"/>
          <w:sz w:val="23"/>
          <w:szCs w:val="23"/>
        </w:rPr>
        <w:t>.</w:t>
      </w:r>
      <w:r>
        <w:rPr>
          <w:rStyle w:val="EndnoteReference"/>
          <w:sz w:val="21"/>
          <w:szCs w:val="21"/>
        </w:rPr>
        <w:endnoteReference w:id="216"/>
      </w:r>
      <w:r>
        <w:rPr>
          <w:rFonts w:ascii="Times New Roman" w:hAnsi="Times New Roman"/>
          <w:sz w:val="23"/>
          <w:szCs w:val="23"/>
        </w:rPr>
        <w:t xml:space="preserve">  </w:t>
      </w:r>
      <w:r>
        <w:t>However, the court recognized that the plaintiff can prove the policy limit without submitting the policy limit to the jury, “since submission of the policy limits to the jury tends to prejudice the defendants.”</w:t>
      </w:r>
      <w:r>
        <w:rPr>
          <w:rStyle w:val="EndnoteReference"/>
          <w:sz w:val="21"/>
          <w:szCs w:val="21"/>
        </w:rPr>
        <w:endnoteReference w:id="217"/>
      </w:r>
    </w:p>
    <w:p>
      <w:pPr>
        <w:pStyle w:val="BodyTextFirstIndent"/>
        <w:rPr>
          <w:rFonts w:ascii="Times New Roman" w:hAnsi="Times New Roman"/>
          <w:sz w:val="23"/>
          <w:szCs w:val="23"/>
        </w:rPr>
      </w:pPr>
      <w:r>
        <w:t>The Georgia Supreme Court revisited this issue in Ashley v. Goss Bros. Trucking</w:t>
      </w:r>
      <w:r>
        <w:rPr>
          <w:rFonts w:ascii="Times New Roman" w:hAnsi="Times New Roman"/>
          <w:i/>
          <w:sz w:val="23"/>
          <w:szCs w:val="23"/>
        </w:rPr>
        <w:t>.</w:t>
      </w:r>
      <w:r>
        <w:rPr>
          <w:rStyle w:val="EndnoteReference"/>
          <w:i/>
          <w:sz w:val="21"/>
          <w:szCs w:val="21"/>
        </w:rPr>
        <w:endnoteReference w:id="218"/>
      </w:r>
      <w:r>
        <w:rPr>
          <w:rFonts w:ascii="Times New Roman" w:hAnsi="Times New Roman"/>
          <w:sz w:val="23"/>
          <w:szCs w:val="23"/>
        </w:rPr>
        <w:t xml:space="preserve">  </w:t>
      </w:r>
      <w:r>
        <w:t xml:space="preserve">In Ashley, the court held that “the existence of liability coverage must be proven to sustain an </w:t>
      </w:r>
      <w:r>
        <w:lastRenderedPageBreak/>
        <w:t>action against the insurer” under a former version of the Direct Action Statute.</w:t>
      </w:r>
      <w:r>
        <w:rPr>
          <w:rStyle w:val="EndnoteReference"/>
          <w:sz w:val="21"/>
          <w:szCs w:val="21"/>
        </w:rPr>
        <w:endnoteReference w:id="219"/>
      </w:r>
      <w:r>
        <w:rPr>
          <w:rFonts w:ascii="Times New Roman" w:hAnsi="Times New Roman"/>
          <w:sz w:val="23"/>
          <w:szCs w:val="23"/>
        </w:rPr>
        <w:t xml:space="preserve">  </w:t>
      </w:r>
      <w:r>
        <w:t>However, “evidence of the limit of insurance liability coverage should be kept from a jury since it might prejudice the jurors against a defendant and improperly motivate them to recklessly award damages” to plaintiffs.</w:t>
      </w:r>
      <w:r>
        <w:rPr>
          <w:rStyle w:val="EndnoteReference"/>
          <w:sz w:val="21"/>
          <w:szCs w:val="21"/>
        </w:rPr>
        <w:endnoteReference w:id="220"/>
      </w:r>
    </w:p>
    <w:p>
      <w:pPr>
        <w:pStyle w:val="BodyTextFirstIndent"/>
      </w:pPr>
      <w:r>
        <w:t>A trial judge can handle this issue in two ways: either by allowing the insurance policy to be made part of the record but not presenting it to the jury or by presenting the policy to the jury with the limits of coverage redacted from the policy.</w:t>
      </w:r>
      <w:r>
        <w:rPr>
          <w:rStyle w:val="EndnoteReference"/>
          <w:sz w:val="21"/>
          <w:szCs w:val="21"/>
        </w:rPr>
        <w:endnoteReference w:id="221"/>
      </w:r>
      <w:r>
        <w:rPr>
          <w:rFonts w:ascii="Times New Roman" w:hAnsi="Times New Roman"/>
          <w:sz w:val="23"/>
          <w:szCs w:val="23"/>
        </w:rPr>
        <w:t xml:space="preserve">  </w:t>
      </w:r>
      <w:r>
        <w:t>Of the two approaches, it would seem that making the insurance policy part of the record but not presenting it to the jury would be preferable so that the jury is not presented with the policy, even in a redacted form.</w:t>
      </w:r>
      <w:bookmarkStart w:id="51" w:name="_Toc384899988"/>
    </w:p>
    <w:p>
      <w:pPr>
        <w:pStyle w:val="BodyTextFirstIndent"/>
        <w:ind w:left="720" w:hanging="720"/>
        <w:jc w:val="left"/>
        <w:rPr>
          <w:b/>
        </w:rPr>
      </w:pPr>
      <w:r>
        <w:rPr>
          <w:b/>
        </w:rPr>
        <w:t>IV.</w:t>
      </w:r>
      <w:r>
        <w:rPr>
          <w:b/>
        </w:rPr>
        <w:tab/>
        <w:t>Issues Regarding Direct Action Claims</w:t>
      </w:r>
      <w:bookmarkStart w:id="52" w:name="_Toc384899989"/>
      <w:bookmarkEnd w:id="51"/>
    </w:p>
    <w:p>
      <w:pPr>
        <w:pStyle w:val="BodyTextFirstIndent"/>
        <w:ind w:firstLine="0"/>
        <w:jc w:val="center"/>
        <w:rPr>
          <w:b/>
        </w:rPr>
      </w:pPr>
      <w:r>
        <w:rPr>
          <w:b/>
        </w:rPr>
        <w:t>A.</w:t>
      </w:r>
      <w:r>
        <w:rPr>
          <w:b/>
        </w:rPr>
        <w:tab/>
        <w:t>Was the Insured a “Motor Carrier for Hire” at the Time</w:t>
      </w:r>
      <w:r>
        <w:rPr>
          <w:b/>
        </w:rPr>
        <w:br/>
        <w:t>of the Accident?</w:t>
      </w:r>
      <w:bookmarkEnd w:id="52"/>
    </w:p>
    <w:p>
      <w:pPr>
        <w:pStyle w:val="BodyTextFirstIndent"/>
      </w:pPr>
      <w:r>
        <w:t>In order to pursue a direct action against the insurer of a motor carrier, it is a prerequisite that the motor carrier must be a motor carrier for hire at the time of the accident.  A “carrier” is defined by O.C.G.A. § 40-1-100(1)</w:t>
      </w:r>
      <w:r>
        <w:rPr>
          <w:rStyle w:val="EndnoteReference"/>
          <w:rFonts w:ascii="Century Schoolbook" w:hAnsi="Century Schoolbook"/>
          <w:sz w:val="21"/>
          <w:szCs w:val="21"/>
        </w:rPr>
        <w:endnoteReference w:id="222"/>
      </w:r>
      <w:r>
        <w:t xml:space="preserve"> to mean “a person who undertakes the transporting of goods or passengers for compensation.”  O.C.G.A. § 40-1-100 (10) defines a “motor carrier” to mean a person owning, controlling, operating, or managing any motor vehicle used in the business of transporting for hire persons, household goods, or property over the public highways in Georgia.  </w:t>
      </w:r>
      <w:r>
        <w:lastRenderedPageBreak/>
        <w:t>If a carrier is not transporting goods or passengers for compensation, then it is not a carrier under the Motor Carrier Act and its insurance carrier is not subject to direct action.</w:t>
      </w:r>
      <w:r>
        <w:rPr>
          <w:rStyle w:val="EndnoteReference"/>
          <w:rFonts w:ascii="Century Schoolbook" w:hAnsi="Century Schoolbook"/>
          <w:sz w:val="21"/>
          <w:szCs w:val="21"/>
        </w:rPr>
        <w:endnoteReference w:id="223"/>
      </w:r>
    </w:p>
    <w:p>
      <w:pPr>
        <w:pStyle w:val="BodyTextFirstIndent"/>
      </w:pPr>
      <w:r>
        <w:t>In addition, under certain exemptions, a motor carrier for hire is not subject to a direct action.  O.C.G.A. § 40-1-100 (10) (B) provides that certain carriers are not included within the statutory scope of “motor carrier for hire.”  These exempt carriers include vehicles engaged solely in transporting school children to and from school, taxicabs operating within municipalities and subject to the authority of such municipality, limousine carriers, hotel passenger vehicles, motor vehicles operated not for profit to transport elderly or disabled passengers, vehicles owned and operated by the federal government, and ambulances.</w:t>
      </w:r>
      <w:r>
        <w:rPr>
          <w:rStyle w:val="EndnoteReference"/>
          <w:rFonts w:ascii="Century Schoolbook" w:hAnsi="Century Schoolbook"/>
          <w:sz w:val="21"/>
          <w:szCs w:val="21"/>
        </w:rPr>
        <w:endnoteReference w:id="224"/>
      </w:r>
      <w:r>
        <w:t xml:space="preserve">  </w:t>
      </w:r>
    </w:p>
    <w:p>
      <w:pPr>
        <w:pStyle w:val="BodyTextFirstIndent"/>
      </w:pPr>
      <w:r>
        <w:t>Where such an exemption applies, Georgia courts have held that there is no direct action against the insurer of an exempt motor carrier.</w:t>
      </w:r>
      <w:r>
        <w:rPr>
          <w:rStyle w:val="EndnoteReference"/>
          <w:rFonts w:ascii="Century Schoolbook" w:hAnsi="Century Schoolbook"/>
          <w:sz w:val="21"/>
          <w:szCs w:val="21"/>
        </w:rPr>
        <w:endnoteReference w:id="225"/>
      </w:r>
      <w:r>
        <w:t xml:space="preserve"> These exemptions only apply, however, when a vehicle is engaged exclusively in the exempt activity.  Where the vehicle is used for activities other than the exempt activity, then it will be considered a motor carrier, and its insurer may be subject to direct action.</w:t>
      </w:r>
      <w:r>
        <w:rPr>
          <w:rStyle w:val="EndnoteReference"/>
          <w:rFonts w:ascii="Century Schoolbook" w:hAnsi="Century Schoolbook"/>
          <w:sz w:val="21"/>
          <w:szCs w:val="21"/>
        </w:rPr>
        <w:endnoteReference w:id="226"/>
      </w:r>
      <w:bookmarkStart w:id="53" w:name="_Toc384899990"/>
    </w:p>
    <w:p>
      <w:pPr>
        <w:pStyle w:val="BodyTextFirstIndent"/>
        <w:ind w:firstLine="0"/>
        <w:jc w:val="center"/>
        <w:rPr>
          <w:b/>
        </w:rPr>
      </w:pPr>
      <w:r>
        <w:rPr>
          <w:b/>
        </w:rPr>
        <w:t>B.</w:t>
      </w:r>
      <w:r>
        <w:rPr>
          <w:b/>
        </w:rPr>
        <w:tab/>
        <w:t>Direct Action Against</w:t>
      </w:r>
      <w:r>
        <w:rPr>
          <w:b/>
        </w:rPr>
        <w:br/>
        <w:t>Excess Insurance Carriers Not Permitted</w:t>
      </w:r>
      <w:bookmarkEnd w:id="53"/>
    </w:p>
    <w:p>
      <w:pPr>
        <w:pStyle w:val="BodyTextFirstIndent"/>
        <w:rPr>
          <w:color w:val="000000"/>
        </w:rPr>
      </w:pPr>
      <w:r>
        <w:t>While Georgia statutory law permits a direct action against a motor carrier’s liability insurer, the statute does not permit a direct action against the motor carrier’s excess insurer.</w:t>
      </w:r>
      <w:r>
        <w:rPr>
          <w:vertAlign w:val="superscript"/>
        </w:rPr>
        <w:endnoteReference w:id="227"/>
      </w:r>
      <w:r>
        <w:t xml:space="preserve"> In </w:t>
      </w:r>
      <w:r>
        <w:lastRenderedPageBreak/>
        <w:t>Jackson v. Sluder, the Georgia Court of Appeals held that the Motor Carrier Act does not expressly authorize a direct action against an excess insurer, and further, excess insurance is not regarded as collectible insurance until the underlying primary limits are exhausted</w:t>
      </w:r>
      <w:r>
        <w:rPr>
          <w:color w:val="000000"/>
        </w:rPr>
        <w:t>.</w:t>
      </w:r>
      <w:r>
        <w:rPr>
          <w:rStyle w:val="EndnoteReference"/>
          <w:rFonts w:ascii="Century Schoolbook" w:hAnsi="Century Schoolbook"/>
          <w:color w:val="000000"/>
          <w:sz w:val="21"/>
          <w:szCs w:val="21"/>
        </w:rPr>
        <w:endnoteReference w:id="228"/>
      </w:r>
      <w:bookmarkStart w:id="54" w:name="_Toc384899991"/>
    </w:p>
    <w:p>
      <w:pPr>
        <w:pStyle w:val="BodyTextFirstIndent"/>
        <w:ind w:firstLine="0"/>
        <w:jc w:val="center"/>
        <w:rPr>
          <w:b/>
        </w:rPr>
      </w:pPr>
      <w:r>
        <w:rPr>
          <w:b/>
          <w:color w:val="000000"/>
        </w:rPr>
        <w:t>C.</w:t>
      </w:r>
      <w:r>
        <w:rPr>
          <w:b/>
          <w:color w:val="000000"/>
        </w:rPr>
        <w:tab/>
      </w:r>
      <w:r>
        <w:rPr>
          <w:b/>
        </w:rPr>
        <w:t>Accidents Occurring Outside of the State of Georgia</w:t>
      </w:r>
      <w:bookmarkEnd w:id="54"/>
    </w:p>
    <w:p>
      <w:pPr>
        <w:pStyle w:val="BodyTextFirstIndent"/>
      </w:pPr>
      <w:r>
        <w:t>Georgia appellate courts have held that a direct action is permitted even when the accident occurred outside of the state of Georgia.</w:t>
      </w:r>
      <w:r>
        <w:rPr>
          <w:rStyle w:val="EndnoteReference"/>
          <w:rFonts w:ascii="Century Schoolbook" w:hAnsi="Century Schoolbook"/>
          <w:sz w:val="21"/>
          <w:szCs w:val="21"/>
        </w:rPr>
        <w:endnoteReference w:id="229"/>
      </w:r>
      <w:r>
        <w:t xml:space="preserve"> In Johnson v. Woodard, the court permitted a direct action against the insurer of a Georgia motor carrier even though the accident occurred outside of Georgia.</w:t>
      </w:r>
      <w:r>
        <w:rPr>
          <w:rStyle w:val="EndnoteReference"/>
          <w:rFonts w:ascii="Century Schoolbook" w:hAnsi="Century Schoolbook"/>
          <w:sz w:val="21"/>
          <w:szCs w:val="21"/>
        </w:rPr>
        <w:endnoteReference w:id="230"/>
      </w:r>
      <w:bookmarkStart w:id="55" w:name="_Toc384899992"/>
    </w:p>
    <w:p>
      <w:pPr>
        <w:pStyle w:val="BodyTextFirstIndent"/>
        <w:ind w:left="720" w:hanging="720"/>
        <w:jc w:val="left"/>
        <w:rPr>
          <w:b/>
        </w:rPr>
      </w:pPr>
      <w:r>
        <w:rPr>
          <w:b/>
        </w:rPr>
        <w:t>V.</w:t>
      </w:r>
      <w:r>
        <w:rPr>
          <w:b/>
        </w:rPr>
        <w:tab/>
        <w:t>Conclusion</w:t>
      </w:r>
      <w:bookmarkEnd w:id="55"/>
    </w:p>
    <w:p>
      <w:pPr>
        <w:pStyle w:val="BodyTextFirstIndent"/>
      </w:pPr>
      <w:r>
        <w:t>At present, Georgia continues to be in the minority of states allowing direct actions by injured parties against insurance carriers for the tortfeasors.  In Georgia, these direct actions are permitted against insurers of motor carriers only. Because of the inflammatory nature of suits against insurers, it would benefit the insured as well as the insurer for the Georgia General Assembly to reject such direct actions; however, given the recent enactment of the Motor Carrier Act of 2012, with the direct action provision alive and well, this seems unlikely in the near future.</w:t>
      </w:r>
      <w:r>
        <w:tab/>
      </w:r>
    </w:p>
    <w:p>
      <w:pPr>
        <w:spacing w:after="0"/>
        <w:jc w:val="center"/>
        <w:rPr>
          <w:b/>
          <w:sz w:val="21"/>
          <w:szCs w:val="21"/>
          <w:u w:val="single"/>
        </w:rPr>
      </w:pPr>
      <w:r>
        <w:rPr>
          <w:b/>
          <w:sz w:val="21"/>
          <w:szCs w:val="21"/>
          <w:u w:val="single"/>
        </w:rPr>
        <w:t>End Notes</w:t>
      </w:r>
    </w:p>
    <w:p>
      <w:pPr>
        <w:spacing w:after="0"/>
        <w:jc w:val="both"/>
        <w:rPr>
          <w:sz w:val="21"/>
          <w:szCs w:val="21"/>
        </w:rPr>
      </w:pPr>
    </w:p>
    <w:p>
      <w:pPr>
        <w:spacing w:after="0"/>
        <w:jc w:val="both"/>
        <w:rPr>
          <w:sz w:val="21"/>
          <w:szCs w:val="21"/>
        </w:rPr>
        <w:sectPr>
          <w:footnotePr>
            <w:numRestart w:val="eachSect"/>
          </w:footnotePr>
          <w:endnotePr>
            <w:numFmt w:val="decimal"/>
            <w:numRestart w:val="eachSect"/>
          </w:endnotePr>
          <w:type w:val="continuous"/>
          <w:pgSz w:w="12240" w:h="15840"/>
          <w:pgMar w:top="1440" w:right="1440" w:bottom="1440" w:left="1440" w:header="720" w:footer="720" w:gutter="0"/>
          <w:cols w:num="2" w:space="720"/>
          <w:rtlGutter/>
          <w:docGrid w:linePitch="360"/>
        </w:sectPr>
      </w:pPr>
    </w:p>
    <w:p>
      <w:pPr>
        <w:pStyle w:val="Heading1"/>
      </w:pPr>
      <w:bookmarkStart w:id="56" w:name="_Toc387223609"/>
      <w:r>
        <w:lastRenderedPageBreak/>
        <w:t>Attorney’s Fees, Offer-Acceptance, and a Dash</w:t>
      </w:r>
      <w:r>
        <w:br/>
        <w:t>of UM:  2014 Auto Liability Case Law Update</w:t>
      </w:r>
      <w:bookmarkEnd w:id="56"/>
    </w:p>
    <w:p/>
    <w:p>
      <w:pPr>
        <w:pStyle w:val="Author"/>
      </w:pPr>
      <w:r>
        <w:rPr>
          <w:b/>
        </w:rPr>
        <w:tab/>
      </w:r>
      <w:r>
        <w:t>By:</w:t>
      </w:r>
      <w:r>
        <w:tab/>
        <w:t>Ashley G. Rice, Education Committee, GDLA</w:t>
      </w:r>
    </w:p>
    <w:p>
      <w:pPr>
        <w:pStyle w:val="Author"/>
      </w:pPr>
      <w:r>
        <w:tab/>
      </w:r>
      <w:r>
        <w:tab/>
        <w:t>Waldon  Adelman Castilla, Hiestand &amp; Prout</w:t>
      </w:r>
    </w:p>
    <w:p>
      <w:pPr>
        <w:jc w:val="both"/>
        <w:rPr>
          <w:sz w:val="21"/>
          <w:szCs w:val="21"/>
        </w:rPr>
      </w:pPr>
    </w:p>
    <w:p>
      <w:pPr>
        <w:jc w:val="both"/>
        <w:rPr>
          <w:sz w:val="21"/>
          <w:szCs w:val="21"/>
        </w:rPr>
        <w:sectPr>
          <w:footnotePr>
            <w:numRestart w:val="eachSect"/>
          </w:footnotePr>
          <w:endnotePr>
            <w:numFmt w:val="decimal"/>
            <w:numRestart w:val="eachSect"/>
          </w:endnotePr>
          <w:pgSz w:w="12240" w:h="15840"/>
          <w:pgMar w:top="1440" w:right="1800" w:bottom="1440" w:left="1800" w:header="720" w:footer="720" w:gutter="0"/>
          <w:cols w:space="720"/>
          <w:docGrid w:linePitch="360"/>
        </w:sectPr>
      </w:pPr>
    </w:p>
    <w:p>
      <w:pPr>
        <w:pBdr>
          <w:top w:val="single" w:sz="4" w:space="1" w:color="auto"/>
          <w:left w:val="single" w:sz="4" w:space="4" w:color="auto"/>
          <w:bottom w:val="single" w:sz="4" w:space="1" w:color="auto"/>
          <w:right w:val="single" w:sz="4" w:space="4" w:color="auto"/>
        </w:pBdr>
        <w:shd w:val="clear" w:color="auto" w:fill="81BAC5"/>
        <w:tabs>
          <w:tab w:val="left" w:pos="540"/>
        </w:tabs>
        <w:spacing w:after="0"/>
        <w:jc w:val="both"/>
        <w:rPr>
          <w:highlight w:val="yellow"/>
        </w:rPr>
      </w:pPr>
      <w:r>
        <w:rPr>
          <w:noProof/>
        </w:rPr>
        <w:pict>
          <v:shape id="Picture 28" o:spid="_x0000_s1039" type="#_x0000_t75" alt="aGiblin" style="position:absolute;left:0;text-align:left;margin-left:0;margin-top:1.45pt;width:74.05pt;height:111.8pt;z-index:-251671040;visibility:visible" wrapcoords="-218 0 -218 21455 21600 21455 21600 0 -218 0" o:allowoverlap="f">
            <v:imagedata r:id="rId34" o:title=""/>
            <w10:wrap type="tight"/>
          </v:shape>
        </w:pict>
      </w:r>
      <w:r>
        <w:rPr>
          <w:b/>
        </w:rPr>
        <w:t>Ashley Rice</w:t>
      </w:r>
      <w:r>
        <w:t xml:space="preserve"> is a senior associate at Waldon Adelman Castilla Hiestand and Prout.  She is a graduate of Wake Forest University School of Law.  Ms. Rice is the chair of the GDLA Auto Liability Substantive Law Committee.  She also serves on the GDLA Education Committee.  Ms. Rice practices primarily in the areas of auto liability, trucking liability, and construction litigation.</w:t>
      </w:r>
    </w:p>
    <w:p>
      <w:pPr>
        <w:tabs>
          <w:tab w:val="left" w:pos="540"/>
        </w:tabs>
        <w:spacing w:after="0"/>
        <w:rPr>
          <w:b/>
          <w:sz w:val="21"/>
          <w:szCs w:val="21"/>
        </w:rPr>
      </w:pPr>
    </w:p>
    <w:p>
      <w:pPr>
        <w:pStyle w:val="BodyTextFirstIndent"/>
        <w:rPr>
          <w:szCs w:val="22"/>
        </w:rPr>
      </w:pPr>
      <w:r>
        <w:rPr>
          <w:szCs w:val="22"/>
        </w:rPr>
        <w:t xml:space="preserve">In 2013, the Court of Appeals issued a number of interesting decisions impacting practitioners of auto liability cases.  This update will examine the </w:t>
      </w:r>
      <w:r>
        <w:t>recent</w:t>
      </w:r>
      <w:r>
        <w:rPr>
          <w:szCs w:val="22"/>
        </w:rPr>
        <w:t xml:space="preserve"> case of </w:t>
      </w:r>
      <w:r>
        <w:rPr>
          <w:i/>
          <w:szCs w:val="22"/>
        </w:rPr>
        <w:t>Horton v. Dennis</w:t>
      </w:r>
      <w:r>
        <w:rPr>
          <w:szCs w:val="22"/>
        </w:rPr>
        <w:t xml:space="preserve"> in which the Georgia Court of Appeals determined that attorney’s fees were not recoverable even where a defendant disputed negligence up until the eve of trial and conceded that the plaintiff sustained a number of serious injuries.  The update will also discuss the recent cases of </w:t>
      </w:r>
      <w:r>
        <w:rPr>
          <w:i/>
          <w:szCs w:val="22"/>
        </w:rPr>
        <w:t>Hansen v. Doan</w:t>
      </w:r>
      <w:r>
        <w:rPr>
          <w:szCs w:val="22"/>
        </w:rPr>
        <w:t xml:space="preserve"> and </w:t>
      </w:r>
      <w:r>
        <w:rPr>
          <w:i/>
          <w:szCs w:val="22"/>
        </w:rPr>
        <w:t>Newton v. Ragland</w:t>
      </w:r>
      <w:r>
        <w:rPr>
          <w:szCs w:val="22"/>
        </w:rPr>
        <w:t xml:space="preserve">, which suggest a move by the Georgia Court of Appeals away from requiring perfect mirror image acceptance in the settlement of auto claims.  Finally, the update will review selected recent decisions on </w:t>
      </w:r>
      <w:r>
        <w:rPr>
          <w:szCs w:val="22"/>
        </w:rPr>
        <w:lastRenderedPageBreak/>
        <w:t>uninsured motorist (“UM”) claims regarding notice requirements, selection/rejection requirements, apportionment of fault before UM liability can be fixed in multiple tortfeasor claims, and the unwitting expansion of coverage via restrictive policy definitions.</w:t>
      </w:r>
    </w:p>
    <w:p>
      <w:pPr>
        <w:keepNext/>
        <w:jc w:val="both"/>
        <w:rPr>
          <w:b/>
        </w:rPr>
      </w:pPr>
      <w:r>
        <w:rPr>
          <w:b/>
        </w:rPr>
        <w:t xml:space="preserve">PART ONE: </w:t>
      </w:r>
      <w:r>
        <w:rPr>
          <w:b/>
          <w:i/>
        </w:rPr>
        <w:t>Horton v. Dennis</w:t>
      </w:r>
      <w:r>
        <w:rPr>
          <w:b/>
        </w:rPr>
        <w:t>: The Last Nail in the Coffin on Attorney’s Fees Claims in Standard Auto Cases?</w:t>
      </w:r>
    </w:p>
    <w:p>
      <w:pPr>
        <w:pStyle w:val="BodyTextFirstIndent"/>
        <w:rPr>
          <w:rFonts w:ascii="Times New Roman" w:eastAsia="MS Mincho" w:hAnsi="Times New Roman"/>
          <w:szCs w:val="22"/>
          <w:vertAlign w:val="superscript"/>
        </w:rPr>
      </w:pPr>
      <w:r>
        <w:rPr>
          <w:szCs w:val="22"/>
        </w:rPr>
        <w:t xml:space="preserve">In late 2013, the Georgia Court of Appeals considered the case of </w:t>
      </w:r>
      <w:r>
        <w:rPr>
          <w:i/>
          <w:szCs w:val="22"/>
        </w:rPr>
        <w:t>Horton v. Dennis</w:t>
      </w:r>
      <w:r>
        <w:rPr>
          <w:szCs w:val="22"/>
        </w:rPr>
        <w:t>.</w:t>
      </w:r>
      <w:bookmarkStart w:id="57" w:name="_Ref381510032"/>
      <w:r>
        <w:rPr>
          <w:rStyle w:val="EndnoteReference"/>
          <w:rFonts w:eastAsia="MS Mincho"/>
          <w:szCs w:val="22"/>
        </w:rPr>
        <w:endnoteReference w:id="231"/>
      </w:r>
      <w:bookmarkEnd w:id="57"/>
      <w:r>
        <w:rPr>
          <w:szCs w:val="22"/>
        </w:rPr>
        <w:t xml:space="preserve">  The </w:t>
      </w:r>
      <w:r>
        <w:rPr>
          <w:i/>
          <w:szCs w:val="22"/>
        </w:rPr>
        <w:t>Horton</w:t>
      </w:r>
      <w:r>
        <w:rPr>
          <w:szCs w:val="22"/>
        </w:rPr>
        <w:t xml:space="preserve"> case is the </w:t>
      </w:r>
      <w:r>
        <w:t>latest</w:t>
      </w:r>
      <w:r>
        <w:rPr>
          <w:szCs w:val="22"/>
        </w:rPr>
        <w:t xml:space="preserve"> in a string of court of appeals cases evaluating and rejecting the validity of O.C.G.A. § 13-6-11 attorney’s fees claims in standard auto liability cases that do not involve any issues of bad faith, but merely disputes as to whether the defendant has been stubbornly litigious or caused unnecessary trouble and expense.</w:t>
      </w:r>
      <w:r>
        <w:rPr>
          <w:rStyle w:val="EndnoteReference"/>
          <w:rFonts w:eastAsia="MS Mincho"/>
          <w:szCs w:val="22"/>
        </w:rPr>
        <w:t xml:space="preserve"> </w:t>
      </w:r>
      <w:r>
        <w:rPr>
          <w:rStyle w:val="EndnoteReference"/>
          <w:rFonts w:eastAsia="MS Mincho"/>
          <w:szCs w:val="22"/>
        </w:rPr>
        <w:endnoteReference w:id="232"/>
      </w:r>
    </w:p>
    <w:p>
      <w:pPr>
        <w:pStyle w:val="BodyTextFirstIndent"/>
        <w:rPr>
          <w:szCs w:val="22"/>
        </w:rPr>
      </w:pPr>
      <w:r>
        <w:rPr>
          <w:i/>
          <w:szCs w:val="22"/>
        </w:rPr>
        <w:t>Horton</w:t>
      </w:r>
      <w:r>
        <w:rPr>
          <w:szCs w:val="22"/>
        </w:rPr>
        <w:t xml:space="preserve"> involved a personal injury claim stemming from a 2008 accident in which a tractor-trailer operated by defendant-appellee Joseph Dennis </w:t>
      </w:r>
      <w:r>
        <w:t>allegedly</w:t>
      </w:r>
      <w:r>
        <w:rPr>
          <w:szCs w:val="22"/>
        </w:rPr>
        <w:t xml:space="preserve"> crossed a center line and struck plaintiff-appellant Raford Horton’s truck.</w:t>
      </w:r>
      <w:r>
        <w:rPr>
          <w:rStyle w:val="EndnoteReference"/>
          <w:rFonts w:eastAsia="MS Mincho"/>
          <w:szCs w:val="22"/>
        </w:rPr>
        <w:endnoteReference w:id="233"/>
      </w:r>
      <w:r>
        <w:rPr>
          <w:szCs w:val="22"/>
        </w:rPr>
        <w:t xml:space="preserve">  Mr. Horton and his wife subsequently sued Mr. Dennis; his employer, Horton Iron Works, LLC; the motor carrier, The Putnam Group, LLC; and the employer’s </w:t>
      </w:r>
      <w:r>
        <w:rPr>
          <w:szCs w:val="22"/>
        </w:rPr>
        <w:lastRenderedPageBreak/>
        <w:t>liability insurer (collectively, “the appellees”).</w:t>
      </w:r>
      <w:r>
        <w:rPr>
          <w:rStyle w:val="EndnoteReference"/>
          <w:rFonts w:eastAsia="MS Mincho"/>
          <w:szCs w:val="22"/>
        </w:rPr>
        <w:endnoteReference w:id="234"/>
      </w:r>
      <w:r>
        <w:rPr>
          <w:szCs w:val="22"/>
        </w:rPr>
        <w:t xml:space="preserve">  </w:t>
      </w:r>
    </w:p>
    <w:p>
      <w:pPr>
        <w:pStyle w:val="BodyTextFirstIndent"/>
        <w:rPr>
          <w:szCs w:val="22"/>
        </w:rPr>
      </w:pPr>
      <w:r>
        <w:rPr>
          <w:szCs w:val="22"/>
        </w:rPr>
        <w:t xml:space="preserve">The appellees disputed liability for the vast </w:t>
      </w:r>
      <w:r>
        <w:t>duration</w:t>
      </w:r>
      <w:r>
        <w:rPr>
          <w:szCs w:val="22"/>
        </w:rPr>
        <w:t xml:space="preserve"> of the litigation.</w:t>
      </w:r>
      <w:r>
        <w:rPr>
          <w:rStyle w:val="EndnoteReference"/>
          <w:rFonts w:eastAsia="MS Mincho"/>
          <w:szCs w:val="22"/>
        </w:rPr>
        <w:endnoteReference w:id="235"/>
      </w:r>
      <w:r>
        <w:rPr>
          <w:szCs w:val="22"/>
        </w:rPr>
        <w:t xml:space="preserve">  On the eve of trial, the appellees </w:t>
      </w:r>
      <w:r>
        <w:t>stipulated</w:t>
      </w:r>
      <w:r>
        <w:rPr>
          <w:szCs w:val="22"/>
        </w:rPr>
        <w:t xml:space="preserve"> as to liability such that the only issue for trial was damages.</w:t>
      </w:r>
      <w:r>
        <w:rPr>
          <w:rStyle w:val="EndnoteReference"/>
          <w:rFonts w:eastAsia="MS Mincho"/>
          <w:szCs w:val="22"/>
        </w:rPr>
        <w:endnoteReference w:id="236"/>
      </w:r>
    </w:p>
    <w:p>
      <w:pPr>
        <w:pStyle w:val="BodyTextFirstIndent"/>
        <w:rPr>
          <w:szCs w:val="22"/>
        </w:rPr>
      </w:pPr>
      <w:r>
        <w:rPr>
          <w:szCs w:val="22"/>
        </w:rPr>
        <w:t>During the litigation, the appellees deposed witnesses on the issue of fault.</w:t>
      </w:r>
      <w:r>
        <w:rPr>
          <w:rStyle w:val="EndnoteReference"/>
          <w:rFonts w:eastAsia="MS Mincho"/>
          <w:szCs w:val="22"/>
        </w:rPr>
        <w:endnoteReference w:id="237"/>
      </w:r>
      <w:r>
        <w:rPr>
          <w:szCs w:val="22"/>
        </w:rPr>
        <w:t xml:space="preserve">  The appellees also deposed witnesses, including two of Mr. Horton’s treating physicians, Alan Harben, M.D. and Walter Wilifong, M.D., as to the nature and extent of damages.</w:t>
      </w:r>
      <w:r>
        <w:rPr>
          <w:rStyle w:val="EndnoteReference"/>
          <w:rFonts w:eastAsia="MS Mincho"/>
          <w:szCs w:val="22"/>
        </w:rPr>
        <w:endnoteReference w:id="238"/>
      </w:r>
    </w:p>
    <w:p>
      <w:pPr>
        <w:pStyle w:val="BodyTextFirstIndent"/>
        <w:rPr>
          <w:szCs w:val="22"/>
        </w:rPr>
      </w:pPr>
      <w:r>
        <w:rPr>
          <w:szCs w:val="22"/>
        </w:rPr>
        <w:t>Mr. Horton was severely injured in the accident and the appellees conceded that the accident proximately caused certain injuries including a crushed pelvis, injuries to his left knee and left hip, and foot drop.</w:t>
      </w:r>
      <w:r>
        <w:rPr>
          <w:rStyle w:val="EndnoteReference"/>
          <w:rFonts w:eastAsia="MS Mincho"/>
          <w:szCs w:val="22"/>
        </w:rPr>
        <w:endnoteReference w:id="239"/>
      </w:r>
      <w:r>
        <w:rPr>
          <w:szCs w:val="22"/>
        </w:rPr>
        <w:t xml:space="preserve">   However, the appellees contested that the injury caused cognitive deficits, pelvic nerve damage, and permanent erectile dysfunction.</w:t>
      </w:r>
      <w:r>
        <w:rPr>
          <w:rStyle w:val="EndnoteReference"/>
          <w:rFonts w:eastAsia="MS Mincho"/>
          <w:szCs w:val="22"/>
        </w:rPr>
        <w:endnoteReference w:id="240"/>
      </w:r>
      <w:r>
        <w:rPr>
          <w:szCs w:val="22"/>
        </w:rPr>
        <w:t xml:space="preserve">  </w:t>
      </w:r>
    </w:p>
    <w:p>
      <w:pPr>
        <w:pStyle w:val="BodyTextFirstIndent"/>
        <w:rPr>
          <w:szCs w:val="22"/>
        </w:rPr>
      </w:pPr>
      <w:r>
        <w:rPr>
          <w:szCs w:val="22"/>
        </w:rPr>
        <w:t xml:space="preserve">Dr. Harben testified on deposition that certain lesions and abnormalities on post-accident scans could have been related to Mr. Horton’s age and that the tests performed after </w:t>
      </w:r>
      <w:r>
        <w:t>the</w:t>
      </w:r>
      <w:r>
        <w:rPr>
          <w:szCs w:val="22"/>
        </w:rPr>
        <w:t xml:space="preserve"> accident could not be used to objectively compare Mr. Horton’s cognitive function to his pre-accident condition as no such tests were previously performed.</w:t>
      </w:r>
      <w:r>
        <w:rPr>
          <w:rStyle w:val="EndnoteReference"/>
          <w:rFonts w:eastAsia="MS Mincho"/>
          <w:szCs w:val="22"/>
        </w:rPr>
        <w:endnoteReference w:id="241"/>
      </w:r>
      <w:r>
        <w:rPr>
          <w:szCs w:val="22"/>
        </w:rPr>
        <w:t xml:space="preserve">  Dr. Wilifong testified on deposition that his findings relating Mr. Horton’s erectile dysfunction to the accident were based solely on subjective complaints.</w:t>
      </w:r>
      <w:r>
        <w:rPr>
          <w:rStyle w:val="EndnoteReference"/>
          <w:rFonts w:eastAsia="MS Mincho"/>
          <w:szCs w:val="22"/>
        </w:rPr>
        <w:endnoteReference w:id="242"/>
      </w:r>
      <w:r>
        <w:rPr>
          <w:szCs w:val="22"/>
        </w:rPr>
        <w:t xml:space="preserve">  Dr. Wilifong </w:t>
      </w:r>
      <w:r>
        <w:rPr>
          <w:szCs w:val="22"/>
        </w:rPr>
        <w:lastRenderedPageBreak/>
        <w:t>admitted that something other than a pelvic nerve injury could have caused Mr. Horton’s symptoms.</w:t>
      </w:r>
      <w:r>
        <w:rPr>
          <w:rStyle w:val="EndnoteReference"/>
          <w:rFonts w:eastAsia="MS Mincho"/>
          <w:szCs w:val="22"/>
        </w:rPr>
        <w:endnoteReference w:id="243"/>
      </w:r>
    </w:p>
    <w:p>
      <w:pPr>
        <w:pStyle w:val="BodyTextFirstIndent"/>
        <w:rPr>
          <w:szCs w:val="22"/>
        </w:rPr>
      </w:pPr>
      <w:r>
        <w:rPr>
          <w:szCs w:val="22"/>
        </w:rPr>
        <w:t xml:space="preserve">After the appellees stipulated to liability, the trial court allowed the Hortons to </w:t>
      </w:r>
      <w:r>
        <w:t>amend</w:t>
      </w:r>
      <w:r>
        <w:rPr>
          <w:szCs w:val="22"/>
        </w:rPr>
        <w:t xml:space="preserve"> their complaint to include a claim for O.C.G.A. § 13-6-11 attorney’s fees.</w:t>
      </w:r>
      <w:r>
        <w:rPr>
          <w:rStyle w:val="EndnoteReference"/>
          <w:rFonts w:eastAsia="MS Mincho"/>
          <w:szCs w:val="22"/>
        </w:rPr>
        <w:endnoteReference w:id="244"/>
      </w:r>
      <w:r>
        <w:rPr>
          <w:szCs w:val="22"/>
        </w:rPr>
        <w:t xml:space="preserve">  After the first phase of trial, the jury returned a verdict in favor of the Hortons in excess of $2.8 million.</w:t>
      </w:r>
      <w:r>
        <w:rPr>
          <w:rStyle w:val="EndnoteReference"/>
          <w:rFonts w:eastAsia="MS Mincho"/>
          <w:szCs w:val="22"/>
        </w:rPr>
        <w:endnoteReference w:id="245"/>
      </w:r>
      <w:r>
        <w:rPr>
          <w:szCs w:val="22"/>
        </w:rPr>
        <w:t xml:space="preserve">  </w:t>
      </w:r>
    </w:p>
    <w:p>
      <w:pPr>
        <w:pStyle w:val="BodyTextFirstIndent"/>
        <w:rPr>
          <w:szCs w:val="22"/>
        </w:rPr>
      </w:pPr>
      <w:r>
        <w:rPr>
          <w:szCs w:val="22"/>
        </w:rPr>
        <w:t>The trial court then considered the Hortons’ claim for attorney’s fees.</w:t>
      </w:r>
      <w:r>
        <w:rPr>
          <w:rStyle w:val="EndnoteReference"/>
          <w:rFonts w:eastAsia="MS Mincho"/>
          <w:szCs w:val="22"/>
        </w:rPr>
        <w:endnoteReference w:id="246"/>
      </w:r>
      <w:r>
        <w:rPr>
          <w:szCs w:val="22"/>
        </w:rPr>
        <w:t xml:space="preserve">  The Hortons stipulated that there was a bona </w:t>
      </w:r>
      <w:r>
        <w:t>fide</w:t>
      </w:r>
      <w:r>
        <w:rPr>
          <w:szCs w:val="22"/>
        </w:rPr>
        <w:t xml:space="preserve"> controversy as to some portion of Mr. Horton’s damages and agreed that bad faith was not an issue.</w:t>
      </w:r>
      <w:r>
        <w:rPr>
          <w:rStyle w:val="EndnoteReference"/>
          <w:rFonts w:eastAsia="MS Mincho"/>
          <w:szCs w:val="22"/>
        </w:rPr>
        <w:endnoteReference w:id="247"/>
      </w:r>
      <w:r>
        <w:rPr>
          <w:szCs w:val="22"/>
        </w:rPr>
        <w:t xml:space="preserve">  However, they argued that the appellees’ denial of liability over the course of two years of litigation supported an award of attorney’s fees.</w:t>
      </w:r>
      <w:r>
        <w:rPr>
          <w:rStyle w:val="EndnoteReference"/>
          <w:rFonts w:eastAsia="MS Mincho"/>
          <w:szCs w:val="22"/>
        </w:rPr>
        <w:endnoteReference w:id="248"/>
      </w:r>
    </w:p>
    <w:p>
      <w:pPr>
        <w:pStyle w:val="BodyTextFirstIndent"/>
        <w:rPr>
          <w:szCs w:val="22"/>
        </w:rPr>
      </w:pPr>
      <w:r>
        <w:rPr>
          <w:szCs w:val="22"/>
        </w:rPr>
        <w:t>The trial court disagreed, and the Georgia Court of Appeals affirmed.</w:t>
      </w:r>
      <w:r>
        <w:rPr>
          <w:rStyle w:val="EndnoteReference"/>
          <w:rFonts w:eastAsia="MS Mincho"/>
          <w:szCs w:val="22"/>
        </w:rPr>
        <w:endnoteReference w:id="249"/>
      </w:r>
      <w:r>
        <w:rPr>
          <w:szCs w:val="22"/>
        </w:rPr>
        <w:t xml:space="preserve">  The </w:t>
      </w:r>
      <w:r>
        <w:rPr>
          <w:i/>
          <w:szCs w:val="22"/>
        </w:rPr>
        <w:t>Horton</w:t>
      </w:r>
      <w:r>
        <w:rPr>
          <w:szCs w:val="22"/>
        </w:rPr>
        <w:t xml:space="preserve"> Court reasoned that a bona fide controversy as to damages existed throughout the entire litigation.</w:t>
      </w:r>
      <w:r>
        <w:rPr>
          <w:rStyle w:val="EndnoteReference"/>
          <w:rFonts w:eastAsia="MS Mincho"/>
          <w:szCs w:val="22"/>
        </w:rPr>
        <w:endnoteReference w:id="250"/>
      </w:r>
      <w:r>
        <w:rPr>
          <w:szCs w:val="22"/>
        </w:rPr>
        <w:t xml:space="preserve">  The Georgia Court of Appeals felt that the testimony of Dr. Harben and Dr. Wilifong supported the appellees’ defense that the accident did not cause any traumatic brain injury or pelvic nerve injury related to erectile dysfunction.</w:t>
      </w:r>
      <w:r>
        <w:rPr>
          <w:rStyle w:val="EndnoteReference"/>
          <w:rFonts w:eastAsia="MS Mincho"/>
          <w:szCs w:val="22"/>
        </w:rPr>
        <w:endnoteReference w:id="251"/>
      </w:r>
      <w:r>
        <w:rPr>
          <w:szCs w:val="22"/>
        </w:rPr>
        <w:t xml:space="preserve">  Since there were factual grounds for the appellees’ damages dispute, the Georgia Court of Appeals found that the Hortons could not show that the appellees had forced them </w:t>
      </w:r>
      <w:r>
        <w:rPr>
          <w:szCs w:val="22"/>
        </w:rPr>
        <w:lastRenderedPageBreak/>
        <w:t>to litigate or caused any unnecessary trouble or expense.</w:t>
      </w:r>
      <w:r>
        <w:rPr>
          <w:rStyle w:val="EndnoteReference"/>
          <w:rFonts w:eastAsia="MS Mincho"/>
          <w:szCs w:val="22"/>
        </w:rPr>
        <w:endnoteReference w:id="252"/>
      </w:r>
    </w:p>
    <w:p>
      <w:pPr>
        <w:pStyle w:val="BodyTextFirstIndent"/>
        <w:rPr>
          <w:szCs w:val="22"/>
        </w:rPr>
      </w:pPr>
      <w:r>
        <w:rPr>
          <w:szCs w:val="22"/>
        </w:rPr>
        <w:t xml:space="preserve">When read in conjunction with previous appellate cases on the issue of O.C.G.A. § 13-6-11 attorney’s fees, the </w:t>
      </w:r>
      <w:r>
        <w:rPr>
          <w:i/>
          <w:szCs w:val="22"/>
        </w:rPr>
        <w:t>Horton</w:t>
      </w:r>
      <w:r>
        <w:rPr>
          <w:szCs w:val="22"/>
        </w:rPr>
        <w:t xml:space="preserve"> result is rather remarkable.  As recently as 2004, the Georgia Court of Appeals found in </w:t>
      </w:r>
      <w:r>
        <w:rPr>
          <w:i/>
          <w:szCs w:val="22"/>
        </w:rPr>
        <w:t xml:space="preserve">Daniel v. </w:t>
      </w:r>
      <w:r>
        <w:t>Smith</w:t>
      </w:r>
      <w:r>
        <w:rPr>
          <w:szCs w:val="22"/>
        </w:rPr>
        <w:t xml:space="preserve"> that a defendant’s defense on negligence did not rise to the level of a bona fide controversy to thwart the plaintiff’s attorney’s fees claim.</w:t>
      </w:r>
      <w:r>
        <w:rPr>
          <w:rStyle w:val="EndnoteReference"/>
          <w:rFonts w:eastAsia="MS Mincho"/>
          <w:szCs w:val="22"/>
        </w:rPr>
        <w:endnoteReference w:id="253"/>
      </w:r>
      <w:r>
        <w:rPr>
          <w:szCs w:val="22"/>
        </w:rPr>
        <w:t xml:space="preserve">  In </w:t>
      </w:r>
      <w:r>
        <w:rPr>
          <w:i/>
          <w:szCs w:val="22"/>
        </w:rPr>
        <w:t>Daniel</w:t>
      </w:r>
      <w:r>
        <w:rPr>
          <w:szCs w:val="22"/>
        </w:rPr>
        <w:t>, the defendant struck the plaintiff’s vehicle as he was attempting a left hand turn across the opposite lane of travel in which the plaintiff was driving.</w:t>
      </w:r>
      <w:r>
        <w:rPr>
          <w:rStyle w:val="EndnoteReference"/>
          <w:rFonts w:eastAsia="MS Mincho"/>
          <w:szCs w:val="22"/>
        </w:rPr>
        <w:endnoteReference w:id="254"/>
      </w:r>
      <w:r>
        <w:rPr>
          <w:szCs w:val="22"/>
        </w:rPr>
        <w:t xml:space="preserve">  The defendant maintained that he saw the plaintiff approaching the intersection, but the plaintiff had slowed down and put on his right turn </w:t>
      </w:r>
      <w:r>
        <w:t>signal</w:t>
      </w:r>
      <w:r>
        <w:rPr>
          <w:szCs w:val="22"/>
        </w:rPr>
        <w:t>, indicating that he would not be proceeding straight through the intersection.</w:t>
      </w:r>
      <w:r>
        <w:rPr>
          <w:rStyle w:val="EndnoteReference"/>
          <w:rFonts w:eastAsia="MS Mincho"/>
          <w:szCs w:val="22"/>
        </w:rPr>
        <w:endnoteReference w:id="255"/>
      </w:r>
      <w:r>
        <w:rPr>
          <w:szCs w:val="22"/>
        </w:rPr>
        <w:t xml:space="preserve">  The defendant, planning to turn into the lane to the left of where he believed the plaintiff would be turning, felt that it was safe for him to proceed.</w:t>
      </w:r>
      <w:r>
        <w:rPr>
          <w:rStyle w:val="EndnoteReference"/>
          <w:rFonts w:eastAsia="MS Mincho"/>
          <w:szCs w:val="22"/>
        </w:rPr>
        <w:endnoteReference w:id="256"/>
      </w:r>
      <w:r>
        <w:rPr>
          <w:szCs w:val="22"/>
        </w:rPr>
        <w:t xml:space="preserve">  The plaintiff argued, conversely, that he never slowed down or turned on his blinker as he approached the intersection.</w:t>
      </w:r>
      <w:r>
        <w:rPr>
          <w:rStyle w:val="EndnoteReference"/>
          <w:rFonts w:eastAsia="MS Mincho"/>
          <w:szCs w:val="22"/>
        </w:rPr>
        <w:endnoteReference w:id="257"/>
      </w:r>
    </w:p>
    <w:p>
      <w:pPr>
        <w:pStyle w:val="BodyTextFirstIndent"/>
        <w:rPr>
          <w:i/>
          <w:szCs w:val="22"/>
        </w:rPr>
      </w:pPr>
      <w:r>
        <w:rPr>
          <w:szCs w:val="22"/>
        </w:rPr>
        <w:t xml:space="preserve">The </w:t>
      </w:r>
      <w:r>
        <w:rPr>
          <w:i/>
          <w:szCs w:val="22"/>
        </w:rPr>
        <w:t xml:space="preserve">Daniel </w:t>
      </w:r>
      <w:r>
        <w:rPr>
          <w:szCs w:val="22"/>
        </w:rPr>
        <w:t>jury found in favor of the plaintiff, awarding $9,596 in damages and $18,000 in attorney’s fees.</w:t>
      </w:r>
      <w:r>
        <w:rPr>
          <w:rStyle w:val="EndnoteReference"/>
          <w:rFonts w:eastAsia="MS Mincho"/>
          <w:szCs w:val="22"/>
        </w:rPr>
        <w:endnoteReference w:id="258"/>
      </w:r>
      <w:r>
        <w:rPr>
          <w:szCs w:val="22"/>
        </w:rPr>
        <w:t xml:space="preserve">  On appeal, the defendant argued that there was a bona fide controversy as to liability that precluded the jury’s award of attorney’s fees.</w:t>
      </w:r>
      <w:r>
        <w:rPr>
          <w:rStyle w:val="EndnoteReference"/>
          <w:rFonts w:eastAsia="MS Mincho"/>
          <w:szCs w:val="22"/>
        </w:rPr>
        <w:endnoteReference w:id="259"/>
      </w:r>
      <w:r>
        <w:rPr>
          <w:szCs w:val="22"/>
        </w:rPr>
        <w:t xml:space="preserve">  The </w:t>
      </w:r>
      <w:r>
        <w:rPr>
          <w:i/>
          <w:szCs w:val="22"/>
        </w:rPr>
        <w:t>Daniel</w:t>
      </w:r>
      <w:r>
        <w:rPr>
          <w:szCs w:val="22"/>
        </w:rPr>
        <w:t xml:space="preserve"> Court addressed, however, only whether there was a bona fide controversy </w:t>
      </w:r>
      <w:r>
        <w:rPr>
          <w:szCs w:val="22"/>
        </w:rPr>
        <w:lastRenderedPageBreak/>
        <w:t>as to fault for the accident.</w:t>
      </w:r>
      <w:r>
        <w:rPr>
          <w:rStyle w:val="EndnoteReference"/>
          <w:rFonts w:eastAsia="MS Mincho"/>
          <w:szCs w:val="22"/>
        </w:rPr>
        <w:endnoteReference w:id="260"/>
      </w:r>
      <w:r>
        <w:rPr>
          <w:szCs w:val="22"/>
        </w:rPr>
        <w:t xml:space="preserve">  The Court determined that based on the relative position of the vehicles, the plaintiff “could not reasonably be found to have yielded the right of way to [the defendant] by slowing down and turning on his blinker,” such that the trial court was authorized to have concluded that no bona fide controversy existed.</w:t>
      </w:r>
      <w:r>
        <w:rPr>
          <w:rStyle w:val="EndnoteReference"/>
          <w:rFonts w:eastAsia="MS Mincho"/>
          <w:szCs w:val="22"/>
        </w:rPr>
        <w:endnoteReference w:id="261"/>
      </w:r>
      <w:r>
        <w:rPr>
          <w:szCs w:val="22"/>
        </w:rPr>
        <w:t xml:space="preserve">  Thus, even if the accident had occurred exactly as the defendant alleged, he still would have been at fault. </w:t>
      </w:r>
    </w:p>
    <w:p>
      <w:pPr>
        <w:pStyle w:val="BodyTextFirstIndent"/>
        <w:rPr>
          <w:szCs w:val="22"/>
        </w:rPr>
      </w:pPr>
      <w:r>
        <w:rPr>
          <w:szCs w:val="22"/>
        </w:rPr>
        <w:t xml:space="preserve">Since issuing the </w:t>
      </w:r>
      <w:r>
        <w:rPr>
          <w:i/>
          <w:szCs w:val="22"/>
        </w:rPr>
        <w:t>Daniel</w:t>
      </w:r>
      <w:r>
        <w:rPr>
          <w:szCs w:val="22"/>
        </w:rPr>
        <w:t xml:space="preserve"> decision, however, the Georgia Court of Appeals has shied away from findings that favor the award of attorney’s fees where there is </w:t>
      </w:r>
      <w:r>
        <w:rPr>
          <w:i/>
          <w:szCs w:val="22"/>
        </w:rPr>
        <w:t>any</w:t>
      </w:r>
      <w:r>
        <w:rPr>
          <w:szCs w:val="22"/>
        </w:rPr>
        <w:t xml:space="preserve"> reason for the defendant to dispute </w:t>
      </w:r>
      <w:r>
        <w:rPr>
          <w:i/>
          <w:szCs w:val="22"/>
        </w:rPr>
        <w:t xml:space="preserve">any </w:t>
      </w:r>
      <w:r>
        <w:rPr>
          <w:szCs w:val="22"/>
        </w:rPr>
        <w:t xml:space="preserve">issue.  In </w:t>
      </w:r>
      <w:r>
        <w:rPr>
          <w:i/>
          <w:szCs w:val="22"/>
        </w:rPr>
        <w:t>Anderson v. Cayes</w:t>
      </w:r>
      <w:r>
        <w:rPr>
          <w:szCs w:val="22"/>
        </w:rPr>
        <w:t>, the defendant rear-ended the vehicle in which the plaintiff was riding, but claimed that one or two vehicles in front of him had swerved suddenly into his lane as he was already slowing such that the accident could not be avoided.</w:t>
      </w:r>
      <w:r>
        <w:rPr>
          <w:rStyle w:val="EndnoteReference"/>
          <w:rFonts w:eastAsia="MS Mincho"/>
          <w:szCs w:val="22"/>
        </w:rPr>
        <w:endnoteReference w:id="262"/>
      </w:r>
      <w:r>
        <w:rPr>
          <w:szCs w:val="22"/>
        </w:rPr>
        <w:t xml:space="preserve">  </w:t>
      </w:r>
      <w:r>
        <w:t>The</w:t>
      </w:r>
      <w:r>
        <w:rPr>
          <w:szCs w:val="22"/>
        </w:rPr>
        <w:t xml:space="preserve"> plaintiff argued that she was entitled to attorney’s fees insofar as the accident report showed that the defendant had initially told the police officer that he could not see due to the sun.</w:t>
      </w:r>
      <w:r>
        <w:rPr>
          <w:rStyle w:val="EndnoteReference"/>
          <w:rFonts w:eastAsia="MS Mincho"/>
          <w:szCs w:val="22"/>
        </w:rPr>
        <w:endnoteReference w:id="263"/>
      </w:r>
      <w:r>
        <w:rPr>
          <w:szCs w:val="22"/>
        </w:rPr>
        <w:t xml:space="preserve">  However, the police officer testified that he had no independent recollection of the accident or what the defendant had told him.</w:t>
      </w:r>
      <w:r>
        <w:rPr>
          <w:rStyle w:val="EndnoteReference"/>
          <w:rFonts w:eastAsia="MS Mincho"/>
          <w:szCs w:val="22"/>
        </w:rPr>
        <w:endnoteReference w:id="264"/>
      </w:r>
      <w:r>
        <w:rPr>
          <w:szCs w:val="22"/>
        </w:rPr>
        <w:t xml:space="preserve">  Further, the plaintiff’s only other corroborating witness – the driver of the vehicle in which she was riding – was not independent.</w:t>
      </w:r>
      <w:r>
        <w:rPr>
          <w:rStyle w:val="EndnoteReference"/>
          <w:rFonts w:eastAsia="MS Mincho"/>
          <w:szCs w:val="22"/>
        </w:rPr>
        <w:endnoteReference w:id="265"/>
      </w:r>
      <w:r>
        <w:rPr>
          <w:szCs w:val="22"/>
        </w:rPr>
        <w:t xml:space="preserve">  In reversing the trial court’s award of attorney’s fees for the plaintiff, the </w:t>
      </w:r>
      <w:r>
        <w:rPr>
          <w:i/>
          <w:szCs w:val="22"/>
        </w:rPr>
        <w:t>Anderson</w:t>
      </w:r>
      <w:r>
        <w:rPr>
          <w:szCs w:val="22"/>
        </w:rPr>
        <w:t xml:space="preserve"> </w:t>
      </w:r>
      <w:r>
        <w:rPr>
          <w:szCs w:val="22"/>
        </w:rPr>
        <w:lastRenderedPageBreak/>
        <w:t xml:space="preserve">Court distinguished its facts from </w:t>
      </w:r>
      <w:r>
        <w:rPr>
          <w:i/>
          <w:szCs w:val="22"/>
        </w:rPr>
        <w:t>Daniel</w:t>
      </w:r>
      <w:r>
        <w:rPr>
          <w:szCs w:val="22"/>
        </w:rPr>
        <w:t xml:space="preserve"> in that the argument asserted by the </w:t>
      </w:r>
      <w:r>
        <w:rPr>
          <w:i/>
          <w:szCs w:val="22"/>
        </w:rPr>
        <w:t>Anderson</w:t>
      </w:r>
      <w:r>
        <w:rPr>
          <w:szCs w:val="22"/>
        </w:rPr>
        <w:t xml:space="preserve"> defendant, if accepted by the jury as true, would have shown that he was not at fault.</w:t>
      </w:r>
      <w:r>
        <w:rPr>
          <w:rStyle w:val="EndnoteReference"/>
          <w:rFonts w:eastAsia="MS Mincho"/>
          <w:szCs w:val="22"/>
        </w:rPr>
        <w:endnoteReference w:id="266"/>
      </w:r>
    </w:p>
    <w:p>
      <w:pPr>
        <w:pStyle w:val="BodyTextFirstIndent"/>
        <w:rPr>
          <w:szCs w:val="22"/>
        </w:rPr>
      </w:pPr>
      <w:r>
        <w:rPr>
          <w:szCs w:val="22"/>
        </w:rPr>
        <w:t xml:space="preserve">In </w:t>
      </w:r>
      <w:r>
        <w:rPr>
          <w:i/>
          <w:szCs w:val="22"/>
        </w:rPr>
        <w:t>French v. Dilleshaw</w:t>
      </w:r>
      <w:r>
        <w:rPr>
          <w:szCs w:val="22"/>
        </w:rPr>
        <w:t>, the Georgia Court of Appeals extended its previous findings to a dispute over the proper calculation of a lost wage claim.</w:t>
      </w:r>
      <w:r>
        <w:rPr>
          <w:rStyle w:val="EndnoteReference"/>
          <w:rFonts w:eastAsia="MS Mincho"/>
          <w:szCs w:val="22"/>
        </w:rPr>
        <w:endnoteReference w:id="267"/>
      </w:r>
      <w:r>
        <w:rPr>
          <w:szCs w:val="22"/>
        </w:rPr>
        <w:t xml:space="preserve">  The </w:t>
      </w:r>
      <w:r>
        <w:rPr>
          <w:i/>
          <w:szCs w:val="22"/>
        </w:rPr>
        <w:t>French</w:t>
      </w:r>
      <w:r>
        <w:rPr>
          <w:szCs w:val="22"/>
        </w:rPr>
        <w:t xml:space="preserve"> plaintiff was an independent </w:t>
      </w:r>
      <w:r>
        <w:t>tractor</w:t>
      </w:r>
      <w:r>
        <w:rPr>
          <w:szCs w:val="22"/>
        </w:rPr>
        <w:t>-trailer driver who lost the use of his vehicle for several weeks following an accident with the defendant.</w:t>
      </w:r>
      <w:r>
        <w:rPr>
          <w:rStyle w:val="EndnoteReference"/>
          <w:rFonts w:eastAsia="MS Mincho"/>
          <w:szCs w:val="22"/>
        </w:rPr>
        <w:endnoteReference w:id="268"/>
      </w:r>
      <w:r>
        <w:rPr>
          <w:szCs w:val="22"/>
        </w:rPr>
        <w:t xml:space="preserve">  The defendant admitted fault for the accident and that the plaintiff sustained lost wages.</w:t>
      </w:r>
      <w:r>
        <w:rPr>
          <w:rStyle w:val="EndnoteReference"/>
          <w:rFonts w:eastAsia="MS Mincho"/>
          <w:szCs w:val="22"/>
        </w:rPr>
        <w:endnoteReference w:id="269"/>
      </w:r>
      <w:r>
        <w:rPr>
          <w:szCs w:val="22"/>
        </w:rPr>
        <w:t xml:space="preserve">  However, the defendant disputed the plaintiff’s manner of calculating his lost wage claim.</w:t>
      </w:r>
      <w:r>
        <w:rPr>
          <w:rStyle w:val="EndnoteReference"/>
          <w:rFonts w:eastAsia="MS Mincho"/>
          <w:szCs w:val="22"/>
        </w:rPr>
        <w:endnoteReference w:id="270"/>
      </w:r>
      <w:r>
        <w:rPr>
          <w:szCs w:val="22"/>
        </w:rPr>
        <w:t xml:space="preserve">  The </w:t>
      </w:r>
      <w:r>
        <w:rPr>
          <w:i/>
          <w:szCs w:val="22"/>
        </w:rPr>
        <w:t>French</w:t>
      </w:r>
      <w:r>
        <w:rPr>
          <w:szCs w:val="22"/>
        </w:rPr>
        <w:t xml:space="preserve"> court determined that there were different ways to calculate lost earnings in the case since the trial court awarded the plaintiff somewhat less than the amount requested in lost wages, the defendant’s dispute as to the extent of damages was reasonable, and a genuine controversy existed that precluded an award of attorney’s fees.</w:t>
      </w:r>
      <w:r>
        <w:rPr>
          <w:rStyle w:val="EndnoteReference"/>
          <w:rFonts w:eastAsia="MS Mincho"/>
          <w:szCs w:val="22"/>
        </w:rPr>
        <w:endnoteReference w:id="271"/>
      </w:r>
    </w:p>
    <w:p>
      <w:pPr>
        <w:pStyle w:val="BodyTextFirstIndent"/>
        <w:rPr>
          <w:szCs w:val="22"/>
        </w:rPr>
      </w:pPr>
      <w:r>
        <w:rPr>
          <w:szCs w:val="22"/>
        </w:rPr>
        <w:t xml:space="preserve">Taken as a whole, the collective findings in the </w:t>
      </w:r>
      <w:r>
        <w:rPr>
          <w:i/>
          <w:szCs w:val="22"/>
        </w:rPr>
        <w:t>Anderson</w:t>
      </w:r>
      <w:r>
        <w:rPr>
          <w:szCs w:val="22"/>
        </w:rPr>
        <w:t xml:space="preserve">, </w:t>
      </w:r>
      <w:r>
        <w:rPr>
          <w:i/>
          <w:szCs w:val="22"/>
        </w:rPr>
        <w:t>French</w:t>
      </w:r>
      <w:r>
        <w:rPr>
          <w:szCs w:val="22"/>
        </w:rPr>
        <w:t xml:space="preserve">, and </w:t>
      </w:r>
      <w:r>
        <w:rPr>
          <w:i/>
          <w:szCs w:val="22"/>
        </w:rPr>
        <w:t>Horton</w:t>
      </w:r>
      <w:r>
        <w:rPr>
          <w:szCs w:val="22"/>
        </w:rPr>
        <w:t xml:space="preserve"> cases demonstrate that the Georgia Court of Appeals may no longer </w:t>
      </w:r>
      <w:r>
        <w:t>affirm</w:t>
      </w:r>
      <w:r>
        <w:rPr>
          <w:szCs w:val="22"/>
        </w:rPr>
        <w:t xml:space="preserve"> awards of attorney’s fees where there is </w:t>
      </w:r>
      <w:r>
        <w:rPr>
          <w:i/>
          <w:szCs w:val="22"/>
        </w:rPr>
        <w:t>any</w:t>
      </w:r>
      <w:r>
        <w:rPr>
          <w:szCs w:val="22"/>
        </w:rPr>
        <w:t xml:space="preserve"> reasonable defense on </w:t>
      </w:r>
      <w:r>
        <w:rPr>
          <w:i/>
          <w:szCs w:val="22"/>
        </w:rPr>
        <w:t>any</w:t>
      </w:r>
      <w:r>
        <w:rPr>
          <w:szCs w:val="22"/>
        </w:rPr>
        <w:t xml:space="preserve"> issue at trial.  Moreover, the </w:t>
      </w:r>
      <w:r>
        <w:rPr>
          <w:i/>
          <w:szCs w:val="22"/>
        </w:rPr>
        <w:t>Horton</w:t>
      </w:r>
      <w:r>
        <w:rPr>
          <w:szCs w:val="22"/>
        </w:rPr>
        <w:t xml:space="preserve"> case allows defendants to preserve and investigate defenses through the discovery process without having to </w:t>
      </w:r>
      <w:r>
        <w:rPr>
          <w:szCs w:val="22"/>
        </w:rPr>
        <w:lastRenderedPageBreak/>
        <w:t xml:space="preserve">maintain positions that evidence gathered during discovery suggests are unlikely to pan out at trial.  While the </w:t>
      </w:r>
      <w:r>
        <w:rPr>
          <w:i/>
          <w:szCs w:val="22"/>
        </w:rPr>
        <w:t xml:space="preserve">Horton </w:t>
      </w:r>
      <w:r>
        <w:rPr>
          <w:szCs w:val="22"/>
        </w:rPr>
        <w:t>case is unlikely to keep plaintiffs from routinely raising attorney’s fees claims in complaints when they are unhappy with the defendant’s pre-suit offer, the decision should go a long way to convincing plaintiffs to withdraw those claims upon the completion of discovery.</w:t>
      </w:r>
    </w:p>
    <w:p>
      <w:pPr>
        <w:jc w:val="both"/>
        <w:rPr>
          <w:b/>
        </w:rPr>
      </w:pPr>
      <w:r>
        <w:rPr>
          <w:b/>
        </w:rPr>
        <w:t xml:space="preserve">PART TWO: </w:t>
      </w:r>
      <w:r>
        <w:rPr>
          <w:b/>
          <w:i/>
        </w:rPr>
        <w:t xml:space="preserve">Hansen v. Doan </w:t>
      </w:r>
      <w:r>
        <w:rPr>
          <w:b/>
        </w:rPr>
        <w:t xml:space="preserve">and </w:t>
      </w:r>
      <w:r>
        <w:rPr>
          <w:b/>
          <w:i/>
        </w:rPr>
        <w:t>Newton v. Ragland</w:t>
      </w:r>
      <w:r>
        <w:rPr>
          <w:b/>
        </w:rPr>
        <w:t>: Insurer’s Intent to Settle Auto Claims Favored over Perfect Mirror Image Acceptance</w:t>
      </w:r>
    </w:p>
    <w:p>
      <w:pPr>
        <w:pStyle w:val="BodyTextFirstIndent"/>
        <w:rPr>
          <w:szCs w:val="22"/>
        </w:rPr>
      </w:pPr>
      <w:r>
        <w:rPr>
          <w:szCs w:val="22"/>
        </w:rPr>
        <w:t xml:space="preserve">In 2013, the Georgia Court of Appeals issued two decisions on offer-acceptance in the realm of the settlement of auto liability claims that appear to turn its 2011 and 2012 decisions on their heads.  The frustratingly stringent holdings on perfecting mirror image acceptance that were </w:t>
      </w:r>
      <w:r>
        <w:rPr>
          <w:i/>
          <w:szCs w:val="22"/>
        </w:rPr>
        <w:t>Penn v. Muktar</w:t>
      </w:r>
      <w:r>
        <w:rPr>
          <w:szCs w:val="22"/>
        </w:rPr>
        <w:t xml:space="preserve"> and </w:t>
      </w:r>
      <w:r>
        <w:rPr>
          <w:i/>
          <w:szCs w:val="22"/>
        </w:rPr>
        <w:t>Kitchens v. Ezell</w:t>
      </w:r>
      <w:r>
        <w:rPr>
          <w:szCs w:val="22"/>
        </w:rPr>
        <w:t xml:space="preserve"> seem to have been relaxed somewhat by </w:t>
      </w:r>
      <w:r>
        <w:rPr>
          <w:i/>
          <w:szCs w:val="22"/>
        </w:rPr>
        <w:t>Hansen v. Doan</w:t>
      </w:r>
      <w:r>
        <w:rPr>
          <w:szCs w:val="22"/>
        </w:rPr>
        <w:t xml:space="preserve"> and </w:t>
      </w:r>
      <w:r>
        <w:rPr>
          <w:i/>
          <w:szCs w:val="22"/>
        </w:rPr>
        <w:t>Newton v. Ragland</w:t>
      </w:r>
      <w:r>
        <w:rPr>
          <w:szCs w:val="22"/>
        </w:rPr>
        <w:t xml:space="preserve">.  While the passage of O.C.G.A. § 9-11-67.1, discussed in depth elsewhere in this journal has provided much needed relief to auto insurers and practitioners of auto liability when faced with a </w:t>
      </w:r>
      <w:r>
        <w:t>time</w:t>
      </w:r>
      <w:r>
        <w:rPr>
          <w:szCs w:val="22"/>
        </w:rPr>
        <w:t xml:space="preserve"> demand in a serious injury case, the statute applies only to automobile accident claims arising after July 1, 2013.</w:t>
      </w:r>
    </w:p>
    <w:p>
      <w:pPr>
        <w:pStyle w:val="BodyTextFirstIndent"/>
        <w:rPr>
          <w:szCs w:val="22"/>
        </w:rPr>
      </w:pPr>
      <w:r>
        <w:rPr>
          <w:szCs w:val="22"/>
        </w:rPr>
        <w:t xml:space="preserve">Georgia appellate decisions on time demands hit a low for the defense bar in 2011 with the </w:t>
      </w:r>
      <w:r>
        <w:rPr>
          <w:i/>
          <w:szCs w:val="22"/>
        </w:rPr>
        <w:t>Penn v. Muktar</w:t>
      </w:r>
      <w:r>
        <w:rPr>
          <w:szCs w:val="22"/>
        </w:rPr>
        <w:t xml:space="preserve"> ruling.</w:t>
      </w:r>
      <w:r>
        <w:rPr>
          <w:rStyle w:val="EndnoteReference"/>
          <w:rFonts w:eastAsia="MS Mincho"/>
          <w:szCs w:val="22"/>
        </w:rPr>
        <w:endnoteReference w:id="272"/>
      </w:r>
      <w:r>
        <w:rPr>
          <w:szCs w:val="22"/>
        </w:rPr>
        <w:t xml:space="preserve">  Following a motor vehicle accident </w:t>
      </w:r>
      <w:r>
        <w:t>between</w:t>
      </w:r>
      <w:r>
        <w:rPr>
          <w:szCs w:val="22"/>
        </w:rPr>
        <w:t xml:space="preserve"> </w:t>
      </w:r>
      <w:r>
        <w:rPr>
          <w:szCs w:val="22"/>
        </w:rPr>
        <w:lastRenderedPageBreak/>
        <w:t>Cedric Penn and Zubeida Muktar, Penn’s attorney sent a demand letter to State Farm offering to settle only the bodily injury claims against Ms. Muktar and her husband in exchange for payment of the policy limits, verification of the policy limits, and a release that preserved the uninsured motorist claims of Mr. Penn and his wife.</w:t>
      </w:r>
      <w:r>
        <w:rPr>
          <w:rStyle w:val="EndnoteReference"/>
          <w:rFonts w:eastAsia="MS Mincho"/>
          <w:szCs w:val="22"/>
        </w:rPr>
        <w:endnoteReference w:id="273"/>
      </w:r>
      <w:r>
        <w:rPr>
          <w:szCs w:val="22"/>
        </w:rPr>
        <w:t xml:space="preserve">  Before the demand expired, counsel for State Farm sent a letter to counsel for the Penns accepting their settlement offer and enclosing verification of the policy limits, a draft for the policy limits, and a “proposed” limited liability release.</w:t>
      </w:r>
      <w:r>
        <w:rPr>
          <w:rStyle w:val="EndnoteReference"/>
          <w:rFonts w:eastAsia="MS Mincho"/>
          <w:szCs w:val="22"/>
        </w:rPr>
        <w:endnoteReference w:id="274"/>
      </w:r>
      <w:r>
        <w:rPr>
          <w:szCs w:val="22"/>
        </w:rPr>
        <w:t xml:space="preserve">  The Penns refused to sign the release as it included language releasing the Muktars and State Farm from “any and all claims . . . of any kind or nature . . .” including “all claims, known and </w:t>
      </w:r>
      <w:r>
        <w:t>unknown</w:t>
      </w:r>
      <w:r>
        <w:rPr>
          <w:szCs w:val="22"/>
        </w:rPr>
        <w:t>, both to person and property . . . .”</w:t>
      </w:r>
      <w:r>
        <w:rPr>
          <w:rStyle w:val="EndnoteReference"/>
          <w:rFonts w:eastAsia="MS Mincho"/>
          <w:szCs w:val="22"/>
        </w:rPr>
        <w:endnoteReference w:id="275"/>
      </w:r>
      <w:r>
        <w:rPr>
          <w:szCs w:val="22"/>
        </w:rPr>
        <w:t xml:space="preserve">  Ignoring the presence of language in the acceptance letter that designated the release as “proposed,” the </w:t>
      </w:r>
      <w:r>
        <w:rPr>
          <w:i/>
          <w:szCs w:val="22"/>
        </w:rPr>
        <w:t>Penn</w:t>
      </w:r>
      <w:r>
        <w:rPr>
          <w:szCs w:val="22"/>
        </w:rPr>
        <w:t xml:space="preserve"> Court held that no settlement existed insofar as the Penns only offered to release bodily injury claims and the release included claims for property.</w:t>
      </w:r>
      <w:r>
        <w:rPr>
          <w:rStyle w:val="EndnoteReference"/>
          <w:rFonts w:eastAsia="MS Mincho"/>
          <w:szCs w:val="22"/>
        </w:rPr>
        <w:endnoteReference w:id="276"/>
      </w:r>
    </w:p>
    <w:p>
      <w:pPr>
        <w:pStyle w:val="BodyTextFirstIndent"/>
        <w:rPr>
          <w:szCs w:val="22"/>
        </w:rPr>
      </w:pPr>
      <w:r>
        <w:rPr>
          <w:szCs w:val="22"/>
        </w:rPr>
        <w:t xml:space="preserve">The </w:t>
      </w:r>
      <w:r>
        <w:rPr>
          <w:i/>
          <w:szCs w:val="22"/>
        </w:rPr>
        <w:t>Kitchens</w:t>
      </w:r>
      <w:r>
        <w:rPr>
          <w:szCs w:val="22"/>
        </w:rPr>
        <w:t xml:space="preserve"> case involved almost identical facts to that of </w:t>
      </w:r>
      <w:r>
        <w:rPr>
          <w:i/>
          <w:szCs w:val="22"/>
        </w:rPr>
        <w:t>Penn</w:t>
      </w:r>
      <w:r>
        <w:rPr>
          <w:szCs w:val="22"/>
        </w:rPr>
        <w:t>.</w:t>
      </w:r>
      <w:r>
        <w:rPr>
          <w:rStyle w:val="EndnoteReference"/>
          <w:rFonts w:eastAsia="MS Mincho"/>
          <w:szCs w:val="22"/>
        </w:rPr>
        <w:endnoteReference w:id="277"/>
      </w:r>
      <w:r>
        <w:rPr>
          <w:szCs w:val="22"/>
        </w:rPr>
        <w:t xml:space="preserve">  Following an accident, the </w:t>
      </w:r>
      <w:r>
        <w:rPr>
          <w:i/>
          <w:szCs w:val="22"/>
        </w:rPr>
        <w:t>Kitchens</w:t>
      </w:r>
      <w:r>
        <w:rPr>
          <w:szCs w:val="22"/>
        </w:rPr>
        <w:t xml:space="preserve"> plaintiffs sent correspondence to the defendants’ insurer, State Farm, stating that the plaintiffs were “anxious to resolve all of their bodily injury claims quickly.”</w:t>
      </w:r>
      <w:r>
        <w:rPr>
          <w:rStyle w:val="EndnoteReference"/>
          <w:rFonts w:eastAsia="MS Mincho"/>
          <w:szCs w:val="22"/>
        </w:rPr>
        <w:endnoteReference w:id="278"/>
      </w:r>
      <w:r>
        <w:rPr>
          <w:szCs w:val="22"/>
        </w:rPr>
        <w:t xml:space="preserve">  The letter also asked for certain insurance documentation and affidavits in </w:t>
      </w:r>
      <w:r>
        <w:rPr>
          <w:szCs w:val="22"/>
        </w:rPr>
        <w:lastRenderedPageBreak/>
        <w:t>addition to “a bodily injury release of only your insured that preserves my clients’ claims for uninsured motorist coverage.”</w:t>
      </w:r>
      <w:r>
        <w:rPr>
          <w:rStyle w:val="EndnoteReference"/>
          <w:rFonts w:eastAsia="MS Mincho"/>
          <w:szCs w:val="22"/>
        </w:rPr>
        <w:endnoteReference w:id="279"/>
      </w:r>
      <w:r>
        <w:rPr>
          <w:szCs w:val="22"/>
        </w:rPr>
        <w:t xml:space="preserve">  The letter provided that if State Farm got such a release and payment to the plaintiffs within twenty days, then the plaintiffs would sign the release.</w:t>
      </w:r>
      <w:r>
        <w:rPr>
          <w:rStyle w:val="EndnoteReference"/>
          <w:rFonts w:eastAsia="MS Mincho"/>
          <w:szCs w:val="22"/>
        </w:rPr>
        <w:endnoteReference w:id="280"/>
      </w:r>
      <w:r>
        <w:rPr>
          <w:szCs w:val="22"/>
        </w:rPr>
        <w:t xml:space="preserve">  Before the demand expired, counsel for State Farm sent the plaintiffs’ counsel a draft in the amount of the policy limits and “proposed” limited liability releases which included language releasing “all claims, known and unknown, both to person and property . . . .”</w:t>
      </w:r>
      <w:r>
        <w:rPr>
          <w:rStyle w:val="EndnoteReference"/>
          <w:rFonts w:eastAsia="MS Mincho"/>
          <w:szCs w:val="22"/>
        </w:rPr>
        <w:endnoteReference w:id="281"/>
      </w:r>
      <w:r>
        <w:rPr>
          <w:szCs w:val="22"/>
        </w:rPr>
        <w:t xml:space="preserve">  Again, ignoring State Farm’s designation of the releases as “proposed,” the </w:t>
      </w:r>
      <w:r>
        <w:rPr>
          <w:i/>
          <w:szCs w:val="22"/>
        </w:rPr>
        <w:t xml:space="preserve">Kitchens </w:t>
      </w:r>
      <w:r>
        <w:rPr>
          <w:szCs w:val="22"/>
        </w:rPr>
        <w:t>Court reversed the trial court and found that there was no enforceable settlement.</w:t>
      </w:r>
      <w:r>
        <w:rPr>
          <w:rStyle w:val="EndnoteReference"/>
          <w:rFonts w:eastAsia="MS Mincho"/>
          <w:szCs w:val="22"/>
        </w:rPr>
        <w:endnoteReference w:id="282"/>
      </w:r>
      <w:r>
        <w:rPr>
          <w:szCs w:val="22"/>
        </w:rPr>
        <w:t xml:space="preserve">  The court determined that the plaintiffs’ settlement offer could only be accepted by actual performance, not by a promise of performance by noting “an offer to settle ‘must be accepted in the manner specified by it; and if it calls for a promise, then a promise must be made; or if it calls for an act, it can be accepted only by the doing of the act.’”</w:t>
      </w:r>
      <w:r>
        <w:rPr>
          <w:rStyle w:val="EndnoteReference"/>
          <w:rFonts w:eastAsia="MS Mincho"/>
          <w:szCs w:val="22"/>
        </w:rPr>
        <w:endnoteReference w:id="283"/>
      </w:r>
    </w:p>
    <w:p>
      <w:pPr>
        <w:pStyle w:val="BodyTextFirstIndent"/>
        <w:rPr>
          <w:szCs w:val="22"/>
        </w:rPr>
      </w:pPr>
      <w:r>
        <w:rPr>
          <w:szCs w:val="22"/>
        </w:rPr>
        <w:t xml:space="preserve">Just under a year after issuing the </w:t>
      </w:r>
      <w:r>
        <w:rPr>
          <w:i/>
          <w:szCs w:val="22"/>
        </w:rPr>
        <w:t>Kitchens</w:t>
      </w:r>
      <w:r>
        <w:rPr>
          <w:szCs w:val="22"/>
        </w:rPr>
        <w:t xml:space="preserve"> decision, the Court of Appeals performed somewhat of an about-face with </w:t>
      </w:r>
      <w:r>
        <w:rPr>
          <w:i/>
          <w:szCs w:val="22"/>
        </w:rPr>
        <w:t>Hansen v. Doan</w:t>
      </w:r>
      <w:r>
        <w:rPr>
          <w:szCs w:val="22"/>
        </w:rPr>
        <w:t>.</w:t>
      </w:r>
      <w:r>
        <w:rPr>
          <w:rStyle w:val="EndnoteReference"/>
          <w:rFonts w:eastAsia="MS Mincho"/>
          <w:szCs w:val="22"/>
        </w:rPr>
        <w:endnoteReference w:id="284"/>
      </w:r>
      <w:r>
        <w:rPr>
          <w:szCs w:val="22"/>
        </w:rPr>
        <w:t xml:space="preserve">  In </w:t>
      </w:r>
      <w:r>
        <w:rPr>
          <w:i/>
          <w:szCs w:val="22"/>
        </w:rPr>
        <w:t>Hansen</w:t>
      </w:r>
      <w:r>
        <w:rPr>
          <w:szCs w:val="22"/>
        </w:rPr>
        <w:t xml:space="preserve">, the plaintiff was severely injured in a motorcycle accident with a Liberty Mutual insured.  Shortly after the accident, the plaintiff’s counsel sent a demand to Liberty Mutual offering to settle for the $25,000 liability limits in exchange for a </w:t>
      </w:r>
      <w:r>
        <w:rPr>
          <w:szCs w:val="22"/>
        </w:rPr>
        <w:lastRenderedPageBreak/>
        <w:t xml:space="preserve">limited liability </w:t>
      </w:r>
      <w:r>
        <w:t>release</w:t>
      </w:r>
      <w:r>
        <w:rPr>
          <w:szCs w:val="22"/>
        </w:rPr>
        <w:t xml:space="preserve"> that did not include indemnity language if Liberty Mutual sent payment and a complying release to the plaintiffs’ counsel within twelve days.</w:t>
      </w:r>
      <w:r>
        <w:rPr>
          <w:rStyle w:val="EndnoteReference"/>
          <w:rFonts w:eastAsia="MS Mincho"/>
          <w:szCs w:val="22"/>
        </w:rPr>
        <w:endnoteReference w:id="285"/>
      </w:r>
      <w:r>
        <w:rPr>
          <w:szCs w:val="22"/>
        </w:rPr>
        <w:t xml:space="preserve">  A few days before the demand expired, a representative from Liberty Mutual called the plaintiff’s counsel and confirmed that the company would pay the $25,000 in exchange for a limited liability release.</w:t>
      </w:r>
      <w:r>
        <w:rPr>
          <w:rStyle w:val="EndnoteReference"/>
          <w:rFonts w:eastAsia="MS Mincho"/>
          <w:szCs w:val="22"/>
        </w:rPr>
        <w:endnoteReference w:id="286"/>
      </w:r>
      <w:r>
        <w:rPr>
          <w:szCs w:val="22"/>
        </w:rPr>
        <w:t xml:space="preserve">  When the representative asked if plaintiff’s counsel had a specific release he wanted to use, the plaintiff’s counsel stated that he did not.</w:t>
      </w:r>
      <w:r>
        <w:rPr>
          <w:rStyle w:val="EndnoteReference"/>
          <w:rFonts w:eastAsia="MS Mincho"/>
          <w:szCs w:val="22"/>
        </w:rPr>
        <w:endnoteReference w:id="287"/>
      </w:r>
      <w:r>
        <w:rPr>
          <w:szCs w:val="22"/>
        </w:rPr>
        <w:t xml:space="preserve">  The representative advised that she only had one limited release and it may have language that the plaintiff’s counsel did not like.</w:t>
      </w:r>
      <w:r>
        <w:rPr>
          <w:rStyle w:val="EndnoteReference"/>
          <w:rFonts w:eastAsia="MS Mincho"/>
          <w:szCs w:val="22"/>
        </w:rPr>
        <w:endnoteReference w:id="288"/>
      </w:r>
      <w:r>
        <w:rPr>
          <w:szCs w:val="22"/>
        </w:rPr>
        <w:t xml:space="preserve">  In response, the plaintiffs’ counsel stated only that fax was “[p]robably the best way to deal with stuff” and abruptly cut the conversation short.</w:t>
      </w:r>
      <w:r>
        <w:rPr>
          <w:rStyle w:val="EndnoteReference"/>
          <w:rFonts w:eastAsia="MS Mincho"/>
          <w:szCs w:val="22"/>
        </w:rPr>
        <w:endnoteReference w:id="289"/>
      </w:r>
      <w:r>
        <w:rPr>
          <w:szCs w:val="22"/>
        </w:rPr>
        <w:t xml:space="preserve">  Later that day, the Liberty Mutual representative faxed a letter to the plaintiff’s counsel stating that the company had agreed to pay its policy limit and that she was attaching the only limited liability release that she had “which we can tailor to fit your needs.”</w:t>
      </w:r>
      <w:r>
        <w:rPr>
          <w:rStyle w:val="EndnoteReference"/>
          <w:rFonts w:eastAsia="MS Mincho"/>
          <w:szCs w:val="22"/>
        </w:rPr>
        <w:endnoteReference w:id="290"/>
      </w:r>
      <w:r>
        <w:rPr>
          <w:szCs w:val="22"/>
        </w:rPr>
        <w:t xml:space="preserve">  The release included indemnification language.</w:t>
      </w:r>
      <w:r>
        <w:rPr>
          <w:rStyle w:val="EndnoteReference"/>
          <w:rFonts w:eastAsia="MS Mincho"/>
          <w:szCs w:val="22"/>
        </w:rPr>
        <w:endnoteReference w:id="291"/>
      </w:r>
      <w:r>
        <w:rPr>
          <w:szCs w:val="22"/>
        </w:rPr>
        <w:t xml:space="preserve">  The representative asked the plaintiff’s counsel to make his “suggestions on any changes [he would like] to make then [they would] iron out those details.”</w:t>
      </w:r>
      <w:r>
        <w:rPr>
          <w:rStyle w:val="EndnoteReference"/>
          <w:rFonts w:eastAsia="MS Mincho"/>
          <w:szCs w:val="22"/>
        </w:rPr>
        <w:endnoteReference w:id="292"/>
      </w:r>
      <w:r>
        <w:rPr>
          <w:szCs w:val="22"/>
        </w:rPr>
        <w:t xml:space="preserve">  The plaintiff’s counsel did not respond to the representative before the demand expired, but the Liberty Mutual representative did send the payment on the day the demand </w:t>
      </w:r>
      <w:r>
        <w:rPr>
          <w:szCs w:val="22"/>
        </w:rPr>
        <w:lastRenderedPageBreak/>
        <w:t>was due with a letter confirming delivery of the check and asking the plaintiff’s counsel to contact her to “get the release out of the way.”</w:t>
      </w:r>
      <w:r>
        <w:rPr>
          <w:rStyle w:val="EndnoteReference"/>
          <w:rFonts w:eastAsia="MS Mincho"/>
          <w:szCs w:val="22"/>
        </w:rPr>
        <w:endnoteReference w:id="293"/>
      </w:r>
    </w:p>
    <w:p>
      <w:pPr>
        <w:pStyle w:val="BodyTextFirstIndent"/>
        <w:rPr>
          <w:szCs w:val="22"/>
        </w:rPr>
      </w:pPr>
      <w:r>
        <w:rPr>
          <w:szCs w:val="22"/>
        </w:rPr>
        <w:t>The plaintiff’s counsel notified Liberty Mutual the following day that his settlement offer was automatically withdrawn since the limited liability release provided included indemnification language.</w:t>
      </w:r>
      <w:r>
        <w:rPr>
          <w:rStyle w:val="EndnoteReference"/>
          <w:rFonts w:eastAsia="MS Mincho"/>
          <w:szCs w:val="22"/>
        </w:rPr>
        <w:endnoteReference w:id="294"/>
      </w:r>
      <w:r>
        <w:rPr>
          <w:szCs w:val="22"/>
        </w:rPr>
        <w:t xml:space="preserve">  Despite its previous ruling in </w:t>
      </w:r>
      <w:r>
        <w:rPr>
          <w:i/>
          <w:szCs w:val="22"/>
        </w:rPr>
        <w:t>Kitchens</w:t>
      </w:r>
      <w:r>
        <w:rPr>
          <w:szCs w:val="22"/>
        </w:rPr>
        <w:t xml:space="preserve">, the </w:t>
      </w:r>
      <w:r>
        <w:rPr>
          <w:i/>
          <w:szCs w:val="22"/>
        </w:rPr>
        <w:t>Hansen</w:t>
      </w:r>
      <w:r>
        <w:rPr>
          <w:szCs w:val="22"/>
        </w:rPr>
        <w:t xml:space="preserve"> court </w:t>
      </w:r>
      <w:r>
        <w:t>disagreed</w:t>
      </w:r>
      <w:r>
        <w:rPr>
          <w:szCs w:val="22"/>
        </w:rPr>
        <w:t xml:space="preserve"> and enforced the settlement.</w:t>
      </w:r>
      <w:r>
        <w:rPr>
          <w:rStyle w:val="EndnoteReference"/>
          <w:rFonts w:eastAsia="MS Mincho"/>
          <w:szCs w:val="22"/>
        </w:rPr>
        <w:endnoteReference w:id="295"/>
      </w:r>
      <w:r>
        <w:rPr>
          <w:szCs w:val="22"/>
        </w:rPr>
        <w:t xml:space="preserve">  In distinguishing the facts of the </w:t>
      </w:r>
      <w:r>
        <w:rPr>
          <w:i/>
          <w:szCs w:val="22"/>
        </w:rPr>
        <w:t>Kitchens</w:t>
      </w:r>
      <w:r>
        <w:rPr>
          <w:szCs w:val="22"/>
        </w:rPr>
        <w:t xml:space="preserve"> case, the </w:t>
      </w:r>
      <w:r>
        <w:rPr>
          <w:i/>
          <w:szCs w:val="22"/>
        </w:rPr>
        <w:t xml:space="preserve">Hansen </w:t>
      </w:r>
      <w:r>
        <w:rPr>
          <w:szCs w:val="22"/>
        </w:rPr>
        <w:t xml:space="preserve">court noted that unlike the Liberty Mutual representative, the State Farm attorney in </w:t>
      </w:r>
      <w:r>
        <w:rPr>
          <w:i/>
          <w:szCs w:val="22"/>
        </w:rPr>
        <w:t>Kitchens</w:t>
      </w:r>
      <w:r>
        <w:rPr>
          <w:szCs w:val="22"/>
        </w:rPr>
        <w:t xml:space="preserve"> “did not specifically invite plaintiff’s counsel to change the releases to conform to the settlement demand.”</w:t>
      </w:r>
      <w:r>
        <w:rPr>
          <w:rStyle w:val="EndnoteReference"/>
          <w:rFonts w:eastAsia="MS Mincho"/>
          <w:szCs w:val="22"/>
        </w:rPr>
        <w:endnoteReference w:id="296"/>
      </w:r>
      <w:r>
        <w:rPr>
          <w:szCs w:val="22"/>
        </w:rPr>
        <w:t xml:space="preserve">  The </w:t>
      </w:r>
      <w:r>
        <w:rPr>
          <w:i/>
          <w:szCs w:val="22"/>
        </w:rPr>
        <w:t>Hansen</w:t>
      </w:r>
      <w:r>
        <w:rPr>
          <w:szCs w:val="22"/>
        </w:rPr>
        <w:t xml:space="preserve"> Court found significance in the fact that Liberty Mutual had “clearly contemplated that [the plaintiff’s counsel] would strike through any portions of the release that were unacceptable to him.”</w:t>
      </w:r>
      <w:r>
        <w:rPr>
          <w:rStyle w:val="EndnoteReference"/>
          <w:rFonts w:eastAsia="MS Mincho"/>
          <w:szCs w:val="22"/>
        </w:rPr>
        <w:endnoteReference w:id="297"/>
      </w:r>
      <w:r>
        <w:rPr>
          <w:szCs w:val="22"/>
        </w:rPr>
        <w:t xml:space="preserve">  </w:t>
      </w:r>
    </w:p>
    <w:p>
      <w:pPr>
        <w:pStyle w:val="BodyTextFirstIndent"/>
        <w:rPr>
          <w:i/>
          <w:szCs w:val="22"/>
        </w:rPr>
      </w:pPr>
      <w:r>
        <w:rPr>
          <w:szCs w:val="22"/>
        </w:rPr>
        <w:t xml:space="preserve">Eight months later, the Georgia Court of Appeals stepped even further away from the </w:t>
      </w:r>
      <w:r>
        <w:rPr>
          <w:i/>
          <w:szCs w:val="22"/>
        </w:rPr>
        <w:t xml:space="preserve">Penn </w:t>
      </w:r>
      <w:r>
        <w:rPr>
          <w:szCs w:val="22"/>
        </w:rPr>
        <w:t xml:space="preserve">and </w:t>
      </w:r>
      <w:r>
        <w:rPr>
          <w:i/>
          <w:szCs w:val="22"/>
        </w:rPr>
        <w:t>Kitchens</w:t>
      </w:r>
      <w:r>
        <w:rPr>
          <w:szCs w:val="22"/>
        </w:rPr>
        <w:t xml:space="preserve"> cases with </w:t>
      </w:r>
      <w:r>
        <w:rPr>
          <w:i/>
          <w:szCs w:val="22"/>
        </w:rPr>
        <w:t>Newton v. Ragland</w:t>
      </w:r>
      <w:r>
        <w:rPr>
          <w:szCs w:val="22"/>
        </w:rPr>
        <w:t>.</w:t>
      </w:r>
      <w:r>
        <w:rPr>
          <w:rStyle w:val="EndnoteReference"/>
          <w:rFonts w:eastAsia="MS Mincho"/>
          <w:szCs w:val="22"/>
        </w:rPr>
        <w:endnoteReference w:id="298"/>
      </w:r>
      <w:r>
        <w:rPr>
          <w:szCs w:val="22"/>
        </w:rPr>
        <w:t xml:space="preserve">  Following an accident in which the plaintiff was badly injured, the plaintiff’s counsel sent correspondence to Zurich and USAA (insurers on two </w:t>
      </w:r>
      <w:r>
        <w:t>separate</w:t>
      </w:r>
      <w:r>
        <w:rPr>
          <w:szCs w:val="22"/>
        </w:rPr>
        <w:t xml:space="preserve"> liability policies available to the defendant) demanding the policy limits of $25,000 under each policy in return for a limited liability release.</w:t>
      </w:r>
      <w:r>
        <w:rPr>
          <w:rStyle w:val="EndnoteReference"/>
          <w:rFonts w:eastAsia="MS Mincho"/>
          <w:szCs w:val="22"/>
        </w:rPr>
        <w:endnoteReference w:id="299"/>
      </w:r>
      <w:r>
        <w:rPr>
          <w:szCs w:val="22"/>
        </w:rPr>
        <w:t xml:space="preserve">  The demand specified that it was contingent on two </w:t>
      </w:r>
      <w:r>
        <w:rPr>
          <w:szCs w:val="22"/>
        </w:rPr>
        <w:lastRenderedPageBreak/>
        <w:t>separate checks for $25,000 being delivered to the plaintiff’s counsel by a certain time.</w:t>
      </w:r>
      <w:r>
        <w:rPr>
          <w:rStyle w:val="EndnoteReference"/>
          <w:rFonts w:eastAsia="MS Mincho"/>
          <w:szCs w:val="22"/>
        </w:rPr>
        <w:endnoteReference w:id="300"/>
      </w:r>
      <w:r>
        <w:rPr>
          <w:szCs w:val="22"/>
        </w:rPr>
        <w:t xml:space="preserve">  Before that time expired, USAA sent a check for $25,000 to plaintiff’s counsel along with a general release and a letter that stated: “[w]e’ve settled the . . . claim . . . .  Please complete the attached release and return it.   Your signature(s) must be witnessed.”</w:t>
      </w:r>
      <w:r>
        <w:rPr>
          <w:rStyle w:val="EndnoteReference"/>
          <w:rFonts w:eastAsia="MS Mincho"/>
          <w:szCs w:val="22"/>
        </w:rPr>
        <w:endnoteReference w:id="301"/>
      </w:r>
      <w:r>
        <w:rPr>
          <w:szCs w:val="22"/>
        </w:rPr>
        <w:t xml:space="preserve">  In response, and before the time expired, the plaintiff’s counsel sent correspondence to USAA confirming the receipt of the check and providing that unless he heard otherwise, he would assume that the tender of policy limits was </w:t>
      </w:r>
      <w:r>
        <w:t>conditioned</w:t>
      </w:r>
      <w:r>
        <w:rPr>
          <w:szCs w:val="22"/>
        </w:rPr>
        <w:t xml:space="preserve"> upon the plaintiff signing the release.</w:t>
      </w:r>
      <w:r>
        <w:rPr>
          <w:rStyle w:val="EndnoteReference"/>
          <w:rFonts w:eastAsia="MS Mincho"/>
          <w:szCs w:val="22"/>
        </w:rPr>
        <w:endnoteReference w:id="302"/>
      </w:r>
      <w:r>
        <w:rPr>
          <w:szCs w:val="22"/>
        </w:rPr>
        <w:t xml:space="preserve">  The plaintiff’s counsel did not mention in his letter that the USAA representative had sent the wrong type of release.</w:t>
      </w:r>
      <w:r>
        <w:rPr>
          <w:rStyle w:val="EndnoteReference"/>
          <w:rFonts w:eastAsia="MS Mincho"/>
          <w:szCs w:val="22"/>
        </w:rPr>
        <w:endnoteReference w:id="303"/>
      </w:r>
    </w:p>
    <w:p>
      <w:pPr>
        <w:pStyle w:val="BodyTextFirstIndent"/>
        <w:rPr>
          <w:szCs w:val="22"/>
        </w:rPr>
      </w:pPr>
      <w:r>
        <w:rPr>
          <w:szCs w:val="22"/>
        </w:rPr>
        <w:t xml:space="preserve">In reversing the trial court’s ruling that there was no enforceable settlement, the </w:t>
      </w:r>
      <w:r>
        <w:t>Newton</w:t>
      </w:r>
      <w:r>
        <w:rPr>
          <w:szCs w:val="22"/>
        </w:rPr>
        <w:t xml:space="preserve"> court held that “a contract to settle was formed when USAA sent the policy limits to [the plaintiff’s counsel] by his offer letter’s due date.”</w:t>
      </w:r>
      <w:r>
        <w:rPr>
          <w:rStyle w:val="EndnoteReference"/>
          <w:rFonts w:eastAsia="MS Mincho"/>
          <w:szCs w:val="22"/>
        </w:rPr>
        <w:endnoteReference w:id="304"/>
      </w:r>
      <w:r>
        <w:rPr>
          <w:szCs w:val="22"/>
        </w:rPr>
        <w:t xml:space="preserve">  The </w:t>
      </w:r>
      <w:r>
        <w:rPr>
          <w:i/>
          <w:szCs w:val="22"/>
        </w:rPr>
        <w:t>Newton</w:t>
      </w:r>
      <w:r>
        <w:rPr>
          <w:szCs w:val="22"/>
        </w:rPr>
        <w:t xml:space="preserve"> court found significant that the plaintiff’s offer to settle did not demand or request that USAA provide the limited liability release that would be used in the settlement.</w:t>
      </w:r>
      <w:r>
        <w:rPr>
          <w:rStyle w:val="EndnoteReference"/>
          <w:rFonts w:eastAsia="MS Mincho"/>
          <w:szCs w:val="22"/>
        </w:rPr>
        <w:endnoteReference w:id="305"/>
      </w:r>
      <w:r>
        <w:rPr>
          <w:szCs w:val="22"/>
        </w:rPr>
        <w:t xml:space="preserve">  The </w:t>
      </w:r>
      <w:r>
        <w:rPr>
          <w:i/>
          <w:szCs w:val="22"/>
        </w:rPr>
        <w:t>Newton</w:t>
      </w:r>
      <w:r>
        <w:rPr>
          <w:szCs w:val="22"/>
        </w:rPr>
        <w:t xml:space="preserve"> court relied on yet another 2013 appellate case, </w:t>
      </w:r>
      <w:r>
        <w:rPr>
          <w:i/>
          <w:szCs w:val="22"/>
        </w:rPr>
        <w:t>Turner v. Williamson</w:t>
      </w:r>
      <w:r>
        <w:rPr>
          <w:szCs w:val="22"/>
        </w:rPr>
        <w:t>,</w:t>
      </w:r>
      <w:r>
        <w:rPr>
          <w:rStyle w:val="EndnoteReference"/>
          <w:rFonts w:eastAsia="MS Mincho"/>
          <w:szCs w:val="22"/>
        </w:rPr>
        <w:endnoteReference w:id="306"/>
      </w:r>
      <w:r>
        <w:rPr>
          <w:szCs w:val="22"/>
        </w:rPr>
        <w:t xml:space="preserve"> in holding that the correspondence accompanying USAA’s check did not constitute a counter-offer insofar as it used only precatory (“please”) language and </w:t>
      </w:r>
      <w:r>
        <w:rPr>
          <w:szCs w:val="22"/>
        </w:rPr>
        <w:lastRenderedPageBreak/>
        <w:t>did not explicitly condition settlement on the plaintiff signing the enclosed general release.</w:t>
      </w:r>
      <w:r>
        <w:rPr>
          <w:rStyle w:val="EndnoteReference"/>
          <w:rFonts w:eastAsia="MS Mincho"/>
          <w:szCs w:val="22"/>
        </w:rPr>
        <w:endnoteReference w:id="307"/>
      </w:r>
      <w:r>
        <w:rPr>
          <w:szCs w:val="22"/>
        </w:rPr>
        <w:t xml:space="preserve">  In addition, the subsequent mandatory language (“Your signature[s] must be witnessed”) related only to how the release was to be signed and did not mandate that the plaintiff sign that particular release.</w:t>
      </w:r>
      <w:r>
        <w:rPr>
          <w:rStyle w:val="EndnoteReference"/>
          <w:rFonts w:eastAsia="MS Mincho"/>
          <w:szCs w:val="22"/>
        </w:rPr>
        <w:endnoteReference w:id="308"/>
      </w:r>
    </w:p>
    <w:p>
      <w:pPr>
        <w:pStyle w:val="BodyTextFirstIndent"/>
        <w:rPr>
          <w:szCs w:val="22"/>
        </w:rPr>
      </w:pPr>
      <w:r>
        <w:rPr>
          <w:szCs w:val="22"/>
        </w:rPr>
        <w:t xml:space="preserve">While </w:t>
      </w:r>
      <w:r>
        <w:rPr>
          <w:i/>
          <w:szCs w:val="22"/>
        </w:rPr>
        <w:t>Hansen</w:t>
      </w:r>
      <w:r>
        <w:rPr>
          <w:szCs w:val="22"/>
        </w:rPr>
        <w:t xml:space="preserve"> and </w:t>
      </w:r>
      <w:r>
        <w:rPr>
          <w:i/>
          <w:szCs w:val="22"/>
        </w:rPr>
        <w:t>Newton</w:t>
      </w:r>
      <w:r>
        <w:rPr>
          <w:szCs w:val="22"/>
        </w:rPr>
        <w:t xml:space="preserve"> apply a more common-sense approach to enforcing </w:t>
      </w:r>
      <w:r>
        <w:t>settlements</w:t>
      </w:r>
      <w:r>
        <w:rPr>
          <w:szCs w:val="22"/>
        </w:rPr>
        <w:t xml:space="preserve">, even in the era of O.C.G.A. § 9-11-67.1, the auto liability practitioner must remain vigilant.  Plaintiffs can be expected to craft demands with just as many pitfalls as those that predominated in </w:t>
      </w:r>
      <w:r>
        <w:rPr>
          <w:i/>
          <w:szCs w:val="22"/>
        </w:rPr>
        <w:t>Penn</w:t>
      </w:r>
      <w:r>
        <w:rPr>
          <w:szCs w:val="22"/>
        </w:rPr>
        <w:t xml:space="preserve"> and </w:t>
      </w:r>
      <w:r>
        <w:rPr>
          <w:i/>
          <w:szCs w:val="22"/>
        </w:rPr>
        <w:t>Kitchens</w:t>
      </w:r>
      <w:r>
        <w:rPr>
          <w:szCs w:val="22"/>
        </w:rPr>
        <w:t>.  Plaintiffs can still dictate the claims to be released and require that the insurer/defendant draft the release to be used.</w:t>
      </w:r>
      <w:r>
        <w:rPr>
          <w:rStyle w:val="EndnoteReference"/>
          <w:rFonts w:eastAsia="MS Mincho"/>
          <w:szCs w:val="22"/>
        </w:rPr>
        <w:endnoteReference w:id="309"/>
      </w:r>
      <w:r>
        <w:rPr>
          <w:szCs w:val="22"/>
        </w:rPr>
        <w:t xml:space="preserve"> Moreover, certain language will be deemed precatory (“please”) while other language (“proposed”) will not.  The lesson of </w:t>
      </w:r>
      <w:r>
        <w:rPr>
          <w:i/>
          <w:szCs w:val="22"/>
        </w:rPr>
        <w:t>Hansen</w:t>
      </w:r>
      <w:r>
        <w:rPr>
          <w:szCs w:val="22"/>
        </w:rPr>
        <w:t xml:space="preserve"> certainly seems to be that when in doubt, the practitioner should explicitly invite the plaintiff to make any changes desired to conform the release to his or her demand.   </w:t>
      </w:r>
    </w:p>
    <w:p>
      <w:pPr>
        <w:jc w:val="both"/>
        <w:rPr>
          <w:b/>
        </w:rPr>
      </w:pPr>
      <w:r>
        <w:rPr>
          <w:b/>
        </w:rPr>
        <w:t>PART THREE: Selected UM Holdings</w:t>
      </w:r>
    </w:p>
    <w:p>
      <w:pPr>
        <w:pStyle w:val="BodyTextFirstIndent"/>
        <w:rPr>
          <w:szCs w:val="22"/>
        </w:rPr>
      </w:pPr>
      <w:r>
        <w:rPr>
          <w:szCs w:val="22"/>
        </w:rPr>
        <w:t xml:space="preserve">In 2013, the Georgia Court of Appeals issued a number of decisions regarding uninsured motorist coverage.  This part </w:t>
      </w:r>
      <w:r>
        <w:t>examines</w:t>
      </w:r>
      <w:r>
        <w:rPr>
          <w:szCs w:val="22"/>
        </w:rPr>
        <w:t xml:space="preserve"> selected cases of particular interest to the auto liability practitioner.  These decisions relate to delays in </w:t>
      </w:r>
      <w:r>
        <w:rPr>
          <w:szCs w:val="22"/>
        </w:rPr>
        <w:lastRenderedPageBreak/>
        <w:t>providing notice (</w:t>
      </w:r>
      <w:r>
        <w:rPr>
          <w:i/>
          <w:szCs w:val="22"/>
        </w:rPr>
        <w:t>Eells</w:t>
      </w:r>
      <w:r>
        <w:rPr>
          <w:szCs w:val="22"/>
        </w:rPr>
        <w:t>), requirements for affirmative selections and rejections on renewal policies (</w:t>
      </w:r>
      <w:r>
        <w:rPr>
          <w:i/>
          <w:szCs w:val="22"/>
        </w:rPr>
        <w:t>McGraw</w:t>
      </w:r>
      <w:r>
        <w:rPr>
          <w:szCs w:val="22"/>
        </w:rPr>
        <w:t xml:space="preserve"> and </w:t>
      </w:r>
      <w:r>
        <w:rPr>
          <w:i/>
          <w:szCs w:val="22"/>
        </w:rPr>
        <w:t>Wilson</w:t>
      </w:r>
      <w:r>
        <w:rPr>
          <w:szCs w:val="22"/>
        </w:rPr>
        <w:t>), fixing liability in multiple tortfeasor apportionment claims (</w:t>
      </w:r>
      <w:r>
        <w:rPr>
          <w:i/>
          <w:szCs w:val="22"/>
        </w:rPr>
        <w:t>Wade</w:t>
      </w:r>
      <w:r>
        <w:rPr>
          <w:szCs w:val="22"/>
        </w:rPr>
        <w:t>), and expansion of coverage by virtue of restrictive policy definitions (</w:t>
      </w:r>
      <w:r>
        <w:rPr>
          <w:i/>
          <w:szCs w:val="22"/>
        </w:rPr>
        <w:t>Parsons</w:t>
      </w:r>
      <w:r>
        <w:rPr>
          <w:szCs w:val="22"/>
        </w:rPr>
        <w:t>).</w:t>
      </w:r>
    </w:p>
    <w:p>
      <w:pPr>
        <w:numPr>
          <w:ilvl w:val="0"/>
          <w:numId w:val="34"/>
        </w:numPr>
        <w:tabs>
          <w:tab w:val="clear" w:pos="1080"/>
          <w:tab w:val="num" w:pos="0"/>
        </w:tabs>
        <w:spacing w:after="0"/>
        <w:ind w:left="0" w:firstLine="0"/>
        <w:jc w:val="center"/>
        <w:rPr>
          <w:b/>
        </w:rPr>
      </w:pPr>
      <w:r>
        <w:rPr>
          <w:b/>
          <w:i/>
        </w:rPr>
        <w:t>Eells v. State Farm Mut. Auto. Ins. Co.</w:t>
      </w:r>
      <w:r>
        <w:rPr>
          <w:b/>
        </w:rPr>
        <w:t>: Delay in Providing UM Notice May Be Justified where Policy is Ambiguous as to Coverage for Loss</w:t>
      </w:r>
    </w:p>
    <w:p>
      <w:pPr>
        <w:pStyle w:val="BodyTextFirstIndent"/>
        <w:rPr>
          <w:szCs w:val="22"/>
        </w:rPr>
      </w:pPr>
      <w:r>
        <w:rPr>
          <w:szCs w:val="22"/>
        </w:rPr>
        <w:t>On February 28, 2009, while on foot, Christopher Eells was struck and injured by a hit-and-run vehicle.</w:t>
      </w:r>
      <w:r>
        <w:rPr>
          <w:rStyle w:val="EndnoteReference"/>
          <w:rFonts w:eastAsia="MS Mincho"/>
          <w:szCs w:val="22"/>
        </w:rPr>
        <w:endnoteReference w:id="310"/>
      </w:r>
      <w:r>
        <w:rPr>
          <w:szCs w:val="22"/>
        </w:rPr>
        <w:t xml:space="preserve">  He sustained severe injuries, for which he recuperated at his parent’s home.</w:t>
      </w:r>
      <w:r>
        <w:rPr>
          <w:rStyle w:val="EndnoteReference"/>
          <w:rFonts w:eastAsia="MS Mincho"/>
          <w:szCs w:val="22"/>
        </w:rPr>
        <w:endnoteReference w:id="311"/>
      </w:r>
      <w:r>
        <w:rPr>
          <w:szCs w:val="22"/>
        </w:rPr>
        <w:t xml:space="preserve">  A few months after the accident, Mr. Eells’ mother contacted her State Farm agent on an unrelated matter and mentioned her son’s accident.</w:t>
      </w:r>
      <w:r>
        <w:rPr>
          <w:rStyle w:val="EndnoteReference"/>
          <w:rFonts w:eastAsia="MS Mincho"/>
          <w:szCs w:val="22"/>
        </w:rPr>
        <w:endnoteReference w:id="312"/>
      </w:r>
      <w:r>
        <w:rPr>
          <w:szCs w:val="22"/>
        </w:rPr>
        <w:t xml:space="preserve">  At the time, the Eells were unaware that their State Farm policy might cover the accident and did not make a formal claim for Mr. Eells’ injuries.</w:t>
      </w:r>
      <w:r>
        <w:rPr>
          <w:rStyle w:val="EndnoteReference"/>
          <w:rFonts w:eastAsia="MS Mincho"/>
          <w:szCs w:val="22"/>
        </w:rPr>
        <w:endnoteReference w:id="313"/>
      </w:r>
      <w:r>
        <w:rPr>
          <w:szCs w:val="22"/>
        </w:rPr>
        <w:t xml:space="preserve">  Shortly before the statute of limitations ran on his claim, Mr. Eells’ father was speaking socially with Mr. Eells’ attorney and for the first time, realized that he may have a viable UM claim.</w:t>
      </w:r>
      <w:r>
        <w:rPr>
          <w:rStyle w:val="EndnoteReference"/>
          <w:rFonts w:eastAsia="MS Mincho"/>
          <w:szCs w:val="22"/>
        </w:rPr>
        <w:endnoteReference w:id="314"/>
      </w:r>
      <w:r>
        <w:rPr>
          <w:szCs w:val="22"/>
        </w:rPr>
        <w:t xml:space="preserve">  Mr. Eells then finally provided notice to State Farm by filing a claim.</w:t>
      </w:r>
      <w:r>
        <w:rPr>
          <w:rStyle w:val="EndnoteReference"/>
          <w:rFonts w:eastAsia="MS Mincho"/>
          <w:szCs w:val="22"/>
        </w:rPr>
        <w:endnoteReference w:id="315"/>
      </w:r>
      <w:r>
        <w:rPr>
          <w:szCs w:val="22"/>
        </w:rPr>
        <w:t xml:space="preserve">  Shortly thereafter, Mr. Eells filed suit against John Doe and State Farm.</w:t>
      </w:r>
      <w:r>
        <w:rPr>
          <w:rStyle w:val="EndnoteReference"/>
          <w:rFonts w:eastAsia="MS Mincho"/>
          <w:szCs w:val="22"/>
        </w:rPr>
        <w:endnoteReference w:id="316"/>
      </w:r>
      <w:r>
        <w:rPr>
          <w:szCs w:val="22"/>
        </w:rPr>
        <w:t xml:space="preserve">  </w:t>
      </w:r>
    </w:p>
    <w:p>
      <w:pPr>
        <w:pStyle w:val="BodyTextFirstIndent"/>
        <w:rPr>
          <w:i/>
          <w:szCs w:val="22"/>
        </w:rPr>
      </w:pPr>
      <w:r>
        <w:rPr>
          <w:szCs w:val="22"/>
        </w:rPr>
        <w:t xml:space="preserve">The Georgia Court of Appeals upheld the trial court’s ruling that the oral notice of Mr. Eells’ mother to the family’s State Farm agent did not meet the </w:t>
      </w:r>
      <w:r>
        <w:lastRenderedPageBreak/>
        <w:t>policy’s</w:t>
      </w:r>
      <w:r>
        <w:rPr>
          <w:szCs w:val="22"/>
        </w:rPr>
        <w:t xml:space="preserve"> notice requirement, but reversed and remanded for a determination of whether Mr. Eells was justified in the nearly two year delay in otherwise notifying State Farm of the delay.</w:t>
      </w:r>
      <w:r>
        <w:rPr>
          <w:rStyle w:val="EndnoteReference"/>
          <w:rFonts w:eastAsia="MS Mincho"/>
          <w:szCs w:val="22"/>
        </w:rPr>
        <w:endnoteReference w:id="317"/>
      </w:r>
      <w:r>
        <w:rPr>
          <w:szCs w:val="22"/>
        </w:rPr>
        <w:t xml:space="preserve">  The </w:t>
      </w:r>
      <w:r>
        <w:rPr>
          <w:i/>
          <w:szCs w:val="22"/>
        </w:rPr>
        <w:t xml:space="preserve">Eells </w:t>
      </w:r>
      <w:r>
        <w:rPr>
          <w:szCs w:val="22"/>
        </w:rPr>
        <w:t xml:space="preserve">court acknowledged that the State Farm policy required that Mr. Eells report a hit-and-run accident within thirty days, and “provide </w:t>
      </w:r>
      <w:r>
        <w:rPr>
          <w:i/>
          <w:szCs w:val="22"/>
        </w:rPr>
        <w:t>written notice</w:t>
      </w:r>
      <w:r>
        <w:rPr>
          <w:szCs w:val="22"/>
        </w:rPr>
        <w:t xml:space="preserve"> of the accident or loss to State Farm or one of its agents ‘as soon as reasonably possible.’”</w:t>
      </w:r>
      <w:r>
        <w:rPr>
          <w:rStyle w:val="EndnoteReference"/>
          <w:rFonts w:eastAsia="MS Mincho"/>
          <w:szCs w:val="22"/>
        </w:rPr>
        <w:endnoteReference w:id="318"/>
      </w:r>
      <w:r>
        <w:rPr>
          <w:szCs w:val="22"/>
        </w:rPr>
        <w:t xml:space="preserve">  Because Mr. Eells did not provide the written notice required by his policy, the court held that the oral notice that his mother provided was insufficient to satisfy the condition precedent for coverage.</w:t>
      </w:r>
      <w:r>
        <w:rPr>
          <w:rStyle w:val="EndnoteReference"/>
          <w:rFonts w:eastAsia="MS Mincho"/>
          <w:szCs w:val="22"/>
        </w:rPr>
        <w:endnoteReference w:id="319"/>
      </w:r>
    </w:p>
    <w:p>
      <w:pPr>
        <w:pStyle w:val="BodyTextFirstIndent"/>
        <w:rPr>
          <w:szCs w:val="22"/>
        </w:rPr>
      </w:pPr>
      <w:r>
        <w:rPr>
          <w:szCs w:val="22"/>
        </w:rPr>
        <w:t>However, the Court acknowledged that Mr. Eells may have been legally justified in his failure to provide timely notice.</w:t>
      </w:r>
      <w:r>
        <w:rPr>
          <w:rStyle w:val="EndnoteReference"/>
          <w:rFonts w:eastAsia="MS Mincho"/>
          <w:szCs w:val="22"/>
        </w:rPr>
        <w:endnoteReference w:id="320"/>
      </w:r>
      <w:r>
        <w:rPr>
          <w:szCs w:val="22"/>
        </w:rPr>
        <w:t xml:space="preserve">  Mr. Eells argued that the policy </w:t>
      </w:r>
      <w:r>
        <w:t>language</w:t>
      </w:r>
      <w:r>
        <w:rPr>
          <w:szCs w:val="22"/>
        </w:rPr>
        <w:t xml:space="preserve"> was “ambiguous as to whether an insured pedestrian, as opposed to an insured occupying a vehicle, would be covered.”</w:t>
      </w:r>
      <w:r>
        <w:rPr>
          <w:rStyle w:val="EndnoteReference"/>
          <w:rFonts w:eastAsia="MS Mincho"/>
          <w:szCs w:val="22"/>
        </w:rPr>
        <w:endnoteReference w:id="321"/>
      </w:r>
      <w:r>
        <w:rPr>
          <w:szCs w:val="22"/>
        </w:rPr>
        <w:t xml:space="preserve">  The policy language at issue provided: </w:t>
      </w:r>
    </w:p>
    <w:p>
      <w:pPr>
        <w:pStyle w:val="BodyText"/>
        <w:ind w:left="720" w:right="720"/>
      </w:pPr>
      <w:r>
        <w:t xml:space="preserve">[D]amages for bodily injury and property damage an insured is legally entitled to collect from the owner or driver of an uninsured motor vehicle . . . .  </w:t>
      </w:r>
      <w:r>
        <w:rPr>
          <w:i/>
        </w:rPr>
        <w:t xml:space="preserve">Uninsured Motor Vehicle </w:t>
      </w:r>
      <w:r>
        <w:t xml:space="preserve">– means: . . . a “hit-and-run” land motor vehicle whose owner or driver remains unknown, if: </w:t>
      </w:r>
      <w:r>
        <w:lastRenderedPageBreak/>
        <w:t xml:space="preserve">(a) such vehicle strikes: (1) </w:t>
      </w:r>
      <w:r>
        <w:rPr>
          <w:i/>
        </w:rPr>
        <w:t>the insured</w:t>
      </w:r>
      <w:r>
        <w:t xml:space="preserve"> or </w:t>
      </w:r>
      <w:r>
        <w:rPr>
          <w:i/>
        </w:rPr>
        <w:t>the vehicle the insured is occupying</w:t>
      </w:r>
      <w:r>
        <w:t xml:space="preserve"> and causes bodily injury to the insured[.]</w:t>
      </w:r>
      <w:r>
        <w:rPr>
          <w:rStyle w:val="EndnoteReference"/>
          <w:rFonts w:eastAsia="MS Mincho"/>
          <w:szCs w:val="22"/>
        </w:rPr>
        <w:endnoteReference w:id="322"/>
      </w:r>
    </w:p>
    <w:p>
      <w:pPr>
        <w:pStyle w:val="BodyTextFirstIndent"/>
        <w:rPr>
          <w:szCs w:val="22"/>
        </w:rPr>
      </w:pPr>
      <w:r>
        <w:rPr>
          <w:szCs w:val="22"/>
        </w:rPr>
        <w:t xml:space="preserve">Though such language seems to explicitly provide coverage to pedestrians involved in hit-and-run accidents, the court noted that another provision in the policy </w:t>
      </w:r>
      <w:r>
        <w:t>regarding</w:t>
      </w:r>
      <w:r>
        <w:rPr>
          <w:szCs w:val="22"/>
        </w:rPr>
        <w:t xml:space="preserve"> the reporting of claims states that in cases of UM claims, the insured claimant shall “(1) report a ‘hit-and-run’ accident to the police within 10 days and to us within 30 days. (2) let us see the </w:t>
      </w:r>
      <w:r>
        <w:rPr>
          <w:i/>
          <w:szCs w:val="22"/>
        </w:rPr>
        <w:t>insured car the person occupied in the accident</w:t>
      </w:r>
      <w:r>
        <w:rPr>
          <w:szCs w:val="22"/>
        </w:rPr>
        <w:t xml:space="preserve"> and any damaged property.”</w:t>
      </w:r>
      <w:r>
        <w:rPr>
          <w:rStyle w:val="EndnoteReference"/>
          <w:rFonts w:eastAsia="MS Mincho"/>
          <w:szCs w:val="22"/>
        </w:rPr>
        <w:endnoteReference w:id="323"/>
      </w:r>
    </w:p>
    <w:p>
      <w:pPr>
        <w:pStyle w:val="BodyTextFirstIndent"/>
        <w:rPr>
          <w:szCs w:val="22"/>
        </w:rPr>
      </w:pPr>
      <w:r>
        <w:rPr>
          <w:szCs w:val="22"/>
        </w:rPr>
        <w:t>Since an insurance policy is to be read from the point of view of a layman, the Court found that an uncertainty remained as to whether the policy did or did not require that the insured claimant be occupying a vehicle in order to have UM coverage.</w:t>
      </w:r>
      <w:r>
        <w:rPr>
          <w:rStyle w:val="EndnoteReference"/>
          <w:rFonts w:eastAsia="MS Mincho"/>
          <w:szCs w:val="22"/>
        </w:rPr>
        <w:endnoteReference w:id="324"/>
      </w:r>
      <w:r>
        <w:rPr>
          <w:szCs w:val="22"/>
        </w:rPr>
        <w:t xml:space="preserve">  The court remanded the case for a finding of whether any ambiguity existed in the policy.</w:t>
      </w:r>
      <w:r>
        <w:rPr>
          <w:rStyle w:val="EndnoteReference"/>
          <w:rFonts w:eastAsia="MS Mincho"/>
          <w:szCs w:val="22"/>
        </w:rPr>
        <w:endnoteReference w:id="325"/>
      </w:r>
      <w:r>
        <w:rPr>
          <w:szCs w:val="22"/>
        </w:rPr>
        <w:t xml:space="preserve">  In the event that an ambiguity did exist, the court held that a jury issue would exist on the issue of legal justification that would preclude summary judgment.</w:t>
      </w:r>
      <w:bookmarkStart w:id="58" w:name="_Ref381510056"/>
      <w:r>
        <w:rPr>
          <w:rStyle w:val="EndnoteReference"/>
          <w:rFonts w:eastAsia="MS Mincho"/>
          <w:szCs w:val="22"/>
        </w:rPr>
        <w:endnoteReference w:id="326"/>
      </w:r>
      <w:bookmarkEnd w:id="58"/>
    </w:p>
    <w:p>
      <w:pPr>
        <w:numPr>
          <w:ilvl w:val="0"/>
          <w:numId w:val="34"/>
        </w:numPr>
        <w:tabs>
          <w:tab w:val="clear" w:pos="1080"/>
          <w:tab w:val="num" w:pos="0"/>
        </w:tabs>
        <w:spacing w:after="0"/>
        <w:ind w:left="0" w:firstLine="0"/>
        <w:jc w:val="center"/>
        <w:rPr>
          <w:b/>
        </w:rPr>
      </w:pPr>
      <w:r>
        <w:rPr>
          <w:b/>
          <w:i/>
        </w:rPr>
        <w:t>McGraw v. IDS Prop. &amp; Cas. Ins. Co.</w:t>
      </w:r>
      <w:r>
        <w:rPr>
          <w:b/>
        </w:rPr>
        <w:t xml:space="preserve"> and </w:t>
      </w:r>
      <w:r>
        <w:rPr>
          <w:b/>
          <w:i/>
        </w:rPr>
        <w:t>Wilson v. The Auto. Ins. Co. of Hartford, Conn.</w:t>
      </w:r>
      <w:r>
        <w:rPr>
          <w:b/>
        </w:rPr>
        <w:t>: When Affirmative Selections and Rejections are Required for UM Coverage on Renewal Policies</w:t>
      </w:r>
    </w:p>
    <w:p>
      <w:pPr>
        <w:pStyle w:val="BodyTextFirstIndent"/>
        <w:rPr>
          <w:szCs w:val="22"/>
        </w:rPr>
      </w:pPr>
      <w:r>
        <w:rPr>
          <w:szCs w:val="22"/>
        </w:rPr>
        <w:lastRenderedPageBreak/>
        <w:t xml:space="preserve">In 2013, the Georgia Court of Appeals and Georgia Supreme Court issued decisions regarding the effect of the January 1, 2009 amendment to O.C.G.A. § 33-7-11 on policies issued before, but renewed after, the amendment went into effect. The Georgia Court of </w:t>
      </w:r>
      <w:r>
        <w:t>Appeals</w:t>
      </w:r>
      <w:r>
        <w:rPr>
          <w:szCs w:val="22"/>
        </w:rPr>
        <w:t xml:space="preserve"> considered the amendment’s effect on a standard automobile policy while the Georgia Supreme Court examined its effect on umbrella policies.</w:t>
      </w:r>
    </w:p>
    <w:p>
      <w:pPr>
        <w:pStyle w:val="BodyTextFirstIndent"/>
        <w:rPr>
          <w:szCs w:val="22"/>
        </w:rPr>
      </w:pPr>
      <w:r>
        <w:rPr>
          <w:szCs w:val="22"/>
        </w:rPr>
        <w:t xml:space="preserve">In </w:t>
      </w:r>
      <w:r>
        <w:rPr>
          <w:i/>
          <w:szCs w:val="22"/>
        </w:rPr>
        <w:t>McGraw v. IDS Prop. &amp; Cas. Ins. Co.</w:t>
      </w:r>
      <w:r>
        <w:rPr>
          <w:szCs w:val="22"/>
        </w:rPr>
        <w:t xml:space="preserve">, the court of appeals held that an insured’s failure to affirmatively elect UM limits in an amount higher than that provided as the “default” amount in the insurer’s election form was not an </w:t>
      </w:r>
      <w:r>
        <w:t>affirmative</w:t>
      </w:r>
      <w:r>
        <w:rPr>
          <w:szCs w:val="22"/>
        </w:rPr>
        <w:t xml:space="preserve"> act to select UM coverage in an amount less than the statutory default amount equivalent to the policy’s bodily injury liability limits.</w:t>
      </w:r>
      <w:r>
        <w:rPr>
          <w:rStyle w:val="EndnoteReference"/>
          <w:rFonts w:eastAsia="MS Mincho"/>
          <w:szCs w:val="22"/>
        </w:rPr>
        <w:endnoteReference w:id="327"/>
      </w:r>
      <w:r>
        <w:rPr>
          <w:szCs w:val="22"/>
        </w:rPr>
        <w:t xml:space="preserve">  </w:t>
      </w:r>
      <w:r>
        <w:rPr>
          <w:i/>
          <w:szCs w:val="22"/>
        </w:rPr>
        <w:t>McGraw</w:t>
      </w:r>
      <w:r>
        <w:rPr>
          <w:szCs w:val="22"/>
        </w:rPr>
        <w:t xml:space="preserve"> involved a policy issued before the amendments to O.C.G.A. § 33-7-11 became effective on January 1, 2009.  When the plaintiff’s policy was originally issued in 2007, the declaration page reflected bodily injury liability coverage of $100,000 per person and UM coverage of $50,000 per person.</w:t>
      </w:r>
      <w:r>
        <w:rPr>
          <w:rStyle w:val="EndnoteReference"/>
          <w:rFonts w:eastAsia="MS Mincho"/>
          <w:szCs w:val="22"/>
        </w:rPr>
        <w:endnoteReference w:id="328"/>
      </w:r>
      <w:r>
        <w:rPr>
          <w:szCs w:val="22"/>
        </w:rPr>
        <w:t xml:space="preserve">  </w:t>
      </w:r>
    </w:p>
    <w:p>
      <w:pPr>
        <w:pStyle w:val="BodyTextFirstIndent"/>
        <w:rPr>
          <w:szCs w:val="22"/>
        </w:rPr>
      </w:pPr>
      <w:r>
        <w:rPr>
          <w:szCs w:val="22"/>
        </w:rPr>
        <w:t>The policy with the same limits of coverage was thereafter renewed every six months.</w:t>
      </w:r>
      <w:r>
        <w:rPr>
          <w:rStyle w:val="EndnoteReference"/>
          <w:rFonts w:eastAsia="MS Mincho"/>
          <w:szCs w:val="22"/>
        </w:rPr>
        <w:endnoteReference w:id="329"/>
      </w:r>
      <w:r>
        <w:rPr>
          <w:szCs w:val="22"/>
        </w:rPr>
        <w:t xml:space="preserve">  The month before the new UM statute was to go into effect, the plaintiff’s insurer issued a letter stating that the UM coverage was being “revised to reflect a change in Georgia law” and asking the plaintiff to complete a “renewal </w:t>
      </w:r>
      <w:r>
        <w:rPr>
          <w:szCs w:val="22"/>
        </w:rPr>
        <w:lastRenderedPageBreak/>
        <w:t>declaration page” to “readjust [his] UM coverage to more specifically meet [his] needs.”</w:t>
      </w:r>
      <w:r>
        <w:rPr>
          <w:rStyle w:val="EndnoteReference"/>
          <w:rFonts w:eastAsia="MS Mincho"/>
          <w:szCs w:val="22"/>
        </w:rPr>
        <w:endnoteReference w:id="330"/>
      </w:r>
      <w:r>
        <w:rPr>
          <w:szCs w:val="22"/>
        </w:rPr>
        <w:t xml:space="preserve">  The insurer enclosed an election form in which the plaintiff could choose UM coverage “added-on” or “reduced-by” the liability limits, or no UM coverage at all.</w:t>
      </w:r>
      <w:r>
        <w:rPr>
          <w:rStyle w:val="EndnoteReference"/>
          <w:rFonts w:eastAsia="MS Mincho"/>
          <w:szCs w:val="22"/>
        </w:rPr>
        <w:endnoteReference w:id="331"/>
      </w:r>
      <w:r>
        <w:rPr>
          <w:szCs w:val="22"/>
        </w:rPr>
        <w:t xml:space="preserve">  The form further provided that if the insured did not complete and return the form, the insurer would “continue to apply UM added-on coverage to the current limit shown on your renewal declaration page.”</w:t>
      </w:r>
      <w:r>
        <w:rPr>
          <w:rStyle w:val="EndnoteReference"/>
          <w:rFonts w:eastAsia="MS Mincho"/>
          <w:szCs w:val="22"/>
        </w:rPr>
        <w:endnoteReference w:id="332"/>
      </w:r>
      <w:r>
        <w:rPr>
          <w:szCs w:val="22"/>
        </w:rPr>
        <w:t xml:space="preserve">  The plaintiff never returned the form to the insurer.</w:t>
      </w:r>
      <w:r>
        <w:rPr>
          <w:rStyle w:val="EndnoteReference"/>
          <w:rFonts w:eastAsia="MS Mincho"/>
          <w:szCs w:val="22"/>
        </w:rPr>
        <w:endnoteReference w:id="333"/>
      </w:r>
      <w:r>
        <w:rPr>
          <w:szCs w:val="22"/>
        </w:rPr>
        <w:t xml:space="preserve">  </w:t>
      </w:r>
    </w:p>
    <w:p>
      <w:pPr>
        <w:pStyle w:val="BodyTextFirstIndent"/>
        <w:rPr>
          <w:szCs w:val="22"/>
        </w:rPr>
      </w:pPr>
      <w:r>
        <w:rPr>
          <w:szCs w:val="22"/>
        </w:rPr>
        <w:t xml:space="preserve">Following a June 12, 2009 accident, the plaintiff sought UM coverage of $100,000 (the amount equal to his liability </w:t>
      </w:r>
      <w:r>
        <w:t>coverage</w:t>
      </w:r>
      <w:r>
        <w:rPr>
          <w:szCs w:val="22"/>
        </w:rPr>
        <w:t>) since he never affirmatively chose a lesser amount.</w:t>
      </w:r>
      <w:r>
        <w:rPr>
          <w:rStyle w:val="EndnoteReference"/>
          <w:rFonts w:eastAsia="MS Mincho"/>
          <w:szCs w:val="22"/>
        </w:rPr>
        <w:endnoteReference w:id="334"/>
      </w:r>
      <w:r>
        <w:rPr>
          <w:szCs w:val="22"/>
        </w:rPr>
        <w:t xml:space="preserve">  The insurer, however, argued that the plaintiff was only entitled to UM coverage of $50,000 as he did not request a higher amount upon renewal.</w:t>
      </w:r>
      <w:r>
        <w:rPr>
          <w:rStyle w:val="EndnoteReference"/>
          <w:rFonts w:eastAsia="MS Mincho"/>
          <w:szCs w:val="22"/>
        </w:rPr>
        <w:endnoteReference w:id="335"/>
      </w:r>
    </w:p>
    <w:p>
      <w:pPr>
        <w:pStyle w:val="BodyTextFirstIndent"/>
        <w:rPr>
          <w:szCs w:val="22"/>
        </w:rPr>
      </w:pPr>
      <w:r>
        <w:rPr>
          <w:szCs w:val="22"/>
        </w:rPr>
        <w:t xml:space="preserve">The </w:t>
      </w:r>
      <w:r>
        <w:rPr>
          <w:i/>
          <w:szCs w:val="22"/>
        </w:rPr>
        <w:t xml:space="preserve">McGraw </w:t>
      </w:r>
      <w:r>
        <w:rPr>
          <w:szCs w:val="22"/>
        </w:rPr>
        <w:t xml:space="preserve">court noted that the provision of the UM statute at issue was amended effective January 1, 2009 to read: “insurance policies issued in Georgia [shall] contain provisions for UM coverage which at the option of </w:t>
      </w:r>
      <w:r>
        <w:t>the</w:t>
      </w:r>
      <w:r>
        <w:rPr>
          <w:szCs w:val="22"/>
        </w:rPr>
        <w:t xml:space="preserve"> insured shall be (i) not less than $25,000 per person, or (ii) equal to the policy’s bodily injury liability insurance coverage, if higher than $25,000 per person.”</w:t>
      </w:r>
      <w:r>
        <w:rPr>
          <w:rStyle w:val="EndnoteReference"/>
          <w:rFonts w:eastAsia="MS Mincho"/>
          <w:szCs w:val="22"/>
        </w:rPr>
        <w:endnoteReference w:id="336"/>
      </w:r>
      <w:r>
        <w:rPr>
          <w:szCs w:val="22"/>
        </w:rPr>
        <w:t xml:space="preserve">  The statute further provides that “[i]n any event, the insured may affirmatively choose [UM] limits in an amount less than the limits of liability [for bodily injury].”</w:t>
      </w:r>
      <w:r>
        <w:rPr>
          <w:rStyle w:val="EndnoteReference"/>
          <w:rFonts w:eastAsia="MS Mincho"/>
          <w:szCs w:val="22"/>
        </w:rPr>
        <w:endnoteReference w:id="337"/>
      </w:r>
      <w:r>
        <w:rPr>
          <w:szCs w:val="22"/>
        </w:rPr>
        <w:t xml:space="preserve">  </w:t>
      </w:r>
    </w:p>
    <w:p>
      <w:pPr>
        <w:pStyle w:val="BodyTextFirstIndent"/>
        <w:rPr>
          <w:szCs w:val="22"/>
        </w:rPr>
      </w:pPr>
      <w:r>
        <w:rPr>
          <w:szCs w:val="22"/>
        </w:rPr>
        <w:lastRenderedPageBreak/>
        <w:t xml:space="preserve">Finding that “the requirements of the statute control over the terms of the policy,” the </w:t>
      </w:r>
      <w:r>
        <w:rPr>
          <w:i/>
          <w:szCs w:val="22"/>
        </w:rPr>
        <w:t xml:space="preserve">McGraw </w:t>
      </w:r>
      <w:r>
        <w:rPr>
          <w:szCs w:val="22"/>
        </w:rPr>
        <w:t xml:space="preserve">court determined that the plaintiff had not </w:t>
      </w:r>
      <w:r>
        <w:rPr>
          <w:i/>
          <w:szCs w:val="22"/>
        </w:rPr>
        <w:t>affirmatively</w:t>
      </w:r>
      <w:r>
        <w:rPr>
          <w:szCs w:val="22"/>
        </w:rPr>
        <w:t xml:space="preserve"> chosen the lower limits of $50,000.</w:t>
      </w:r>
      <w:r>
        <w:rPr>
          <w:rStyle w:val="EndnoteReference"/>
          <w:rFonts w:eastAsia="MS Mincho"/>
          <w:szCs w:val="22"/>
        </w:rPr>
        <w:endnoteReference w:id="338"/>
      </w:r>
      <w:r>
        <w:rPr>
          <w:szCs w:val="22"/>
        </w:rPr>
        <w:t xml:space="preserve">  The court reasoned that plaintiff’s failure to act in completing the election form did not amount to an affirmative choice of UM limits in an amount lower than provided by statute.</w:t>
      </w:r>
      <w:r>
        <w:rPr>
          <w:rStyle w:val="EndnoteReference"/>
          <w:rFonts w:eastAsia="MS Mincho"/>
          <w:szCs w:val="22"/>
        </w:rPr>
        <w:endnoteReference w:id="339"/>
      </w:r>
      <w:r>
        <w:rPr>
          <w:szCs w:val="22"/>
        </w:rPr>
        <w:t xml:space="preserve">  Accordingly, the plaintiff’s failure to act left him with default statutory UM limits in an amount equal to the liability limits of $100,000.</w:t>
      </w:r>
      <w:r>
        <w:rPr>
          <w:rStyle w:val="EndnoteReference"/>
          <w:rFonts w:eastAsia="MS Mincho"/>
          <w:szCs w:val="22"/>
        </w:rPr>
        <w:endnoteReference w:id="340"/>
      </w:r>
    </w:p>
    <w:p>
      <w:pPr>
        <w:pStyle w:val="BodyTextFirstIndent"/>
        <w:rPr>
          <w:szCs w:val="22"/>
        </w:rPr>
      </w:pPr>
      <w:r>
        <w:rPr>
          <w:szCs w:val="22"/>
        </w:rPr>
        <w:t xml:space="preserve">In </w:t>
      </w:r>
      <w:r>
        <w:rPr>
          <w:i/>
          <w:szCs w:val="22"/>
        </w:rPr>
        <w:t>Wilson v. Auto. Ins. Co. of Hartford, Conn.</w:t>
      </w:r>
      <w:r>
        <w:rPr>
          <w:szCs w:val="22"/>
        </w:rPr>
        <w:t xml:space="preserve">, the Georgia Supreme Court considered two certified questions of the United States District Court for the </w:t>
      </w:r>
      <w:r>
        <w:t>Northern</w:t>
      </w:r>
      <w:r>
        <w:rPr>
          <w:szCs w:val="22"/>
        </w:rPr>
        <w:t xml:space="preserve"> District of Georgia.</w:t>
      </w:r>
      <w:r>
        <w:rPr>
          <w:rStyle w:val="EndnoteReference"/>
          <w:rFonts w:eastAsia="MS Mincho"/>
          <w:szCs w:val="22"/>
        </w:rPr>
        <w:endnoteReference w:id="341"/>
      </w:r>
      <w:r>
        <w:rPr>
          <w:szCs w:val="22"/>
        </w:rPr>
        <w:t xml:space="preserve">  The questions involved an umbrella policy issued in 2001, but renewed after the amendment to O.C.G.A. § 33-7-11 became effective on January 1, 2009.</w:t>
      </w:r>
      <w:r>
        <w:rPr>
          <w:rStyle w:val="EndnoteReference"/>
          <w:rFonts w:eastAsia="MS Mincho"/>
          <w:szCs w:val="22"/>
        </w:rPr>
        <w:endnoteReference w:id="342"/>
      </w:r>
    </w:p>
    <w:p>
      <w:pPr>
        <w:pStyle w:val="BodyTextFirstIndent"/>
        <w:rPr>
          <w:szCs w:val="22"/>
        </w:rPr>
      </w:pPr>
      <w:r>
        <w:rPr>
          <w:szCs w:val="22"/>
        </w:rPr>
        <w:t xml:space="preserve">At the time that the plaintiffs obtained their </w:t>
      </w:r>
      <w:r>
        <w:t>umbrella</w:t>
      </w:r>
      <w:r>
        <w:rPr>
          <w:szCs w:val="22"/>
        </w:rPr>
        <w:t xml:space="preserve"> policy in 2001, they did not affirmatively reject UM coverage in writing.</w:t>
      </w:r>
      <w:r>
        <w:rPr>
          <w:rStyle w:val="EndnoteReference"/>
          <w:rFonts w:eastAsia="MS Mincho"/>
          <w:szCs w:val="22"/>
        </w:rPr>
        <w:endnoteReference w:id="343"/>
      </w:r>
      <w:r>
        <w:rPr>
          <w:szCs w:val="22"/>
        </w:rPr>
        <w:t xml:space="preserve">  Although the policy purported to exclude UM coverage, Georgia law required that umbrella policies include UM coverage unless the insured affirmatively rejected such coverage in writing.</w:t>
      </w:r>
      <w:r>
        <w:rPr>
          <w:rStyle w:val="EndnoteReference"/>
          <w:rFonts w:eastAsia="MS Mincho"/>
          <w:szCs w:val="22"/>
        </w:rPr>
        <w:endnoteReference w:id="344"/>
      </w:r>
      <w:r>
        <w:rPr>
          <w:szCs w:val="22"/>
        </w:rPr>
        <w:t xml:space="preserve">  The plaintiffs then renewed their policy annually through October, 2010, when one of the plaintiffs was involved in a serious automobile accident.</w:t>
      </w:r>
      <w:r>
        <w:rPr>
          <w:rStyle w:val="EndnoteReference"/>
          <w:rFonts w:eastAsia="MS Mincho"/>
          <w:szCs w:val="22"/>
        </w:rPr>
        <w:endnoteReference w:id="345"/>
      </w:r>
      <w:r>
        <w:rPr>
          <w:szCs w:val="22"/>
        </w:rPr>
        <w:t xml:space="preserve">  </w:t>
      </w:r>
    </w:p>
    <w:p>
      <w:pPr>
        <w:pStyle w:val="BodyTextFirstIndent"/>
        <w:rPr>
          <w:szCs w:val="22"/>
        </w:rPr>
      </w:pPr>
      <w:r>
        <w:rPr>
          <w:szCs w:val="22"/>
        </w:rPr>
        <w:lastRenderedPageBreak/>
        <w:t xml:space="preserve">Effective January 1, 2009, O.C.G.A. § 33-7-11(a)(1) was amended to read: “[t]he coverage required [under this statute] excludes umbrella or excess liability policies unless affirmatively provided for in such policies or in policy </w:t>
      </w:r>
      <w:r>
        <w:t>endorsement</w:t>
      </w:r>
      <w:r>
        <w:rPr>
          <w:szCs w:val="22"/>
        </w:rPr>
        <w:t>.”</w:t>
      </w:r>
      <w:r>
        <w:rPr>
          <w:rStyle w:val="EndnoteReference"/>
          <w:rFonts w:eastAsia="MS Mincho"/>
          <w:szCs w:val="22"/>
        </w:rPr>
        <w:endnoteReference w:id="346"/>
      </w:r>
      <w:r>
        <w:rPr>
          <w:szCs w:val="22"/>
        </w:rPr>
        <w:t xml:space="preserve">  The amendment applied to “all policies issued, delivered, issued for delivery, or renewed in this state on or after [January 1, 2009].”</w:t>
      </w:r>
      <w:r>
        <w:rPr>
          <w:rStyle w:val="EndnoteReference"/>
          <w:rFonts w:eastAsia="MS Mincho"/>
          <w:szCs w:val="22"/>
        </w:rPr>
        <w:endnoteReference w:id="347"/>
      </w:r>
      <w:r>
        <w:rPr>
          <w:szCs w:val="22"/>
        </w:rPr>
        <w:t xml:space="preserve">  The statute was further amended to require insurers to “send to their insureds who have not rejected coverage pursuant to [O.C.G.A. § 33-7-11(a)(3)] a notice at least 45 days before the first renewal of such policies advising of the coverage options set forth in this division.”</w:t>
      </w:r>
      <w:r>
        <w:rPr>
          <w:rStyle w:val="EndnoteReference"/>
          <w:rFonts w:eastAsia="MS Mincho"/>
          <w:szCs w:val="22"/>
        </w:rPr>
        <w:endnoteReference w:id="348"/>
      </w:r>
      <w:r>
        <w:rPr>
          <w:szCs w:val="22"/>
        </w:rPr>
        <w:t xml:space="preserve"> </w:t>
      </w:r>
    </w:p>
    <w:p>
      <w:pPr>
        <w:pStyle w:val="BodyTextFirstIndent"/>
        <w:rPr>
          <w:szCs w:val="22"/>
        </w:rPr>
      </w:pPr>
      <w:r>
        <w:rPr>
          <w:szCs w:val="22"/>
        </w:rPr>
        <w:t>Following the October, 2010 accident, the plaintiffs sought UM coverage under their umbrella policy.</w:t>
      </w:r>
      <w:r>
        <w:rPr>
          <w:rStyle w:val="EndnoteReference"/>
          <w:rFonts w:eastAsia="MS Mincho"/>
          <w:szCs w:val="22"/>
        </w:rPr>
        <w:endnoteReference w:id="349"/>
      </w:r>
      <w:r>
        <w:rPr>
          <w:szCs w:val="22"/>
        </w:rPr>
        <w:t xml:space="preserve">  However, the insurer contended that the policy no longer carried UM coverage insofar as the 2009 renewal of the policy incorporated by its terms the most recent statutory amendment.</w:t>
      </w:r>
      <w:r>
        <w:rPr>
          <w:rStyle w:val="EndnoteReference"/>
          <w:rFonts w:eastAsia="MS Mincho"/>
          <w:szCs w:val="22"/>
        </w:rPr>
        <w:endnoteReference w:id="350"/>
      </w:r>
    </w:p>
    <w:p>
      <w:pPr>
        <w:pStyle w:val="BodyTextFirstIndent"/>
        <w:rPr>
          <w:szCs w:val="22"/>
        </w:rPr>
      </w:pPr>
      <w:r>
        <w:rPr>
          <w:szCs w:val="22"/>
        </w:rPr>
        <w:t xml:space="preserve">The Georgia </w:t>
      </w:r>
      <w:r>
        <w:t>Supreme</w:t>
      </w:r>
      <w:r>
        <w:rPr>
          <w:szCs w:val="22"/>
        </w:rPr>
        <w:t xml:space="preserve"> Court held that the offer/rejection requirements of O.C.G.A. § 33-7-11 did not apply to umbrella policies renewed on or after January 1, 2009.</w:t>
      </w:r>
      <w:r>
        <w:rPr>
          <w:rStyle w:val="EndnoteReference"/>
          <w:rFonts w:eastAsia="MS Mincho"/>
          <w:szCs w:val="22"/>
        </w:rPr>
        <w:endnoteReference w:id="351"/>
      </w:r>
      <w:r>
        <w:rPr>
          <w:szCs w:val="22"/>
        </w:rPr>
        <w:t xml:space="preserve">  The Georgia Supreme Court reasoned that the January 1, 2009 amendment “merely relieves the insurer of an umbrella </w:t>
      </w:r>
      <w:r>
        <w:t>policy</w:t>
      </w:r>
      <w:r>
        <w:rPr>
          <w:szCs w:val="22"/>
        </w:rPr>
        <w:t xml:space="preserve"> from the mandatory coverage requirement of O.C.G.A. § 33-71-11(a)(1), leaving the insurer and insured free to negotiate the terms </w:t>
      </w:r>
      <w:r>
        <w:rPr>
          <w:szCs w:val="22"/>
        </w:rPr>
        <w:lastRenderedPageBreak/>
        <w:t>of the renewal as they see fit . . . .”</w:t>
      </w:r>
      <w:r>
        <w:rPr>
          <w:rStyle w:val="EndnoteReference"/>
          <w:rFonts w:eastAsia="MS Mincho"/>
          <w:szCs w:val="22"/>
        </w:rPr>
        <w:endnoteReference w:id="352"/>
      </w:r>
    </w:p>
    <w:p>
      <w:pPr>
        <w:pStyle w:val="BodyTextFirstIndent"/>
        <w:rPr>
          <w:szCs w:val="22"/>
        </w:rPr>
      </w:pPr>
      <w:r>
        <w:rPr>
          <w:szCs w:val="22"/>
        </w:rPr>
        <w:t>With respect to the notice requirement of the amended O.C.G.A. § 33-7-11, the Georgia Supreme Court held that it did not apply to umbrella policies.</w:t>
      </w:r>
      <w:r>
        <w:rPr>
          <w:rStyle w:val="EndnoteReference"/>
          <w:rFonts w:eastAsia="MS Mincho"/>
          <w:szCs w:val="22"/>
        </w:rPr>
        <w:endnoteReference w:id="353"/>
      </w:r>
      <w:r>
        <w:rPr>
          <w:szCs w:val="22"/>
        </w:rPr>
        <w:t xml:space="preserve">  The supreme court noted that the requirement referenced providing notice to insureds of their UM coverage options.</w:t>
      </w:r>
      <w:r>
        <w:rPr>
          <w:rStyle w:val="EndnoteReference"/>
          <w:rFonts w:eastAsia="MS Mincho"/>
          <w:szCs w:val="22"/>
        </w:rPr>
        <w:endnoteReference w:id="354"/>
      </w:r>
      <w:r>
        <w:rPr>
          <w:szCs w:val="22"/>
        </w:rPr>
        <w:t xml:space="preserve">  Since the amended statute did not require umbrella policies to carry UM coverage, the court reasoned that “it would be nonsensical to require an insurer to provide an insured with notice of the types of [UM] coverage options that the insurer was not obligated to provide.”</w:t>
      </w:r>
      <w:r>
        <w:rPr>
          <w:rStyle w:val="EndnoteReference"/>
          <w:rFonts w:eastAsia="MS Mincho"/>
          <w:szCs w:val="22"/>
        </w:rPr>
        <w:endnoteReference w:id="355"/>
      </w:r>
    </w:p>
    <w:p>
      <w:pPr>
        <w:numPr>
          <w:ilvl w:val="0"/>
          <w:numId w:val="34"/>
        </w:numPr>
        <w:tabs>
          <w:tab w:val="clear" w:pos="1080"/>
          <w:tab w:val="num" w:pos="0"/>
        </w:tabs>
        <w:spacing w:after="0"/>
        <w:ind w:left="0" w:firstLine="0"/>
        <w:jc w:val="center"/>
        <w:rPr>
          <w:b/>
        </w:rPr>
      </w:pPr>
      <w:r>
        <w:rPr>
          <w:b/>
          <w:i/>
        </w:rPr>
        <w:t>Wade v. Allstate Fire and Cas. Co.</w:t>
      </w:r>
      <w:r>
        <w:rPr>
          <w:b/>
        </w:rPr>
        <w:t>: Apportionment Required Before UM Liability Fixed In Multiple Tortfeasor Claims</w:t>
      </w:r>
    </w:p>
    <w:p>
      <w:pPr>
        <w:pStyle w:val="BodyTextFirstIndent"/>
        <w:rPr>
          <w:szCs w:val="22"/>
        </w:rPr>
      </w:pPr>
      <w:r>
        <w:rPr>
          <w:szCs w:val="22"/>
        </w:rPr>
        <w:t xml:space="preserve">In </w:t>
      </w:r>
      <w:r>
        <w:rPr>
          <w:i/>
          <w:szCs w:val="22"/>
        </w:rPr>
        <w:t>Wade v. Allstate Fire and Cas. Co.</w:t>
      </w:r>
      <w:r>
        <w:rPr>
          <w:szCs w:val="22"/>
        </w:rPr>
        <w:t xml:space="preserve">, the court of appeals held that the determination of whether an insured had exhausted the limits of liability coverage </w:t>
      </w:r>
      <w:r>
        <w:t>for</w:t>
      </w:r>
      <w:r>
        <w:rPr>
          <w:szCs w:val="22"/>
        </w:rPr>
        <w:t xml:space="preserve"> purposes of satisfying the condition precedent for UM coverage could not be determined in a case involving multiple tortfeasors until the respective fault and liability of each tortfeasor had been fixed by apportionment.</w:t>
      </w:r>
      <w:r>
        <w:rPr>
          <w:rStyle w:val="EndnoteReference"/>
          <w:rFonts w:eastAsia="MS Mincho"/>
          <w:szCs w:val="22"/>
        </w:rPr>
        <w:endnoteReference w:id="356"/>
      </w:r>
      <w:r>
        <w:rPr>
          <w:szCs w:val="22"/>
        </w:rPr>
        <w:t xml:space="preserve">  </w:t>
      </w:r>
      <w:r>
        <w:rPr>
          <w:i/>
          <w:szCs w:val="22"/>
        </w:rPr>
        <w:t>Wade</w:t>
      </w:r>
      <w:r>
        <w:rPr>
          <w:szCs w:val="22"/>
        </w:rPr>
        <w:t xml:space="preserve"> involved an automobile accident, after which the plaintiff sued three distinct tortfeasors.</w:t>
      </w:r>
      <w:r>
        <w:rPr>
          <w:rStyle w:val="EndnoteReference"/>
          <w:rFonts w:eastAsia="MS Mincho"/>
          <w:szCs w:val="22"/>
        </w:rPr>
        <w:endnoteReference w:id="357"/>
      </w:r>
      <w:r>
        <w:rPr>
          <w:szCs w:val="22"/>
        </w:rPr>
        <w:t xml:space="preserve">  The plaintiff settled his claims against two of the tortfeasors.</w:t>
      </w:r>
      <w:r>
        <w:rPr>
          <w:rStyle w:val="EndnoteReference"/>
          <w:rFonts w:eastAsia="MS Mincho"/>
          <w:szCs w:val="22"/>
        </w:rPr>
        <w:endnoteReference w:id="358"/>
      </w:r>
      <w:r>
        <w:rPr>
          <w:szCs w:val="22"/>
        </w:rPr>
        <w:t xml:space="preserve">  One of the settlements was for the full liability limits under that tortfeasor’s policy in exchange for a </w:t>
      </w:r>
      <w:r>
        <w:rPr>
          <w:szCs w:val="22"/>
        </w:rPr>
        <w:lastRenderedPageBreak/>
        <w:t>limited liability release.</w:t>
      </w:r>
      <w:r>
        <w:rPr>
          <w:rStyle w:val="EndnoteReference"/>
          <w:rFonts w:eastAsia="MS Mincho"/>
          <w:szCs w:val="22"/>
        </w:rPr>
        <w:endnoteReference w:id="359"/>
      </w:r>
      <w:r>
        <w:rPr>
          <w:szCs w:val="22"/>
        </w:rPr>
        <w:t xml:space="preserve">  The other settlement was for less than the full limits of liability for that tortfeasor in exchange for a general release.</w:t>
      </w:r>
      <w:r>
        <w:rPr>
          <w:rStyle w:val="EndnoteReference"/>
          <w:rFonts w:eastAsia="MS Mincho"/>
          <w:szCs w:val="22"/>
        </w:rPr>
        <w:endnoteReference w:id="360"/>
      </w:r>
      <w:r>
        <w:rPr>
          <w:szCs w:val="22"/>
        </w:rPr>
        <w:t xml:space="preserve">  Both tortfeasors were dismissed with prejudice.</w:t>
      </w:r>
      <w:r>
        <w:rPr>
          <w:rStyle w:val="EndnoteReference"/>
          <w:rFonts w:eastAsia="MS Mincho"/>
          <w:szCs w:val="22"/>
        </w:rPr>
        <w:endnoteReference w:id="361"/>
      </w:r>
      <w:r>
        <w:rPr>
          <w:szCs w:val="22"/>
        </w:rPr>
        <w:t xml:space="preserve">  The UM insurer consented to the dismissal of those tortfeasors, but expressly reserved its defenses as to the plaintiff’s claim for UM benefits.</w:t>
      </w:r>
      <w:r>
        <w:rPr>
          <w:rStyle w:val="EndnoteReference"/>
          <w:rFonts w:eastAsia="MS Mincho"/>
          <w:szCs w:val="22"/>
        </w:rPr>
        <w:endnoteReference w:id="362"/>
      </w:r>
    </w:p>
    <w:p>
      <w:pPr>
        <w:pStyle w:val="BodyTextFirstIndent"/>
        <w:rPr>
          <w:szCs w:val="22"/>
        </w:rPr>
      </w:pPr>
      <w:r>
        <w:rPr>
          <w:szCs w:val="22"/>
        </w:rPr>
        <w:t xml:space="preserve">The UM insurer then moved for summary judgment on the grounds that it was not obligated to the plaintiff for UM benefits since the plaintiff had not exhausted the liability </w:t>
      </w:r>
      <w:r>
        <w:t>limits</w:t>
      </w:r>
      <w:r>
        <w:rPr>
          <w:szCs w:val="22"/>
        </w:rPr>
        <w:t xml:space="preserve"> of all named defendants.</w:t>
      </w:r>
      <w:r>
        <w:rPr>
          <w:rStyle w:val="EndnoteReference"/>
          <w:rFonts w:eastAsia="MS Mincho"/>
          <w:szCs w:val="22"/>
        </w:rPr>
        <w:endnoteReference w:id="363"/>
      </w:r>
      <w:r>
        <w:rPr>
          <w:szCs w:val="22"/>
        </w:rPr>
        <w:t xml:space="preserve">  The plaintiff opposed the UM insurer’s motion, arguing that since he had exhausted the liability limits of at least one tortfeasor’s policy, the UM insurer’s liability could not be determined until the jury had apportioned fault and liability among all tortfeasors.</w:t>
      </w:r>
      <w:r>
        <w:rPr>
          <w:rStyle w:val="EndnoteReference"/>
          <w:rFonts w:eastAsia="MS Mincho"/>
          <w:szCs w:val="22"/>
        </w:rPr>
        <w:endnoteReference w:id="364"/>
      </w:r>
    </w:p>
    <w:p>
      <w:pPr>
        <w:pStyle w:val="BodyTextFirstIndent"/>
        <w:rPr>
          <w:szCs w:val="22"/>
        </w:rPr>
      </w:pPr>
      <w:r>
        <w:rPr>
          <w:szCs w:val="22"/>
        </w:rPr>
        <w:t>In reversing the trial court’s grant of summary judgment to the UM insurer, the court of appeals considered the term “applicable” in the UM policy’s exhaustion requirement provision.</w:t>
      </w:r>
      <w:r>
        <w:rPr>
          <w:rStyle w:val="EndnoteReference"/>
          <w:rFonts w:eastAsia="MS Mincho"/>
          <w:szCs w:val="22"/>
        </w:rPr>
        <w:endnoteReference w:id="365"/>
      </w:r>
      <w:r>
        <w:rPr>
          <w:szCs w:val="22"/>
        </w:rPr>
        <w:t xml:space="preserve">  The policy stated that the UM insurer was “not obligated to make any payment for bodily injury . . . under this coverage . . . until after the limits of liability for all liability protection in effect and </w:t>
      </w:r>
      <w:r>
        <w:rPr>
          <w:i/>
          <w:szCs w:val="22"/>
        </w:rPr>
        <w:t>applicable</w:t>
      </w:r>
      <w:r>
        <w:rPr>
          <w:szCs w:val="22"/>
        </w:rPr>
        <w:t xml:space="preserve"> at the time of the accident have been exhausted . . . .”</w:t>
      </w:r>
      <w:r>
        <w:rPr>
          <w:rStyle w:val="EndnoteReference"/>
          <w:rFonts w:eastAsia="MS Mincho"/>
          <w:szCs w:val="22"/>
        </w:rPr>
        <w:endnoteReference w:id="366"/>
      </w:r>
      <w:r>
        <w:rPr>
          <w:szCs w:val="22"/>
        </w:rPr>
        <w:t xml:space="preserve">  Since there was no definition of “applicable” in the policy itself, the </w:t>
      </w:r>
      <w:r>
        <w:rPr>
          <w:i/>
          <w:szCs w:val="22"/>
        </w:rPr>
        <w:t>Wade</w:t>
      </w:r>
      <w:r>
        <w:rPr>
          <w:szCs w:val="22"/>
        </w:rPr>
        <w:t xml:space="preserve"> court employed the dictionary definition of “capable of </w:t>
      </w:r>
      <w:r>
        <w:rPr>
          <w:szCs w:val="22"/>
        </w:rPr>
        <w:lastRenderedPageBreak/>
        <w:t>or suitable of being applied.”</w:t>
      </w:r>
      <w:r>
        <w:rPr>
          <w:rStyle w:val="EndnoteReference"/>
          <w:rFonts w:eastAsia="MS Mincho"/>
          <w:szCs w:val="22"/>
        </w:rPr>
        <w:endnoteReference w:id="367"/>
      </w:r>
      <w:r>
        <w:rPr>
          <w:szCs w:val="22"/>
        </w:rPr>
        <w:t xml:space="preserve">  The </w:t>
      </w:r>
      <w:r>
        <w:rPr>
          <w:i/>
          <w:szCs w:val="22"/>
        </w:rPr>
        <w:t>Wade</w:t>
      </w:r>
      <w:r>
        <w:rPr>
          <w:szCs w:val="22"/>
        </w:rPr>
        <w:t xml:space="preserve"> court found that since there could be “no determination as to which insurance </w:t>
      </w:r>
      <w:r>
        <w:t>coverage</w:t>
      </w:r>
      <w:r>
        <w:rPr>
          <w:szCs w:val="22"/>
        </w:rPr>
        <w:t xml:space="preserve"> is capable of or suitable for being applied” without apportionment of fault among the tortfeasors, the UM insurer could not yet determine the plaintiff’s entitlement to UM coverage.</w:t>
      </w:r>
      <w:r>
        <w:rPr>
          <w:rStyle w:val="EndnoteReference"/>
          <w:rFonts w:eastAsia="MS Mincho"/>
          <w:szCs w:val="22"/>
        </w:rPr>
        <w:endnoteReference w:id="368"/>
      </w:r>
      <w:r>
        <w:rPr>
          <w:szCs w:val="22"/>
        </w:rPr>
        <w:t xml:space="preserve"> </w:t>
      </w:r>
    </w:p>
    <w:p>
      <w:pPr>
        <w:numPr>
          <w:ilvl w:val="0"/>
          <w:numId w:val="34"/>
        </w:numPr>
        <w:tabs>
          <w:tab w:val="clear" w:pos="1080"/>
          <w:tab w:val="num" w:pos="0"/>
        </w:tabs>
        <w:spacing w:after="0"/>
        <w:ind w:left="0" w:firstLine="0"/>
        <w:jc w:val="center"/>
        <w:rPr>
          <w:b/>
        </w:rPr>
      </w:pPr>
      <w:r>
        <w:rPr>
          <w:b/>
          <w:i/>
        </w:rPr>
        <w:t>Parsons v. State Farm Mut. Auto. Ins. Co.</w:t>
      </w:r>
      <w:r>
        <w:rPr>
          <w:b/>
        </w:rPr>
        <w:t>: UM Policy Read to Provide at Least the Statutory Level of Coverage and May Even Provide Greater Coverage</w:t>
      </w:r>
    </w:p>
    <w:p>
      <w:pPr>
        <w:pStyle w:val="BodyTextFirstIndent"/>
        <w:rPr>
          <w:szCs w:val="22"/>
        </w:rPr>
      </w:pPr>
      <w:r>
        <w:rPr>
          <w:szCs w:val="22"/>
        </w:rPr>
        <w:t xml:space="preserve">In </w:t>
      </w:r>
      <w:r>
        <w:rPr>
          <w:i/>
          <w:szCs w:val="22"/>
        </w:rPr>
        <w:t>Parsons v. State Farm Mut. Auto. Ins. Co.</w:t>
      </w:r>
      <w:r>
        <w:rPr>
          <w:szCs w:val="22"/>
        </w:rPr>
        <w:t>, the court of appeals examined whether UM coverage was available to a decedent’s estate where the decedent may or may not have been a primary resident relative of the named insured’s household.</w:t>
      </w:r>
      <w:r>
        <w:rPr>
          <w:rStyle w:val="EndnoteReference"/>
          <w:rFonts w:eastAsia="MS Mincho"/>
          <w:szCs w:val="22"/>
        </w:rPr>
        <w:endnoteReference w:id="369"/>
      </w:r>
      <w:r>
        <w:rPr>
          <w:szCs w:val="22"/>
        </w:rPr>
        <w:t xml:space="preserve">  In </w:t>
      </w:r>
      <w:r>
        <w:rPr>
          <w:i/>
          <w:szCs w:val="22"/>
        </w:rPr>
        <w:t>Parsons</w:t>
      </w:r>
      <w:r>
        <w:rPr>
          <w:szCs w:val="22"/>
        </w:rPr>
        <w:t>, the named insured’s nephew was killed in an automobile accident wherein the at-fault driver was operating a vehicle that the decedent-nephew owned.</w:t>
      </w:r>
      <w:r>
        <w:rPr>
          <w:rStyle w:val="EndnoteReference"/>
          <w:rFonts w:eastAsia="MS Mincho"/>
          <w:szCs w:val="22"/>
        </w:rPr>
        <w:endnoteReference w:id="370"/>
      </w:r>
      <w:r>
        <w:rPr>
          <w:szCs w:val="22"/>
        </w:rPr>
        <w:t xml:space="preserve">  The decedent’s estate sought UM coverage under a policy in which his aunt was the named insured.</w:t>
      </w:r>
      <w:r>
        <w:rPr>
          <w:rStyle w:val="EndnoteReference"/>
          <w:rFonts w:eastAsia="MS Mincho"/>
          <w:szCs w:val="22"/>
        </w:rPr>
        <w:endnoteReference w:id="371"/>
      </w:r>
    </w:p>
    <w:p>
      <w:pPr>
        <w:pStyle w:val="BodyTextFirstIndent"/>
        <w:rPr>
          <w:szCs w:val="22"/>
        </w:rPr>
      </w:pPr>
      <w:r>
        <w:rPr>
          <w:szCs w:val="22"/>
        </w:rPr>
        <w:t>The UM policy excluded from the definition of “uninsured motor vehicle” a vehicle “owned by or furnished for the regular use of. . . any relative.”</w:t>
      </w:r>
      <w:r>
        <w:rPr>
          <w:rStyle w:val="EndnoteReference"/>
          <w:rFonts w:eastAsia="MS Mincho"/>
          <w:szCs w:val="22"/>
        </w:rPr>
        <w:endnoteReference w:id="372"/>
      </w:r>
      <w:r>
        <w:rPr>
          <w:szCs w:val="22"/>
        </w:rPr>
        <w:t xml:space="preserve">  The policy defined “relative” as “a </w:t>
      </w:r>
      <w:r>
        <w:t>person</w:t>
      </w:r>
      <w:r>
        <w:rPr>
          <w:szCs w:val="22"/>
        </w:rPr>
        <w:t xml:space="preserve"> related to [the named insured] . . . by blood . . . who resides primarily with [the named insured].”</w:t>
      </w:r>
      <w:r>
        <w:rPr>
          <w:rStyle w:val="EndnoteReference"/>
          <w:rFonts w:eastAsia="MS Mincho"/>
          <w:szCs w:val="22"/>
        </w:rPr>
        <w:endnoteReference w:id="373"/>
      </w:r>
      <w:r>
        <w:rPr>
          <w:szCs w:val="22"/>
        </w:rPr>
        <w:t xml:space="preserve">  </w:t>
      </w:r>
    </w:p>
    <w:p>
      <w:pPr>
        <w:pStyle w:val="BodyTextFirstIndent"/>
        <w:rPr>
          <w:szCs w:val="22"/>
        </w:rPr>
      </w:pPr>
      <w:r>
        <w:rPr>
          <w:szCs w:val="22"/>
        </w:rPr>
        <w:t xml:space="preserve">However, the </w:t>
      </w:r>
      <w:r>
        <w:rPr>
          <w:i/>
          <w:szCs w:val="22"/>
        </w:rPr>
        <w:t>Parsons</w:t>
      </w:r>
      <w:r>
        <w:rPr>
          <w:szCs w:val="22"/>
        </w:rPr>
        <w:t xml:space="preserve"> court noted that O.C.G.A. § 33-7-11 </w:t>
      </w:r>
      <w:r>
        <w:rPr>
          <w:szCs w:val="22"/>
        </w:rPr>
        <w:lastRenderedPageBreak/>
        <w:t>mandates UM coverage to relatives “while resident of the same household.”</w:t>
      </w:r>
      <w:r>
        <w:rPr>
          <w:rStyle w:val="EndnoteReference"/>
          <w:rFonts w:eastAsia="MS Mincho"/>
          <w:szCs w:val="22"/>
        </w:rPr>
        <w:endnoteReference w:id="374"/>
      </w:r>
      <w:r>
        <w:rPr>
          <w:szCs w:val="22"/>
        </w:rPr>
        <w:t xml:space="preserve">  Thus, the UM insurer’s attempt to </w:t>
      </w:r>
      <w:r>
        <w:t>restrict</w:t>
      </w:r>
      <w:r>
        <w:rPr>
          <w:szCs w:val="22"/>
        </w:rPr>
        <w:t xml:space="preserve"> coverage to only those residents that </w:t>
      </w:r>
      <w:r>
        <w:rPr>
          <w:i/>
          <w:szCs w:val="22"/>
        </w:rPr>
        <w:t>primarily</w:t>
      </w:r>
      <w:r>
        <w:rPr>
          <w:szCs w:val="22"/>
        </w:rPr>
        <w:t xml:space="preserve"> resided with the named insured was pre-empted by the broader statutory coverage of O.C.G.A. § 33-7-11.</w:t>
      </w:r>
      <w:r>
        <w:rPr>
          <w:rStyle w:val="EndnoteReference"/>
          <w:rFonts w:eastAsia="MS Mincho"/>
          <w:szCs w:val="22"/>
        </w:rPr>
        <w:endnoteReference w:id="375"/>
      </w:r>
    </w:p>
    <w:p>
      <w:pPr>
        <w:pStyle w:val="BodyTextFirstIndent"/>
        <w:rPr>
          <w:szCs w:val="22"/>
        </w:rPr>
      </w:pPr>
      <w:r>
        <w:rPr>
          <w:szCs w:val="22"/>
        </w:rPr>
        <w:t xml:space="preserve">The </w:t>
      </w:r>
      <w:r>
        <w:rPr>
          <w:i/>
          <w:szCs w:val="22"/>
        </w:rPr>
        <w:t>Parsons</w:t>
      </w:r>
      <w:r>
        <w:rPr>
          <w:szCs w:val="22"/>
        </w:rPr>
        <w:t xml:space="preserve"> court further noted that “while the policy’s definition limiting ‘relatives’ to those residing </w:t>
      </w:r>
      <w:r>
        <w:rPr>
          <w:i/>
          <w:szCs w:val="22"/>
        </w:rPr>
        <w:t>primarily</w:t>
      </w:r>
      <w:r>
        <w:rPr>
          <w:szCs w:val="22"/>
        </w:rPr>
        <w:t xml:space="preserve"> with the named insured cannot reduce the coverage to less than what is mandated by statute, it can – and in this case does – broaden the coverage.”</w:t>
      </w:r>
      <w:r>
        <w:rPr>
          <w:rStyle w:val="EndnoteReference"/>
          <w:rFonts w:eastAsia="MS Mincho"/>
          <w:szCs w:val="22"/>
        </w:rPr>
        <w:endnoteReference w:id="376"/>
      </w:r>
      <w:r>
        <w:rPr>
          <w:szCs w:val="22"/>
        </w:rPr>
        <w:t xml:space="preserve">  Since the UM policy excluded from coverage only those vehicles owned by resident relatives that resided </w:t>
      </w:r>
      <w:r>
        <w:rPr>
          <w:i/>
          <w:szCs w:val="22"/>
        </w:rPr>
        <w:t>primarily</w:t>
      </w:r>
      <w:r>
        <w:rPr>
          <w:szCs w:val="22"/>
        </w:rPr>
        <w:t xml:space="preserve"> with the named insured, the </w:t>
      </w:r>
      <w:r>
        <w:rPr>
          <w:i/>
          <w:szCs w:val="22"/>
        </w:rPr>
        <w:t>Parsons</w:t>
      </w:r>
      <w:r>
        <w:rPr>
          <w:szCs w:val="22"/>
        </w:rPr>
        <w:t xml:space="preserve"> court held that there would be UM coverage available to the decedent’s estate if the facts showed that the decedent resided only secondarily with his aunt.</w:t>
      </w:r>
      <w:r>
        <w:rPr>
          <w:rStyle w:val="EndnoteReference"/>
          <w:rFonts w:eastAsia="MS Mincho"/>
          <w:szCs w:val="22"/>
        </w:rPr>
        <w:endnoteReference w:id="377"/>
      </w:r>
      <w:r>
        <w:rPr>
          <w:szCs w:val="22"/>
        </w:rPr>
        <w:t xml:space="preserve">  Insofar as a factual dispute existed as to whether the decedent lived primarily with his aunt, the </w:t>
      </w:r>
      <w:r>
        <w:rPr>
          <w:i/>
          <w:szCs w:val="22"/>
        </w:rPr>
        <w:t>Parsons</w:t>
      </w:r>
      <w:r>
        <w:rPr>
          <w:szCs w:val="22"/>
        </w:rPr>
        <w:t xml:space="preserve"> court determined that summary judgment was inappropriate and reversed the trial court’s ruling in favor of the insurer.</w:t>
      </w:r>
      <w:r>
        <w:rPr>
          <w:rStyle w:val="EndnoteReference"/>
          <w:rFonts w:eastAsia="MS Mincho"/>
          <w:szCs w:val="22"/>
        </w:rPr>
        <w:endnoteReference w:id="378"/>
      </w:r>
    </w:p>
    <w:p>
      <w:pPr>
        <w:jc w:val="both"/>
        <w:rPr>
          <w:b/>
        </w:rPr>
      </w:pPr>
      <w:r>
        <w:rPr>
          <w:b/>
        </w:rPr>
        <w:t>CONCLUSION</w:t>
      </w:r>
    </w:p>
    <w:p>
      <w:pPr>
        <w:pStyle w:val="BodyTextFirstIndent"/>
        <w:rPr>
          <w:szCs w:val="22"/>
        </w:rPr>
      </w:pPr>
      <w:r>
        <w:rPr>
          <w:szCs w:val="22"/>
        </w:rPr>
        <w:t xml:space="preserve">The effect of the 2013 appellate decisions on the defense of auto liability </w:t>
      </w:r>
      <w:r>
        <w:t>cases</w:t>
      </w:r>
      <w:r>
        <w:rPr>
          <w:szCs w:val="22"/>
        </w:rPr>
        <w:t xml:space="preserve"> is somewhat varied.  With </w:t>
      </w:r>
      <w:r>
        <w:t>Horton</w:t>
      </w:r>
      <w:r>
        <w:rPr>
          <w:szCs w:val="22"/>
        </w:rPr>
        <w:t xml:space="preserve">, </w:t>
      </w:r>
      <w:r>
        <w:rPr>
          <w:i/>
          <w:szCs w:val="22"/>
        </w:rPr>
        <w:t>Hansen</w:t>
      </w:r>
      <w:r>
        <w:rPr>
          <w:szCs w:val="22"/>
        </w:rPr>
        <w:t xml:space="preserve">, and </w:t>
      </w:r>
      <w:r>
        <w:rPr>
          <w:i/>
          <w:szCs w:val="22"/>
        </w:rPr>
        <w:t>Newton</w:t>
      </w:r>
      <w:r>
        <w:rPr>
          <w:szCs w:val="22"/>
        </w:rPr>
        <w:t xml:space="preserve">, the defense has additional arrows in its quiver to support summary judgment on attorney’s </w:t>
      </w:r>
      <w:r>
        <w:rPr>
          <w:szCs w:val="22"/>
        </w:rPr>
        <w:lastRenderedPageBreak/>
        <w:t>fees claims and motions to enforce settlement.  With respect to uninsured motorist claims, the appellate courts are still navigating the amended O.C.G.A. § 33-7-11 and have been relying heavily on the statutory language in assessing its application to individual policies.  There is much to be seen as insurers continue to adapt their policies and forms to accommodate the amended statute and evolving case law.</w:t>
      </w:r>
    </w:p>
    <w:p>
      <w:pPr>
        <w:pStyle w:val="BodyTextFirstIndent"/>
        <w:ind w:firstLine="0"/>
        <w:jc w:val="center"/>
        <w:rPr>
          <w:b/>
          <w:szCs w:val="22"/>
          <w:u w:val="single"/>
        </w:rPr>
      </w:pPr>
      <w:r>
        <w:rPr>
          <w:b/>
          <w:szCs w:val="22"/>
          <w:u w:val="single"/>
        </w:rPr>
        <w:t>End Notes</w:t>
      </w:r>
    </w:p>
    <w:p>
      <w:pPr>
        <w:pStyle w:val="BodyTextFirstIndent"/>
        <w:ind w:firstLine="0"/>
        <w:jc w:val="center"/>
        <w:rPr>
          <w:b/>
          <w:szCs w:val="22"/>
          <w:u w:val="single"/>
        </w:rPr>
      </w:pPr>
    </w:p>
    <w:p>
      <w:pPr>
        <w:pStyle w:val="BodyTextFirstIndent"/>
        <w:ind w:firstLine="0"/>
        <w:jc w:val="center"/>
        <w:rPr>
          <w:b/>
          <w:szCs w:val="22"/>
          <w:u w:val="single"/>
        </w:rPr>
        <w:sectPr>
          <w:endnotePr>
            <w:numFmt w:val="decimal"/>
            <w:numRestart w:val="eachSect"/>
          </w:endnotePr>
          <w:type w:val="continuous"/>
          <w:pgSz w:w="12240" w:h="15840"/>
          <w:pgMar w:top="1440" w:right="1800" w:bottom="1440" w:left="1800" w:header="720" w:footer="720" w:gutter="0"/>
          <w:cols w:num="2" w:space="720"/>
          <w:rtlGutter/>
          <w:docGrid w:linePitch="360"/>
        </w:sectPr>
      </w:pPr>
    </w:p>
    <w:p>
      <w:pPr>
        <w:jc w:val="both"/>
      </w:pPr>
    </w:p>
    <w:p>
      <w:pPr>
        <w:pStyle w:val="BodyTextFirstIndent"/>
        <w:ind w:firstLine="0"/>
        <w:rPr>
          <w:b/>
          <w:u w:val="single"/>
        </w:rPr>
        <w:sectPr>
          <w:endnotePr>
            <w:numFmt w:val="decimal"/>
            <w:numRestart w:val="eachSect"/>
          </w:endnotePr>
          <w:type w:val="continuous"/>
          <w:pgSz w:w="12240" w:h="15840"/>
          <w:pgMar w:top="1440" w:right="1800" w:bottom="1440" w:left="1800" w:header="720" w:footer="720" w:gutter="0"/>
          <w:cols w:num="2" w:space="720"/>
          <w:docGrid w:linePitch="360"/>
        </w:sectPr>
      </w:pPr>
    </w:p>
    <w:p>
      <w:pPr>
        <w:jc w:val="both"/>
        <w:rPr>
          <w:i/>
        </w:rPr>
      </w:pPr>
    </w:p>
    <w:p>
      <w:pPr>
        <w:pStyle w:val="GDLA"/>
        <w:ind w:left="720"/>
        <w:rPr>
          <w:sz w:val="27"/>
          <w:szCs w:val="27"/>
        </w:rPr>
        <w:sectPr>
          <w:footnotePr>
            <w:numRestart w:val="eachSect"/>
          </w:footnotePr>
          <w:endnotePr>
            <w:numFmt w:val="decimal"/>
            <w:numRestart w:val="eachSect"/>
          </w:endnotePr>
          <w:type w:val="continuous"/>
          <w:pgSz w:w="12240" w:h="15840"/>
          <w:pgMar w:top="1440" w:right="1440" w:bottom="1440" w:left="1440" w:header="720" w:footer="720" w:gutter="0"/>
          <w:cols w:space="720"/>
          <w:docGrid w:linePitch="360"/>
        </w:sectPr>
      </w:pPr>
    </w:p>
    <w:p>
      <w:pPr>
        <w:pStyle w:val="Heading1"/>
      </w:pPr>
      <w:bookmarkStart w:id="59" w:name="_Toc387223611"/>
      <w:r>
        <w:lastRenderedPageBreak/>
        <w:t>Suing the State:  A Guide to State-Law Governmental</w:t>
      </w:r>
      <w:r>
        <w:br/>
        <w:t>Immunities for Counties, School Districts, and Municipalities</w:t>
      </w:r>
      <w:bookmarkEnd w:id="59"/>
    </w:p>
    <w:p/>
    <w:p>
      <w:pPr>
        <w:pStyle w:val="Author"/>
      </w:pPr>
      <w:r>
        <w:t>By: Sun S. Choy</w:t>
      </w:r>
    </w:p>
    <w:p>
      <w:pPr>
        <w:pStyle w:val="Author"/>
      </w:pPr>
      <w:r>
        <w:t>Peter L. Munk</w:t>
      </w:r>
    </w:p>
    <w:p>
      <w:pPr>
        <w:pStyle w:val="Author"/>
      </w:pPr>
      <w:r>
        <w:t>Freeman Mathis &amp; Gary, LLP</w:t>
      </w:r>
    </w:p>
    <w:p>
      <w:pPr>
        <w:spacing w:after="0"/>
        <w:jc w:val="center"/>
        <w:rPr>
          <w:b/>
        </w:rPr>
      </w:pPr>
    </w:p>
    <w:p>
      <w:pPr>
        <w:pStyle w:val="GDLA"/>
        <w:rPr>
          <w:sz w:val="23"/>
          <w:szCs w:val="23"/>
        </w:rPr>
      </w:pPr>
      <w:r>
        <w:rPr>
          <w:noProof/>
        </w:rPr>
        <w:pict>
          <v:shape id="Picture 46" o:spid="_x0000_s1040" type="#_x0000_t75" alt="Sun_Choy (Medium)" style="position:absolute;left:0;text-align:left;margin-left:-11.05pt;margin-top:7.65pt;width:78.9pt;height:123.3pt;z-index:-251660800;visibility:visible" stroked="t" strokeweight="1.5pt">
            <v:imagedata r:id="rId35" o:title=""/>
            <w10:wrap type="square"/>
          </v:shape>
        </w:pict>
      </w:r>
      <w:r>
        <w:rPr>
          <w:noProof/>
        </w:rPr>
        <w:pict>
          <v:shape id="Picture 48" o:spid="_x0000_s1041" type="#_x0000_t75" alt="PeterMunk2861s" style="position:absolute;left:0;text-align:left;margin-left:402.5pt;margin-top:7.65pt;width:79.5pt;height:118.95pt;z-index:-251659776;visibility:visible" stroked="t" strokeweight="1.5pt">
            <v:imagedata r:id="rId36" o:title=""/>
            <w10:wrap type="square"/>
          </v:shape>
        </w:pict>
      </w:r>
    </w:p>
    <w:p>
      <w:pPr>
        <w:pBdr>
          <w:top w:val="single" w:sz="4" w:space="1" w:color="auto"/>
          <w:left w:val="single" w:sz="4" w:space="4" w:color="auto"/>
          <w:bottom w:val="single" w:sz="4" w:space="1" w:color="auto"/>
          <w:right w:val="single" w:sz="4" w:space="4" w:color="auto"/>
        </w:pBdr>
        <w:shd w:val="clear" w:color="auto" w:fill="81BAC5"/>
        <w:tabs>
          <w:tab w:val="left" w:pos="540"/>
        </w:tabs>
        <w:spacing w:after="0"/>
        <w:rPr>
          <w:noProof/>
        </w:rPr>
      </w:pPr>
      <w:r>
        <w:rPr>
          <w:b/>
          <w:noProof/>
        </w:rPr>
        <w:t>Sun S. Choy</w:t>
      </w:r>
      <w:r>
        <w:rPr>
          <w:noProof/>
        </w:rPr>
        <w:t xml:space="preserve"> is a partner and </w:t>
      </w:r>
      <w:r>
        <w:rPr>
          <w:b/>
          <w:noProof/>
        </w:rPr>
        <w:t>Peter L. Munk</w:t>
      </w:r>
      <w:r>
        <w:rPr>
          <w:noProof/>
        </w:rPr>
        <w:t xml:space="preserve"> is an associate in the government law, business liability and insurance law sections in the Atlanta office of Freeman Mathis &amp; Gary, LLP.  Mr. Choy and Mr. Munk focus their practices on defending local governments and law enforcement officers in general liability and Section 1983 litigation.</w:t>
      </w:r>
    </w:p>
    <w:p>
      <w:pPr>
        <w:pBdr>
          <w:top w:val="single" w:sz="4" w:space="1" w:color="auto"/>
          <w:left w:val="single" w:sz="4" w:space="4" w:color="auto"/>
          <w:bottom w:val="single" w:sz="4" w:space="1" w:color="auto"/>
          <w:right w:val="single" w:sz="4" w:space="4" w:color="auto"/>
        </w:pBdr>
        <w:shd w:val="clear" w:color="auto" w:fill="81BAC5"/>
        <w:tabs>
          <w:tab w:val="left" w:pos="540"/>
        </w:tabs>
        <w:spacing w:after="0"/>
        <w:jc w:val="both"/>
        <w:rPr>
          <w:sz w:val="21"/>
          <w:szCs w:val="21"/>
          <w:highlight w:val="yellow"/>
        </w:rPr>
      </w:pPr>
      <w:r>
        <w:rPr>
          <w:sz w:val="21"/>
          <w:szCs w:val="21"/>
        </w:rPr>
        <w:t xml:space="preserve"> </w:t>
      </w:r>
    </w:p>
    <w:p>
      <w:pPr>
        <w:tabs>
          <w:tab w:val="left" w:pos="540"/>
        </w:tabs>
        <w:spacing w:after="0"/>
        <w:rPr>
          <w:b/>
          <w:sz w:val="21"/>
          <w:szCs w:val="21"/>
        </w:rPr>
      </w:pPr>
    </w:p>
    <w:p>
      <w:pPr>
        <w:tabs>
          <w:tab w:val="left" w:pos="540"/>
        </w:tabs>
        <w:spacing w:after="0"/>
        <w:rPr>
          <w:b/>
          <w:sz w:val="21"/>
          <w:szCs w:val="21"/>
        </w:rPr>
      </w:pPr>
    </w:p>
    <w:p>
      <w:pPr>
        <w:pStyle w:val="BodyTextFirstIndent"/>
        <w:sectPr>
          <w:footnotePr>
            <w:numRestart w:val="eachSect"/>
          </w:footnotePr>
          <w:endnotePr>
            <w:numFmt w:val="decimal"/>
            <w:numRestart w:val="eachSect"/>
          </w:endnotePr>
          <w:pgSz w:w="12240" w:h="15840"/>
          <w:pgMar w:top="1440" w:right="1440" w:bottom="1440" w:left="1440" w:header="720" w:footer="720" w:gutter="0"/>
          <w:cols w:space="720"/>
          <w:rtlGutter/>
          <w:docGrid w:linePitch="360"/>
        </w:sectPr>
      </w:pPr>
    </w:p>
    <w:p>
      <w:pPr>
        <w:pStyle w:val="BodyTextFirstIndent"/>
      </w:pPr>
      <w:r>
        <w:lastRenderedPageBreak/>
        <w:t>Constitutional scholar Erwin Chemerinsky has opined that “sovereign immunity is an anachronistic relic and the entire doctrine should be eliminated from American law.”</w:t>
      </w:r>
      <w:r>
        <w:rPr>
          <w:rStyle w:val="EndnoteReference"/>
          <w:rFonts w:ascii="Century Schoolbook" w:hAnsi="Century Schoolbook"/>
        </w:rPr>
        <w:endnoteReference w:id="379"/>
      </w:r>
      <w:r>
        <w:t xml:space="preserve">  Frustrated lawyers attempting to recover monetary damages against a governmental entity would no doubt agree with Professor Chemerinsky’s proposal.  Unfortunately for them, governmental immunities are here to stay and constitute the most potent defense in a governmental entity’s or official’s litigation arsenal.  It is therefore essential for lawyers representing governmental entities and officials to have a solid understanding of immunities and their proper application.  This article addresses sovereign immunity and official immunity for state law claims against Georgia counties, school districts, municipalities, and their officials.</w:t>
      </w:r>
      <w:r>
        <w:rPr>
          <w:rStyle w:val="EndnoteReference"/>
          <w:rFonts w:ascii="Century Schoolbook" w:hAnsi="Century Schoolbook"/>
        </w:rPr>
        <w:endnoteReference w:id="380"/>
      </w:r>
      <w:r>
        <w:t xml:space="preserve"> </w:t>
      </w:r>
      <w:bookmarkStart w:id="60" w:name="_Toc384900001"/>
    </w:p>
    <w:p>
      <w:pPr>
        <w:pStyle w:val="BodyTextFirstIndent"/>
        <w:keepNext/>
        <w:ind w:left="720" w:hanging="720"/>
        <w:jc w:val="left"/>
        <w:rPr>
          <w:b/>
        </w:rPr>
      </w:pPr>
      <w:r>
        <w:rPr>
          <w:b/>
        </w:rPr>
        <w:lastRenderedPageBreak/>
        <w:t>I.</w:t>
      </w:r>
      <w:r>
        <w:rPr>
          <w:b/>
        </w:rPr>
        <w:tab/>
        <w:t>Sovereign Immunity</w:t>
      </w:r>
      <w:bookmarkStart w:id="61" w:name="_Toc384900002"/>
      <w:bookmarkEnd w:id="60"/>
    </w:p>
    <w:p>
      <w:pPr>
        <w:pStyle w:val="BodyTextFirstIndent"/>
        <w:ind w:firstLine="0"/>
        <w:jc w:val="center"/>
        <w:rPr>
          <w:b/>
        </w:rPr>
      </w:pPr>
      <w:r>
        <w:rPr>
          <w:b/>
        </w:rPr>
        <w:t>A.</w:t>
      </w:r>
      <w:r>
        <w:rPr>
          <w:b/>
        </w:rPr>
        <w:tab/>
        <w:t>The History and Origin of Sovereign Immunity in Georgia</w:t>
      </w:r>
      <w:bookmarkEnd w:id="61"/>
    </w:p>
    <w:p>
      <w:pPr>
        <w:pStyle w:val="BodyTextFirstIndent"/>
      </w:pPr>
      <w:r>
        <w:t>The doctrine of sovereign immunity restricts the rights of citizens to seek legal redress against federal, state, and local governments.  Sovereign immunity is derived from English law and premised on the ancient principal that “the King can do no wrong.”</w:t>
      </w:r>
      <w:r>
        <w:rPr>
          <w:rStyle w:val="EndnoteReference"/>
          <w:rFonts w:ascii="Century Schoolbook" w:hAnsi="Century Schoolbook"/>
        </w:rPr>
        <w:endnoteReference w:id="381"/>
      </w:r>
      <w:r>
        <w:t xml:space="preserve">  Although this justification echoed the same royal prerogative that American Colonists sought to overcome with their war for independence, the prevailing opinion at the time of the founding was that sovereign immunity would apply to the newly-minted states.</w:t>
      </w:r>
      <w:r>
        <w:rPr>
          <w:rStyle w:val="EndnoteReference"/>
          <w:rFonts w:ascii="Century Schoolbook" w:hAnsi="Century Schoolbook"/>
        </w:rPr>
        <w:endnoteReference w:id="382"/>
      </w:r>
      <w:r>
        <w:t xml:space="preserve">  This sentiment has been upheld repeatedly by the United States Supreme Court.</w:t>
      </w:r>
      <w:r>
        <w:rPr>
          <w:rStyle w:val="EndnoteReference"/>
          <w:rFonts w:ascii="Century Schoolbook" w:hAnsi="Century Schoolbook"/>
        </w:rPr>
        <w:endnoteReference w:id="383"/>
      </w:r>
      <w:r>
        <w:t xml:space="preserve"> </w:t>
      </w:r>
    </w:p>
    <w:p>
      <w:pPr>
        <w:pStyle w:val="BodyTextFirstIndent"/>
      </w:pPr>
      <w:r>
        <w:t>Georgia adopted the doctrine of sovereign immunity in 1784 when it adopted by statute the common law of England.</w:t>
      </w:r>
      <w:r>
        <w:rPr>
          <w:rStyle w:val="EndnoteReference"/>
          <w:rFonts w:ascii="Century Schoolbook" w:hAnsi="Century Schoolbook"/>
        </w:rPr>
        <w:endnoteReference w:id="384"/>
      </w:r>
      <w:r>
        <w:t xml:space="preserve">  The doctrine was granted constitutional status in 1974.  At that </w:t>
      </w:r>
      <w:r>
        <w:lastRenderedPageBreak/>
        <w:t>point, the state was absolutely immune from suit, meaning citizens with claims against the state typically had no recourse.</w:t>
      </w:r>
      <w:r>
        <w:rPr>
          <w:rStyle w:val="EndnoteReference"/>
          <w:rFonts w:ascii="Century Schoolbook" w:hAnsi="Century Schoolbook"/>
        </w:rPr>
        <w:endnoteReference w:id="385"/>
      </w:r>
      <w:r>
        <w:t xml:space="preserve">  The 1974 amendment did for the first time, however, provide the Georgia General Assembly with authority to waive sovereign immunity by statute.</w:t>
      </w:r>
      <w:r>
        <w:rPr>
          <w:rStyle w:val="EndnoteReference"/>
          <w:rFonts w:ascii="Century Schoolbook" w:hAnsi="Century Schoolbook"/>
        </w:rPr>
        <w:endnoteReference w:id="386"/>
      </w:r>
      <w:r>
        <w:t xml:space="preserve">  In an effort to further soften the harsh results arising from absolute immunity, voters approved a constitutional amendment waiving the state’s sovereign immunity in claims covered by liability insurance in 1983.  The effect of this 1983 amendment was to permit the state and its agencies and departments to waive sovereign immunity without input from the legislature by choosing whether or not to purchase liability insurance.</w:t>
      </w:r>
      <w:r>
        <w:rPr>
          <w:rStyle w:val="EndnoteReference"/>
          <w:rFonts w:ascii="Century Schoolbook" w:hAnsi="Century Schoolbook"/>
        </w:rPr>
        <w:endnoteReference w:id="387"/>
      </w:r>
    </w:p>
    <w:p>
      <w:pPr>
        <w:pStyle w:val="BodyTextFirstIndent"/>
      </w:pPr>
      <w:r>
        <w:t>Voters amended the Georgia Constitution again in 1991</w:t>
      </w:r>
      <w:r>
        <w:rPr>
          <w:rStyle w:val="EndnoteReference"/>
          <w:rFonts w:ascii="Century Schoolbook" w:hAnsi="Century Schoolbook"/>
        </w:rPr>
        <w:endnoteReference w:id="388"/>
      </w:r>
      <w:r>
        <w:t xml:space="preserve"> to provide the General Assembly with authority to “waive the state’s sovereign immunity from suit by enacting a State Tort Claims Act.”</w:t>
      </w:r>
      <w:r>
        <w:rPr>
          <w:rStyle w:val="EndnoteReference"/>
          <w:rFonts w:ascii="Century Schoolbook" w:hAnsi="Century Schoolbook"/>
        </w:rPr>
        <w:endnoteReference w:id="389"/>
      </w:r>
      <w:r>
        <w:t xml:space="preserve">  The 1991 amendment “restored to the legislature the exclusive power to waive sovereign immunity.”</w:t>
      </w:r>
      <w:r>
        <w:rPr>
          <w:rStyle w:val="EndnoteReference"/>
          <w:rFonts w:ascii="Century Schoolbook" w:hAnsi="Century Schoolbook"/>
        </w:rPr>
        <w:endnoteReference w:id="390"/>
      </w:r>
      <w:r>
        <w:t xml:space="preserve">  The 1991 amendment is the state’s latest attempt to balance the harsh consequences imposed by sovereign immunity with the state’s need to “govern without the harassment of lawsuits which would unnecessarily impede the process of governing.”</w:t>
      </w:r>
      <w:r>
        <w:rPr>
          <w:rStyle w:val="EndnoteReference"/>
          <w:rFonts w:ascii="Century Schoolbook" w:hAnsi="Century Schoolbook"/>
        </w:rPr>
        <w:endnoteReference w:id="391"/>
      </w:r>
      <w:r>
        <w:t xml:space="preserve">  Indeed, as little sympathy remains in modern society for ancient prerogatives of the King, the justification for sovereign immunity has shifted to the notion that the state’s treasury, i.e., the taxpayer, </w:t>
      </w:r>
      <w:r>
        <w:lastRenderedPageBreak/>
        <w:t>must be protected from excessive exposure to tort liability.</w:t>
      </w:r>
      <w:r>
        <w:rPr>
          <w:rStyle w:val="EndnoteReference"/>
          <w:rFonts w:ascii="Century Schoolbook" w:hAnsi="Century Schoolbook"/>
        </w:rPr>
        <w:endnoteReference w:id="392"/>
      </w:r>
      <w:r>
        <w:t xml:space="preserve"> </w:t>
      </w:r>
      <w:bookmarkStart w:id="62" w:name="_Toc384900003"/>
    </w:p>
    <w:p>
      <w:pPr>
        <w:pStyle w:val="BodyTextFirstIndent"/>
        <w:keepNext/>
        <w:ind w:firstLine="0"/>
        <w:jc w:val="center"/>
        <w:rPr>
          <w:b/>
        </w:rPr>
      </w:pPr>
      <w:r>
        <w:rPr>
          <w:b/>
        </w:rPr>
        <w:t>B.</w:t>
      </w:r>
      <w:r>
        <w:rPr>
          <w:b/>
        </w:rPr>
        <w:tab/>
        <w:t>Applying Sovereign Immunity to Counties, School Districts, and Municipalities</w:t>
      </w:r>
      <w:bookmarkEnd w:id="62"/>
    </w:p>
    <w:p>
      <w:pPr>
        <w:pStyle w:val="BodyTextFirstIndent"/>
      </w:pPr>
      <w:r>
        <w:t>In pertinent part, the 1991 amendment to the Georgia Constitution provides that:</w:t>
      </w:r>
    </w:p>
    <w:p>
      <w:pPr>
        <w:pStyle w:val="BBDoubleIndent"/>
        <w:rPr>
          <w:sz w:val="32"/>
        </w:rPr>
      </w:pPr>
      <w:r>
        <w:t>Except as specifically provided in this Paragraph, sovereign immunity extends to the state and all of its departments and agencies. The sovereign immunity of the state and its departments and agencies can only be waived by an Act of the General Assembly which specifically provides that sovereign immunity is thereby waived and the extent of such waiver.</w:t>
      </w:r>
      <w:r>
        <w:rPr>
          <w:rStyle w:val="EndnoteReference"/>
          <w:rFonts w:ascii="Century Schoolbook" w:hAnsi="Century Schoolbook" w:cs="Arial"/>
          <w:color w:val="252525"/>
          <w:szCs w:val="21"/>
        </w:rPr>
        <w:endnoteReference w:id="393"/>
      </w:r>
      <w:r>
        <w:rPr>
          <w:sz w:val="32"/>
        </w:rPr>
        <w:t xml:space="preserve">  </w:t>
      </w:r>
    </w:p>
    <w:p>
      <w:pPr>
        <w:pStyle w:val="BodyTextFirstIndent"/>
        <w:ind w:firstLine="0"/>
      </w:pPr>
      <w:r>
        <w:t>The Georgia Supreme Court has construed counties and school districts as “departments and agencies” and “political subdivisions” of the state, meaning they are entitled to sovereign immunity under the 1991 amendment.</w:t>
      </w:r>
      <w:r>
        <w:rPr>
          <w:rStyle w:val="EndnoteReference"/>
          <w:rFonts w:ascii="Century Schoolbook" w:hAnsi="Century Schoolbook"/>
        </w:rPr>
        <w:endnoteReference w:id="394"/>
      </w:r>
      <w:r>
        <w:t xml:space="preserve">  Accordingly, counties and school districts enjoy the same protections and immunities as the state. </w:t>
      </w:r>
    </w:p>
    <w:p>
      <w:pPr>
        <w:pStyle w:val="BodyTextFirstIndent"/>
      </w:pPr>
      <w:r>
        <w:t>A municipality, on the other hand, “is not a department or agency through which the sovereign state itself actually operates,” and therefore, is not entitled to sovereign immunity under the terms of the 1991 amendment.</w:t>
      </w:r>
      <w:r>
        <w:rPr>
          <w:rStyle w:val="EndnoteReference"/>
          <w:rFonts w:ascii="Century Schoolbook" w:hAnsi="Century Schoolbook"/>
        </w:rPr>
        <w:endnoteReference w:id="395"/>
      </w:r>
      <w:r>
        <w:t xml:space="preserve">  However, municipalities are entitled to </w:t>
      </w:r>
      <w:r>
        <w:lastRenderedPageBreak/>
        <w:t>immunity under a separate constitutional provision which states that “[t]he General Assembly may waive the immunity of counties, municipalities, and school districts by law.”</w:t>
      </w:r>
      <w:r>
        <w:rPr>
          <w:rStyle w:val="EndnoteReference"/>
          <w:rFonts w:ascii="Century Schoolbook" w:hAnsi="Century Schoolbook"/>
        </w:rPr>
        <w:endnoteReference w:id="396"/>
      </w:r>
      <w:r>
        <w:t xml:space="preserve">  The General Assembly did just that for municipalities with the enactment of O.C.G.A. § 36-33-1, which provides that, “it is the public policy of the State of Georgia that there is no waiver of the sovereign immunity of municipal corporations of the state and such municipal corporations shall be immune from liability for damages.”</w:t>
      </w:r>
      <w:r>
        <w:rPr>
          <w:rStyle w:val="EndnoteReference"/>
          <w:rFonts w:ascii="Century Schoolbook" w:hAnsi="Century Schoolbook"/>
        </w:rPr>
        <w:endnoteReference w:id="397"/>
      </w:r>
      <w:r>
        <w:t xml:space="preserve">  The statute continues that a municipality only waives its immunity to the extent that it has liability insurance to cover the occurrence for which the defense of sovereign immunity is available.</w:t>
      </w:r>
      <w:r>
        <w:rPr>
          <w:rStyle w:val="EndnoteReference"/>
          <w:rFonts w:ascii="Century Schoolbook" w:hAnsi="Century Schoolbook"/>
        </w:rPr>
        <w:endnoteReference w:id="398"/>
      </w:r>
      <w:r>
        <w:t xml:space="preserve">  If waiver is based on purchase of liability insurance, the plaintiff must affirmatively show that the insurance “would cover the occurrence forming the basis of” the claim.</w:t>
      </w:r>
      <w:r>
        <w:rPr>
          <w:rStyle w:val="EndnoteReference"/>
          <w:rFonts w:ascii="Century Schoolbook" w:hAnsi="Century Schoolbook"/>
        </w:rPr>
        <w:endnoteReference w:id="399"/>
      </w:r>
    </w:p>
    <w:p>
      <w:pPr>
        <w:pStyle w:val="BodyTextFirstIndent"/>
        <w:rPr>
          <w:spacing w:val="-3"/>
        </w:rPr>
      </w:pPr>
      <w:r>
        <w:t>Although the constitutional origins of their respective immunities may differ, counties, school districts, and municipalities are essentially entitled to immunity unless “waived by any legislative act which specifically provides that sovereign immunity is waived and the extent of such waiver.”</w:t>
      </w:r>
      <w:r>
        <w:rPr>
          <w:rStyle w:val="EndnoteReference"/>
          <w:rFonts w:ascii="Century Schoolbook" w:hAnsi="Century Schoolbook"/>
        </w:rPr>
        <w:endnoteReference w:id="400"/>
      </w:r>
      <w:r>
        <w:t xml:space="preserve">  Georgia courts have strictly construed the waiver requirement, holding that “[w]aiver of a municipality’s sovereign immunity in tort law is narrow, and only the General Assembly has the authority to enact a law that specifically provides for such a waiver.”</w:t>
      </w:r>
      <w:r>
        <w:rPr>
          <w:rStyle w:val="EndnoteReference"/>
          <w:rFonts w:ascii="Century Schoolbook" w:hAnsi="Century Schoolbook"/>
        </w:rPr>
        <w:endnoteReference w:id="401"/>
      </w:r>
      <w:r>
        <w:t xml:space="preserve"> Thus, for example,</w:t>
      </w:r>
      <w:r>
        <w:rPr>
          <w:spacing w:val="-3"/>
        </w:rPr>
        <w:t xml:space="preserve"> “[w]hile O.C.G.A. § 42-5-2(a) imposes upon the county the duty and cost of medical care for inmates in its </w:t>
      </w:r>
      <w:r>
        <w:rPr>
          <w:spacing w:val="-3"/>
        </w:rPr>
        <w:lastRenderedPageBreak/>
        <w:t>custody, it does not waive sovereign immunity of the county or its agents or employees.”</w:t>
      </w:r>
      <w:r>
        <w:rPr>
          <w:rStyle w:val="EndnoteReference"/>
          <w:rFonts w:ascii="Century Schoolbook" w:hAnsi="Century Schoolbook"/>
          <w:spacing w:val="-3"/>
        </w:rPr>
        <w:endnoteReference w:id="402"/>
      </w:r>
      <w:r>
        <w:rPr>
          <w:spacing w:val="-3"/>
        </w:rPr>
        <w:t xml:space="preserve">  Even express statutory duties placed on a governmental entity are not enough to waive sovereign immunity; the waiver itself must be explicit.</w:t>
      </w:r>
    </w:p>
    <w:p>
      <w:pPr>
        <w:pStyle w:val="BodyTextFirstIndent"/>
      </w:pPr>
      <w:r>
        <w:t>The General Assembly has exercised sparingly its right to waive sovereign immunity for local governments.  The most well-known waiver involves liability for motor vehicle accidents: O.C.G.A. § 33-24-51 provides that “local government entities,” including municipalities and counties (but not school districts), waive sovereign immunity up to a statutory “maximum waiver amount” “for a loss arising out of claims for the negligent use of a covered motor vehicle.”</w:t>
      </w:r>
      <w:r>
        <w:rPr>
          <w:rStyle w:val="EndnoteReference"/>
          <w:rFonts w:ascii="Century Schoolbook" w:hAnsi="Century Schoolbook"/>
        </w:rPr>
        <w:endnoteReference w:id="403"/>
      </w:r>
      <w:r>
        <w:t xml:space="preserve">  O.C.G.A. § 36-92-2 sets the maximum waiver amounts for losses arising from the negligent use of a covered motor vehicle.</w:t>
      </w:r>
      <w:r>
        <w:rPr>
          <w:rStyle w:val="EndnoteReference"/>
          <w:rFonts w:ascii="Century Schoolbook" w:hAnsi="Century Schoolbook"/>
        </w:rPr>
        <w:endnoteReference w:id="404"/>
      </w:r>
      <w:r>
        <w:t xml:space="preserve">  In the case of bodily injury or death of any one person, sovereign immunity is mandatorily waived up to the amount of $500,000.</w:t>
      </w:r>
      <w:r>
        <w:rPr>
          <w:rStyle w:val="EndnoteReference"/>
          <w:rFonts w:ascii="Century Schoolbook" w:hAnsi="Century Schoolbook"/>
        </w:rPr>
        <w:endnoteReference w:id="405"/>
      </w:r>
      <w:r>
        <w:t xml:space="preserve">  For local governments in Georgia, sovereign immunity is therefore waived up to the extent of their insurance coverage or $500,000, whichever is greater.  In exchange for this mandatory waiver of immunity, officials enjoy statutory immunity under O.C.G.A. § 36-92-3.</w:t>
      </w:r>
      <w:r>
        <w:rPr>
          <w:rStyle w:val="EndnoteReference"/>
          <w:rFonts w:ascii="Century Schoolbook" w:hAnsi="Century Schoolbook"/>
        </w:rPr>
        <w:endnoteReference w:id="406"/>
      </w:r>
    </w:p>
    <w:p>
      <w:pPr>
        <w:pStyle w:val="BodyTextFirstIndent"/>
      </w:pPr>
      <w:r>
        <w:t>O.C.G.A. § 33-24-51 is the only express statutory waiver of sovereign immunity for counties.</w:t>
      </w:r>
      <w:r>
        <w:rPr>
          <w:rStyle w:val="EndnoteReference"/>
          <w:rFonts w:ascii="Century Schoolbook" w:hAnsi="Century Schoolbook"/>
        </w:rPr>
        <w:endnoteReference w:id="407"/>
      </w:r>
      <w:r>
        <w:t xml:space="preserve">  Municipalities, on the other hand, are additionally subject to O.C.G.A. § 36-33-1, which states that a municipality waives its immunity to the extent that it has liability insurance to cover the occurrence for which the defense of </w:t>
      </w:r>
      <w:r>
        <w:lastRenderedPageBreak/>
        <w:t>sovereign immunity is available.</w:t>
      </w:r>
      <w:r>
        <w:rPr>
          <w:rStyle w:val="EndnoteReference"/>
          <w:rFonts w:ascii="Century Schoolbook" w:hAnsi="Century Schoolbook"/>
        </w:rPr>
        <w:endnoteReference w:id="408"/>
      </w:r>
      <w:r>
        <w:t xml:space="preserve">  As a general matter, this means that cities waive sovereign immunity much more often than counties.</w:t>
      </w:r>
      <w:r>
        <w:rPr>
          <w:rFonts w:cs="Arial"/>
          <w:b/>
          <w:szCs w:val="28"/>
        </w:rPr>
        <w:t xml:space="preserve">  </w:t>
      </w:r>
      <w:r>
        <w:t xml:space="preserve">Other waivers to sovereign immunity include: (1) where a city is responsible for creating or maintaining a </w:t>
      </w:r>
      <w:r>
        <w:rPr>
          <w:i/>
        </w:rPr>
        <w:t>nuisance</w:t>
      </w:r>
      <w:r>
        <w:t xml:space="preserve">; (2) where a city or county is a party to a </w:t>
      </w:r>
      <w:r>
        <w:rPr>
          <w:i/>
        </w:rPr>
        <w:t>written contract</w:t>
      </w:r>
      <w:r>
        <w:t xml:space="preserve">; or (3) where a city is performing a </w:t>
      </w:r>
      <w:r>
        <w:rPr>
          <w:i/>
        </w:rPr>
        <w:t>proprietary function</w:t>
      </w:r>
      <w:r>
        <w:t xml:space="preserve"> rather than a governmental function.  </w:t>
      </w:r>
      <w:bookmarkStart w:id="63" w:name="_Toc384900004"/>
    </w:p>
    <w:p>
      <w:pPr>
        <w:pStyle w:val="BodyTextFirstIndent"/>
        <w:ind w:firstLine="0"/>
        <w:jc w:val="center"/>
        <w:rPr>
          <w:b/>
        </w:rPr>
      </w:pPr>
      <w:r>
        <w:rPr>
          <w:b/>
        </w:rPr>
        <w:t>1.</w:t>
      </w:r>
      <w:r>
        <w:rPr>
          <w:b/>
        </w:rPr>
        <w:tab/>
        <w:t>Nuisance</w:t>
      </w:r>
      <w:bookmarkEnd w:id="63"/>
    </w:p>
    <w:p>
      <w:pPr>
        <w:pStyle w:val="BodyTextFirstIndent"/>
      </w:pPr>
      <w:r>
        <w:t>A showing of nuisance is sufficient to overcome municipal sovereign immunity.  The Georgia Supreme Court has held that “[a] municipality like any other individual or private corporation may be liable for damages it causes to a third party from the operation or maintenance of a nuisance, irrespective of whether it is exercising a governmental or a ministerial function.”</w:t>
      </w:r>
      <w:r>
        <w:rPr>
          <w:rStyle w:val="EndnoteReference"/>
          <w:rFonts w:ascii="Century Schoolbook" w:hAnsi="Century Schoolbook"/>
        </w:rPr>
        <w:endnoteReference w:id="409"/>
      </w:r>
      <w:r>
        <w:t xml:space="preserve">  According to the Court, “a municipal corporation cannot, under the guise of performing a governmental function, create a nuisance dangerous to life and health or take or damage private property for public purpose, without just and adequate compensation being first paid.”</w:t>
      </w:r>
      <w:r>
        <w:rPr>
          <w:rStyle w:val="EndnoteReference"/>
          <w:rFonts w:ascii="Century Schoolbook" w:hAnsi="Century Schoolbook"/>
        </w:rPr>
        <w:endnoteReference w:id="410"/>
      </w:r>
      <w:r>
        <w:t xml:space="preserve">  </w:t>
      </w:r>
    </w:p>
    <w:p>
      <w:pPr>
        <w:pStyle w:val="BodyTextFirstIndent"/>
      </w:pPr>
      <w:r>
        <w:t>A county, on the other hand, may only be liable “when a nuisance amounts to a taking of property for public purposes” because “sovereign immunity is waived by the Georgia Constitution’s eminent domain provision.”</w:t>
      </w:r>
      <w:r>
        <w:rPr>
          <w:rStyle w:val="EndnoteReference"/>
          <w:rFonts w:ascii="Century Schoolbook" w:hAnsi="Century Schoolbook"/>
        </w:rPr>
        <w:endnoteReference w:id="411"/>
      </w:r>
      <w:r>
        <w:t xml:space="preserve">  Thus counties are only liable for nuisance to the extent the nuisance constitutes a constitutional taking.</w:t>
      </w:r>
      <w:r>
        <w:rPr>
          <w:rStyle w:val="EndnoteReference"/>
          <w:rFonts w:ascii="Century Schoolbook" w:hAnsi="Century Schoolbook"/>
        </w:rPr>
        <w:endnoteReference w:id="412"/>
      </w:r>
      <w:r>
        <w:t xml:space="preserve"> Though some courts have on occasion termed nuisance as an </w:t>
      </w:r>
      <w:r>
        <w:lastRenderedPageBreak/>
        <w:t>“exception” to a county’s sovereign immunity, the Georgia Supreme Court recently clarified that it is “not an exception at all, but instead, a proper recognition that the Constitution itself requires just compensation for takings and cannot, therefore, be understood to afford immunity in such cases.”</w:t>
      </w:r>
      <w:r>
        <w:rPr>
          <w:rStyle w:val="EndnoteReference"/>
          <w:rFonts w:ascii="Century Schoolbook" w:hAnsi="Century Schoolbook"/>
        </w:rPr>
        <w:endnoteReference w:id="413"/>
      </w:r>
      <w:bookmarkStart w:id="64" w:name="_Toc384900005"/>
    </w:p>
    <w:p>
      <w:pPr>
        <w:pStyle w:val="BodyTextFirstIndent"/>
        <w:keepNext/>
        <w:ind w:firstLine="0"/>
        <w:jc w:val="center"/>
        <w:rPr>
          <w:b/>
        </w:rPr>
      </w:pPr>
      <w:r>
        <w:rPr>
          <w:b/>
        </w:rPr>
        <w:t>2.</w:t>
      </w:r>
      <w:r>
        <w:rPr>
          <w:b/>
        </w:rPr>
        <w:tab/>
        <w:t>Written Contracts</w:t>
      </w:r>
      <w:bookmarkEnd w:id="64"/>
    </w:p>
    <w:p>
      <w:pPr>
        <w:pStyle w:val="BodyTextFirstIndent"/>
      </w:pPr>
      <w:r>
        <w:t xml:space="preserve">The Georgia Constitution provides that “[t]he state’s defense of sovereign immunity is hereby waived as to any action </w:t>
      </w:r>
      <w:r>
        <w:rPr>
          <w:i/>
        </w:rPr>
        <w:t>ex contractu</w:t>
      </w:r>
      <w:r>
        <w:t xml:space="preserve"> for the breach of any written contract now existing or hereafter entered into by the state or its departments and agencies.”</w:t>
      </w:r>
      <w:r>
        <w:rPr>
          <w:rStyle w:val="EndnoteReference"/>
          <w:rFonts w:ascii="Century Schoolbook" w:hAnsi="Century Schoolbook"/>
        </w:rPr>
        <w:endnoteReference w:id="414"/>
      </w:r>
      <w:r>
        <w:t xml:space="preserve">  With regard to municipalities—which are distinct from “the State”—the Georgia Supreme Court has specifically held that “municipal immunity is not a valid defense to an action for breach of contract,” and “[a]nything to the contrary is specifically overruled.”</w:t>
      </w:r>
      <w:r>
        <w:rPr>
          <w:rStyle w:val="EndnoteReference"/>
          <w:rFonts w:ascii="Century Schoolbook" w:hAnsi="Century Schoolbook"/>
        </w:rPr>
        <w:endnoteReference w:id="415"/>
      </w:r>
      <w:r>
        <w:t xml:space="preserve">  Georgia courts have further specified that as with the state and its departments and agencies, the contract waiver for municipalities is limited to </w:t>
      </w:r>
      <w:r>
        <w:rPr>
          <w:i/>
        </w:rPr>
        <w:t>written</w:t>
      </w:r>
      <w:r>
        <w:t xml:space="preserve"> contracts.</w:t>
      </w:r>
      <w:r>
        <w:rPr>
          <w:rStyle w:val="EndnoteReference"/>
          <w:rFonts w:ascii="Century Schoolbook" w:hAnsi="Century Schoolbook"/>
        </w:rPr>
        <w:endnoteReference w:id="416"/>
      </w:r>
      <w:r>
        <w:t xml:space="preserve">    </w:t>
      </w:r>
    </w:p>
    <w:p>
      <w:pPr>
        <w:pStyle w:val="BodyTextFirstIndent"/>
      </w:pPr>
      <w:r>
        <w:t>Claimants often attempt to circumvent a governmental entity’s sovereign immunity defense by claiming that their injury sounding in tort actually resulted from breach of a written contract.  Under those circumstances, courts will determine whether “the essential elements of a written contractual agreement between [claimant] and the City” are “sufficient to support [a] breach of contract claim.”</w:t>
      </w:r>
      <w:r>
        <w:rPr>
          <w:rStyle w:val="EndnoteReference"/>
          <w:rFonts w:ascii="Century Schoolbook" w:hAnsi="Century Schoolbook"/>
        </w:rPr>
        <w:endnoteReference w:id="417"/>
      </w:r>
      <w:r>
        <w:t xml:space="preserve">  In </w:t>
      </w:r>
      <w:r>
        <w:rPr>
          <w:i/>
        </w:rPr>
        <w:t>Merk v. DeKalb County</w:t>
      </w:r>
      <w:r>
        <w:t xml:space="preserve">, involving a broken county sewer line that flooded part of the </w:t>
      </w:r>
      <w:r>
        <w:lastRenderedPageBreak/>
        <w:t>claimant’s home, the claimant sought recovery on the theory that she and the county were parties to a contract for water and sewer service which the county later breached by flooding her home with sewage.</w:t>
      </w:r>
      <w:r>
        <w:rPr>
          <w:rStyle w:val="EndnoteReference"/>
          <w:rFonts w:ascii="Century Schoolbook" w:hAnsi="Century Schoolbook"/>
        </w:rPr>
        <w:endnoteReference w:id="418"/>
      </w:r>
      <w:r>
        <w:t xml:space="preserve">  The Georgia Court of Appeals disagreed with the claimant’s theory, finding that “when a plaintiff’s action sounds in tort and not contract, even though the action is brought as a contractual one, no constitutional waiver of sovereign immunity results.”</w:t>
      </w:r>
      <w:r>
        <w:rPr>
          <w:rStyle w:val="EndnoteReference"/>
          <w:rFonts w:ascii="Century Schoolbook" w:hAnsi="Century Schoolbook"/>
        </w:rPr>
        <w:endnoteReference w:id="419"/>
      </w:r>
      <w:r>
        <w:t xml:space="preserve">  Georgia courts are careful to ensure that claimants do not shoehorn their tort claims into a breach of contract claim in order to overcome sovereign immunity. </w:t>
      </w:r>
      <w:bookmarkStart w:id="65" w:name="_Toc384900006"/>
    </w:p>
    <w:p>
      <w:pPr>
        <w:pStyle w:val="BodyTextFirstIndent"/>
        <w:keepNext/>
        <w:ind w:firstLine="0"/>
        <w:jc w:val="center"/>
        <w:rPr>
          <w:b/>
        </w:rPr>
      </w:pPr>
      <w:r>
        <w:rPr>
          <w:b/>
        </w:rPr>
        <w:t>3.</w:t>
      </w:r>
      <w:r>
        <w:rPr>
          <w:b/>
        </w:rPr>
        <w:tab/>
        <w:t>Proprietary Function</w:t>
      </w:r>
      <w:bookmarkEnd w:id="65"/>
    </w:p>
    <w:p>
      <w:pPr>
        <w:pStyle w:val="BodyTextFirstIndent"/>
      </w:pPr>
      <w:r>
        <w:t>A city “‘is not liable for the negligence or misconduct of its officers in the performance of governmental functions,’ but may be liable for the negligence or misconduct of its officers in the performance of proprietary or ministerial functions.”</w:t>
      </w:r>
      <w:r>
        <w:rPr>
          <w:rStyle w:val="EndnoteReference"/>
          <w:rFonts w:ascii="Century Schoolbook" w:hAnsi="Century Schoolbook"/>
        </w:rPr>
        <w:endnoteReference w:id="420"/>
      </w:r>
      <w:r>
        <w:t xml:space="preserve">  The distinction between governmental and proprietary functions applies to cities, and not counties, because “municipalities are creatures of the legislature,” which act “in a dual capacity, exercising powers pertaining not only to their delegated sovereignty, but powers of ministerial or proprietary character.”</w:t>
      </w:r>
      <w:r>
        <w:rPr>
          <w:rStyle w:val="EndnoteReference"/>
          <w:rFonts w:ascii="Century Schoolbook" w:hAnsi="Century Schoolbook"/>
        </w:rPr>
        <w:endnoteReference w:id="421"/>
      </w:r>
      <w:r>
        <w:t xml:space="preserve">  The General Assembly codified a waiver for proprietary or ministerial functions in O.C.G.A. § 36-33-1(b), which provides that while municipalities are immune for “the exercise of legislative and judicial powers,” they are liable “[f]or neglect to perform or improper or unskillful performance of their ministerial duties.”</w:t>
      </w:r>
      <w:r>
        <w:rPr>
          <w:rStyle w:val="EndnoteReference"/>
          <w:rFonts w:ascii="Century Schoolbook" w:hAnsi="Century Schoolbook"/>
        </w:rPr>
        <w:endnoteReference w:id="422"/>
      </w:r>
      <w:r>
        <w:t xml:space="preserve">   </w:t>
      </w:r>
    </w:p>
    <w:p>
      <w:pPr>
        <w:pStyle w:val="BodyTextFirstIndent"/>
      </w:pPr>
      <w:r>
        <w:lastRenderedPageBreak/>
        <w:t xml:space="preserve">In effect, O.C.G.A. § 36-33-1(b) provides that a city waives immunity for the </w:t>
      </w:r>
      <w:r>
        <w:rPr>
          <w:i/>
        </w:rPr>
        <w:t>implementation</w:t>
      </w:r>
      <w:r>
        <w:t xml:space="preserve"> of its legislative or judicial decisions.  Georgia courts have held, for instance, that the legislative decision to grant authority by charter to a municipal corporation to raise or alter the grade of streets was a governmental function for which the city was entitled to immunity.</w:t>
      </w:r>
      <w:r>
        <w:rPr>
          <w:rStyle w:val="EndnoteReference"/>
          <w:rFonts w:ascii="Century Schoolbook" w:hAnsi="Century Schoolbook"/>
        </w:rPr>
        <w:endnoteReference w:id="423"/>
      </w:r>
      <w:r>
        <w:t xml:space="preserve">  The “mere construction of the work”—or in other words the act of altering the grade of the streets—on the other hand, was held to be ministerial.</w:t>
      </w:r>
      <w:r>
        <w:rPr>
          <w:rStyle w:val="EndnoteReference"/>
          <w:rFonts w:ascii="Century Schoolbook" w:hAnsi="Century Schoolbook"/>
        </w:rPr>
        <w:endnoteReference w:id="424"/>
      </w:r>
      <w:r>
        <w:t xml:space="preserve"> Georgia courts have also found that maintenance and operation of a water works system for city residents is a “private, nongovernmental function.”</w:t>
      </w:r>
      <w:r>
        <w:rPr>
          <w:rStyle w:val="EndnoteReference"/>
          <w:rFonts w:ascii="Century Schoolbook" w:hAnsi="Century Schoolbook"/>
        </w:rPr>
        <w:endnoteReference w:id="425"/>
      </w:r>
      <w:r>
        <w:t xml:space="preserve">  Further, a city owes a ministerial duty to keep streets and sidewalks free from obstructions and may be liable for negligent performance of this duty.</w:t>
      </w:r>
      <w:r>
        <w:rPr>
          <w:rStyle w:val="EndnoteReference"/>
          <w:rFonts w:ascii="Century Schoolbook" w:hAnsi="Century Schoolbook"/>
        </w:rPr>
        <w:endnoteReference w:id="426"/>
      </w:r>
      <w:r>
        <w:t xml:space="preserve">  The provision of medical care to incarcerated persons is also considered a ministerial act, meaning sovereign immunity is waived pursuant to O.C.G.A. § 36-33-1(b).</w:t>
      </w:r>
      <w:r>
        <w:rPr>
          <w:rStyle w:val="EndnoteReference"/>
          <w:rFonts w:ascii="Century Schoolbook" w:hAnsi="Century Schoolbook"/>
        </w:rPr>
        <w:endnoteReference w:id="427"/>
      </w:r>
      <w:r>
        <w:t xml:space="preserve"> </w:t>
      </w:r>
    </w:p>
    <w:p>
      <w:pPr>
        <w:pStyle w:val="BodyTextFirstIndent"/>
        <w:rPr>
          <w:rFonts w:cs="Arial"/>
          <w:color w:val="252525"/>
        </w:rPr>
      </w:pPr>
      <w:r>
        <w:t>Some courts have attempted to define “ministerial” or “proprietary functions” as actions that produce revenue, or otherwise place the municipality in the place of a private business.</w:t>
      </w:r>
      <w:r>
        <w:rPr>
          <w:rStyle w:val="EndnoteReference"/>
          <w:rFonts w:ascii="Century Schoolbook" w:hAnsi="Century Schoolbook"/>
        </w:rPr>
        <w:endnoteReference w:id="428"/>
      </w:r>
      <w:r>
        <w:t xml:space="preserve">  But as the Georgia Court of Appeals recently clarified, “our courts do not define ‘ministerial’</w:t>
      </w:r>
      <w:r>
        <w:rPr>
          <w:rFonts w:cs="Arial"/>
          <w:color w:val="252525"/>
          <w:sz w:val="17"/>
          <w:szCs w:val="17"/>
        </w:rPr>
        <w:t xml:space="preserve"> </w:t>
      </w:r>
      <w:r>
        <w:rPr>
          <w:rFonts w:cs="Arial"/>
          <w:color w:val="252525"/>
        </w:rPr>
        <w:t>so narrowly; indeed, we do not always employ a revenue-based analysis in determining whether an act is ministerial.”</w:t>
      </w:r>
      <w:r>
        <w:rPr>
          <w:rStyle w:val="EndnoteReference"/>
          <w:rFonts w:ascii="Century Schoolbook" w:hAnsi="Century Schoolbook" w:cs="Arial"/>
          <w:color w:val="252525"/>
        </w:rPr>
        <w:endnoteReference w:id="429"/>
      </w:r>
      <w:bookmarkStart w:id="66" w:name="_Toc384900007"/>
    </w:p>
    <w:p>
      <w:pPr>
        <w:pStyle w:val="BodyTextFirstIndent"/>
        <w:ind w:left="720" w:hanging="720"/>
        <w:jc w:val="left"/>
        <w:rPr>
          <w:b/>
        </w:rPr>
      </w:pPr>
      <w:r>
        <w:rPr>
          <w:b/>
        </w:rPr>
        <w:t>II.</w:t>
      </w:r>
      <w:r>
        <w:rPr>
          <w:b/>
        </w:rPr>
        <w:tab/>
        <w:t>Official Immunity</w:t>
      </w:r>
      <w:r>
        <w:rPr>
          <w:rStyle w:val="EndnoteReference"/>
          <w:rFonts w:ascii="Century Schoolbook" w:hAnsi="Century Schoolbook"/>
          <w:b/>
        </w:rPr>
        <w:endnoteReference w:id="430"/>
      </w:r>
      <w:bookmarkEnd w:id="66"/>
    </w:p>
    <w:p>
      <w:pPr>
        <w:pStyle w:val="BodyTextFirstIndent"/>
      </w:pPr>
      <w:r>
        <w:t xml:space="preserve">While sovereign immunity is a hold-over from English common law, </w:t>
      </w:r>
      <w:r>
        <w:lastRenderedPageBreak/>
        <w:t>official immunity is an entirely American phenomenon.</w:t>
      </w:r>
      <w:r>
        <w:rPr>
          <w:rStyle w:val="EndnoteReference"/>
          <w:rFonts w:ascii="Century Schoolbook" w:hAnsi="Century Schoolbook"/>
        </w:rPr>
        <w:endnoteReference w:id="431"/>
      </w:r>
      <w:r>
        <w:t xml:space="preserve">  Under English common law, government officials were liable for torts they committed while performing their official duties.  The common law of several states, including Georgia, however, provides immunity for government officials sued in their </w:t>
      </w:r>
      <w:r>
        <w:rPr>
          <w:i/>
        </w:rPr>
        <w:t>individual capacities</w:t>
      </w:r>
      <w:r>
        <w:t xml:space="preserve"> for performing official acts that require discretion.</w:t>
      </w:r>
      <w:r>
        <w:rPr>
          <w:rStyle w:val="EndnoteReference"/>
          <w:rFonts w:ascii="Century Schoolbook" w:hAnsi="Century Schoolbook"/>
        </w:rPr>
        <w:endnoteReference w:id="432"/>
      </w:r>
      <w:r>
        <w:t xml:space="preserve">  This view was codified in the previously-mentioned 1991 amendment to the Georgia Constitution, which provides in pertinent part:</w:t>
      </w:r>
    </w:p>
    <w:p>
      <w:pPr>
        <w:pStyle w:val="BBDoubleIndent"/>
      </w:pPr>
      <w:r>
        <w:t>Except as specifically provided by the General Assembly in a State Tort Claims Act, all officers and employees of the state or its departments and agencies may be subject to suit and may be liable for injuries and damages caused by the negligent performance of, or negligent failure to perform, their ministerial functions and may be liable for injuries and damages if they act with actual malice or with actual intent to cause injury in the performance of their official functions.</w:t>
      </w:r>
      <w:r>
        <w:rPr>
          <w:rStyle w:val="EndnoteReference"/>
          <w:rFonts w:ascii="Century Schoolbook" w:hAnsi="Century Schoolbook"/>
        </w:rPr>
        <w:endnoteReference w:id="433"/>
      </w:r>
      <w:r>
        <w:t xml:space="preserve"> </w:t>
      </w:r>
    </w:p>
    <w:p>
      <w:pPr>
        <w:pStyle w:val="BodyTextFirstIndent"/>
        <w:ind w:firstLine="0"/>
      </w:pPr>
      <w:r>
        <w:t>For purposes of sovereign immunity, the foregoing constitutional provision applies only to counties.  But with regard to official immunity, Georgia courts have applied it to cities as well.</w:t>
      </w:r>
      <w:r>
        <w:rPr>
          <w:rStyle w:val="EndnoteReference"/>
          <w:rFonts w:ascii="Century Schoolbook" w:hAnsi="Century Schoolbook"/>
        </w:rPr>
        <w:endnoteReference w:id="434"/>
      </w:r>
      <w:r>
        <w:t xml:space="preserve">  </w:t>
      </w:r>
    </w:p>
    <w:p>
      <w:pPr>
        <w:pStyle w:val="BodyTextFirstIndent"/>
      </w:pPr>
      <w:r>
        <w:lastRenderedPageBreak/>
        <w:t>The plain language of the provision provides that officers and employees of the state and its departments and agencies are subject to suit for the negligent performance of “ministerial” duties, but are immune from suit for “discretionary” conduct that was not performed with “actual malice” or “intent to cause injury.”  An understanding of the scope of official immunity therefore depends on the definition of these terms.</w:t>
      </w:r>
      <w:bookmarkStart w:id="67" w:name="_Toc384900008"/>
    </w:p>
    <w:p>
      <w:pPr>
        <w:pStyle w:val="BodyTextFirstIndent"/>
        <w:ind w:firstLine="0"/>
        <w:jc w:val="center"/>
        <w:rPr>
          <w:b/>
        </w:rPr>
      </w:pPr>
      <w:r>
        <w:rPr>
          <w:b/>
        </w:rPr>
        <w:t>A.</w:t>
      </w:r>
      <w:r>
        <w:rPr>
          <w:b/>
        </w:rPr>
        <w:tab/>
        <w:t>Ministerial Duties Versus Discretionary Duties</w:t>
      </w:r>
      <w:bookmarkEnd w:id="67"/>
    </w:p>
    <w:p>
      <w:pPr>
        <w:pStyle w:val="BodyTextFirstIndent"/>
      </w:pPr>
      <w:r>
        <w:t>“A ministerial act is commonly one that is simple absolute, and definite, arising under conditions admitted or proved to exist, and requiring merely the execution of a specific duty.  A discretionary act, however, calls for the exercise of personal deliberation and judgment, which in turn entails examining the facts, reaching reasoned conclusions, and acting on them in a way not specifically directed.”</w:t>
      </w:r>
      <w:r>
        <w:rPr>
          <w:rStyle w:val="EndnoteReference"/>
          <w:rFonts w:ascii="Century Schoolbook" w:hAnsi="Century Schoolbook"/>
        </w:rPr>
        <w:endnoteReference w:id="435"/>
      </w:r>
      <w:r>
        <w:t xml:space="preserve">  In general, “the determination of whether an action is discretionary or ministerial depends on the character of the specific actions complained of, not the general nature of the job, and is to be made on a case-by-case basis.”</w:t>
      </w:r>
      <w:r>
        <w:rPr>
          <w:rStyle w:val="EndnoteReference"/>
          <w:rFonts w:ascii="Century Schoolbook" w:hAnsi="Century Schoolbook"/>
        </w:rPr>
        <w:endnoteReference w:id="436"/>
      </w:r>
      <w:r>
        <w:t xml:space="preserve">  These standards are stubbornly resistant to a general rule as Georgia courts have offered “both examples of ministerial actions that involved the exercise of some judgment and examples of discretionary actions that involved the performance of a mandatory task.”</w:t>
      </w:r>
      <w:r>
        <w:rPr>
          <w:rStyle w:val="EndnoteReference"/>
          <w:rFonts w:ascii="Century Schoolbook" w:hAnsi="Century Schoolbook"/>
        </w:rPr>
        <w:endnoteReference w:id="437"/>
      </w:r>
      <w:r>
        <w:t xml:space="preserve">  Not even statutorily-mandated acts are necessarily ministerial if they involve the exercise of personal deliberation </w:t>
      </w:r>
      <w:r>
        <w:lastRenderedPageBreak/>
        <w:t>and judgment,</w:t>
      </w:r>
      <w:r>
        <w:rPr>
          <w:rStyle w:val="EndnoteReference"/>
          <w:rFonts w:ascii="Century Schoolbook" w:hAnsi="Century Schoolbook"/>
        </w:rPr>
        <w:endnoteReference w:id="438"/>
      </w:r>
      <w:r>
        <w:t xml:space="preserve"> and where a situation involves multiple official acts, some may be discretionary and some may be ministerial.</w:t>
      </w:r>
      <w:r>
        <w:rPr>
          <w:rStyle w:val="EndnoteReference"/>
          <w:rFonts w:ascii="Century Schoolbook" w:hAnsi="Century Schoolbook"/>
        </w:rPr>
        <w:endnoteReference w:id="439"/>
      </w:r>
      <w:r>
        <w:t xml:space="preserve">  </w:t>
      </w:r>
    </w:p>
    <w:p>
      <w:pPr>
        <w:pStyle w:val="BodyTextFirstIndent"/>
        <w:rPr>
          <w:i/>
        </w:rPr>
      </w:pPr>
      <w:r>
        <w:t xml:space="preserve">By way of illustration, the following acts have been found to be </w:t>
      </w:r>
      <w:r>
        <w:rPr>
          <w:i/>
        </w:rPr>
        <w:t>discretionary</w:t>
      </w:r>
      <w:r>
        <w:t xml:space="preserve"> in nature: a school principal making decisions regarding the means used to supervise school children;</w:t>
      </w:r>
      <w:r>
        <w:rPr>
          <w:rStyle w:val="EndnoteReference"/>
          <w:rFonts w:ascii="Century Schoolbook" w:hAnsi="Century Schoolbook"/>
        </w:rPr>
        <w:endnoteReference w:id="440"/>
      </w:r>
      <w:r>
        <w:t xml:space="preserve"> a county official’s decision regarding if and when to barricade roads during heavy rain;</w:t>
      </w:r>
      <w:r>
        <w:rPr>
          <w:rStyle w:val="EndnoteReference"/>
          <w:rFonts w:ascii="Century Schoolbook" w:hAnsi="Century Schoolbook"/>
        </w:rPr>
        <w:endnoteReference w:id="441"/>
      </w:r>
      <w:r>
        <w:t xml:space="preserve"> a police officer’s decision to rush to the scene of a fight;</w:t>
      </w:r>
      <w:r>
        <w:rPr>
          <w:rStyle w:val="EndnoteReference"/>
          <w:rFonts w:ascii="Century Schoolbook" w:hAnsi="Century Schoolbook"/>
        </w:rPr>
        <w:endnoteReference w:id="442"/>
      </w:r>
      <w:r>
        <w:t xml:space="preserve"> an official’s decision not to install traffic-control devices;</w:t>
      </w:r>
      <w:r>
        <w:rPr>
          <w:rStyle w:val="EndnoteReference"/>
          <w:rFonts w:ascii="Century Schoolbook" w:hAnsi="Century Schoolbook"/>
        </w:rPr>
        <w:endnoteReference w:id="443"/>
      </w:r>
      <w:r>
        <w:t xml:space="preserve"> police officers making an arrest;</w:t>
      </w:r>
      <w:r>
        <w:rPr>
          <w:rStyle w:val="EndnoteReference"/>
          <w:rFonts w:ascii="Century Schoolbook" w:hAnsi="Century Schoolbook"/>
        </w:rPr>
        <w:endnoteReference w:id="444"/>
      </w:r>
      <w:r>
        <w:t xml:space="preserve"> and shooting a bull that a county official was required by statute to impound.</w:t>
      </w:r>
      <w:r>
        <w:rPr>
          <w:rStyle w:val="EndnoteReference"/>
          <w:rFonts w:ascii="Century Schoolbook" w:hAnsi="Century Schoolbook"/>
        </w:rPr>
        <w:endnoteReference w:id="445"/>
      </w:r>
      <w:r>
        <w:t xml:space="preserve">  Notably, some of these official acts were compelled by clear statutory or policy directives, but were nonetheless found to be discretionary in nature because the duties did not specify “clear, definite, and certain procedures.”</w:t>
      </w:r>
      <w:r>
        <w:rPr>
          <w:rStyle w:val="EndnoteReference"/>
          <w:rFonts w:ascii="Century Schoolbook" w:hAnsi="Century Schoolbook"/>
        </w:rPr>
        <w:endnoteReference w:id="446"/>
      </w:r>
      <w:r>
        <w:rPr>
          <w:i/>
        </w:rPr>
        <w:t xml:space="preserve">  </w:t>
      </w:r>
    </w:p>
    <w:p>
      <w:pPr>
        <w:pStyle w:val="BodyTextFirstIndent"/>
      </w:pPr>
      <w:r>
        <w:t xml:space="preserve">In contrast, Georgia courts have found the following acts to be </w:t>
      </w:r>
      <w:r>
        <w:rPr>
          <w:i/>
        </w:rPr>
        <w:t>ministerial</w:t>
      </w:r>
      <w:r>
        <w:t xml:space="preserve"> in nature: a police officers’ failure to fill out a statutorily mandated Family Violence Report upon investigating a domestic violence claim;</w:t>
      </w:r>
      <w:r>
        <w:rPr>
          <w:rStyle w:val="EndnoteReference"/>
          <w:rFonts w:ascii="Century Schoolbook" w:hAnsi="Century Schoolbook"/>
        </w:rPr>
        <w:endnoteReference w:id="447"/>
      </w:r>
      <w:r>
        <w:t xml:space="preserve"> the failure to properly erect barricades once an order was given to close a bridge;</w:t>
      </w:r>
      <w:r>
        <w:rPr>
          <w:rStyle w:val="EndnoteReference"/>
          <w:rFonts w:ascii="Century Schoolbook" w:hAnsi="Century Schoolbook"/>
        </w:rPr>
        <w:endnoteReference w:id="448"/>
      </w:r>
      <w:r>
        <w:t xml:space="preserve"> the failure to inspect and monitor the county road “pursuant to established policy” and procedures;</w:t>
      </w:r>
      <w:r>
        <w:rPr>
          <w:rStyle w:val="EndnoteReference"/>
          <w:rFonts w:ascii="Century Schoolbook" w:hAnsi="Century Schoolbook"/>
        </w:rPr>
        <w:endnoteReference w:id="449"/>
      </w:r>
      <w:r>
        <w:t xml:space="preserve"> providing medical attention to inmates in county custody;</w:t>
      </w:r>
      <w:r>
        <w:rPr>
          <w:rStyle w:val="EndnoteReference"/>
          <w:rFonts w:ascii="Century Schoolbook" w:hAnsi="Century Schoolbook"/>
        </w:rPr>
        <w:endnoteReference w:id="450"/>
      </w:r>
      <w:r>
        <w:t xml:space="preserve"> and the failure to monitor and observe a suicidal inmate pursuant to the “established policies and procedures” of the county jail.</w:t>
      </w:r>
      <w:r>
        <w:rPr>
          <w:rStyle w:val="EndnoteReference"/>
          <w:rFonts w:ascii="Century Schoolbook" w:hAnsi="Century Schoolbook"/>
        </w:rPr>
        <w:endnoteReference w:id="451"/>
      </w:r>
    </w:p>
    <w:p>
      <w:pPr>
        <w:pStyle w:val="BodyTextFirstIndent"/>
      </w:pPr>
      <w:r>
        <w:lastRenderedPageBreak/>
        <w:t>The foregoing sampling of discretionary and ministerial conduct shows that each case is heavily dependent on individual facts, but that as a general rule, a government official’s official acts will be considered discretionary if they require deliberation rather than the rote performance o</w:t>
      </w:r>
      <w:bookmarkStart w:id="68" w:name="_Toc384900009"/>
      <w:r>
        <w:t>f a clear policy or procedure.</w:t>
      </w:r>
    </w:p>
    <w:p>
      <w:pPr>
        <w:pStyle w:val="BodyTextFirstIndent"/>
        <w:ind w:firstLine="0"/>
        <w:jc w:val="center"/>
        <w:rPr>
          <w:b/>
        </w:rPr>
      </w:pPr>
      <w:r>
        <w:rPr>
          <w:b/>
        </w:rPr>
        <w:t>B.</w:t>
      </w:r>
      <w:r>
        <w:rPr>
          <w:b/>
        </w:rPr>
        <w:tab/>
        <w:t>“Actual Malice or Actual</w:t>
      </w:r>
      <w:r>
        <w:rPr>
          <w:b/>
        </w:rPr>
        <w:br/>
      </w:r>
      <w:r>
        <w:rPr>
          <w:b/>
          <w:sz w:val="21"/>
        </w:rPr>
        <w:t xml:space="preserve">Intent </w:t>
      </w:r>
      <w:r>
        <w:rPr>
          <w:b/>
        </w:rPr>
        <w:t>to Cause Injury”</w:t>
      </w:r>
      <w:bookmarkEnd w:id="68"/>
    </w:p>
    <w:p>
      <w:pPr>
        <w:pStyle w:val="BodyTextFirstIndent"/>
      </w:pPr>
      <w:r>
        <w:t xml:space="preserve">A government official sued in his individual capacity may be found liable for </w:t>
      </w:r>
      <w:r>
        <w:rPr>
          <w:i/>
        </w:rPr>
        <w:t>negligent</w:t>
      </w:r>
      <w:r>
        <w:t xml:space="preserve"> performance of a ministerial duty.</w:t>
      </w:r>
      <w:r>
        <w:rPr>
          <w:rStyle w:val="EndnoteReference"/>
          <w:rFonts w:ascii="Century Schoolbook" w:hAnsi="Century Schoolbook"/>
        </w:rPr>
        <w:endnoteReference w:id="452"/>
      </w:r>
      <w:r>
        <w:t xml:space="preserve">  If the official’s conduct is discretionary, however, he is immune from suit unless he acted with “actual malice” or “actual intent to cause injury.”</w:t>
      </w:r>
      <w:r>
        <w:rPr>
          <w:rStyle w:val="EndnoteReference"/>
          <w:rFonts w:ascii="Century Schoolbook" w:hAnsi="Century Schoolbook"/>
        </w:rPr>
        <w:endnoteReference w:id="453"/>
      </w:r>
      <w:r>
        <w:t xml:space="preserve">  These phrases are generally considered together.</w:t>
      </w:r>
    </w:p>
    <w:p>
      <w:pPr>
        <w:pStyle w:val="BodyTextFirstIndent"/>
        <w:rPr>
          <w:u w:val="single"/>
        </w:rPr>
      </w:pPr>
      <w:r>
        <w:t>“‘Actual malice’ requires a deliberate intention to do wrong.”</w:t>
      </w:r>
      <w:r>
        <w:rPr>
          <w:rStyle w:val="EndnoteReference"/>
          <w:rFonts w:ascii="Century Schoolbook" w:hAnsi="Century Schoolbook"/>
        </w:rPr>
        <w:endnoteReference w:id="454"/>
      </w:r>
      <w:r>
        <w:t xml:space="preserve">  “Ill will” is an element of actual malice, but “its presence alone cannot pierce official immunity; rather, ill will must be combined with the intent to do something wrongful or illegal.”</w:t>
      </w:r>
      <w:r>
        <w:rPr>
          <w:rStyle w:val="EndnoteReference"/>
          <w:rFonts w:ascii="Century Schoolbook" w:hAnsi="Century Schoolbook"/>
        </w:rPr>
        <w:endnoteReference w:id="455"/>
      </w:r>
      <w:r>
        <w:t xml:space="preserve">  In </w:t>
      </w:r>
      <w:r>
        <w:rPr>
          <w:i/>
        </w:rPr>
        <w:t>Adams v. Hazelwood</w:t>
      </w:r>
      <w:r>
        <w:t>, the Georgia Supreme Court determined that the plaintiff had failed to put forth evidence of actual malice because although he claimed at his deposition that the defendant officer harbored ill will toward him, he admitted that the officer “would not have known that [plaintiff] would be injured by the punishment.”</w:t>
      </w:r>
      <w:r>
        <w:rPr>
          <w:rStyle w:val="EndnoteReference"/>
          <w:rFonts w:ascii="Century Schoolbook" w:hAnsi="Century Schoolbook"/>
        </w:rPr>
        <w:endnoteReference w:id="456"/>
      </w:r>
      <w:r>
        <w:t xml:space="preserve">  As a result, the court reversed the lower court’s denial of summary judgment because even if the officer harbored ill will toward the plaintiff, he did not “act[] with a deliberate intent to commit a wrongful </w:t>
      </w:r>
      <w:r>
        <w:lastRenderedPageBreak/>
        <w:t>act or with a deliberate intent to harm.”</w:t>
      </w:r>
      <w:r>
        <w:rPr>
          <w:rStyle w:val="EndnoteReference"/>
          <w:rFonts w:ascii="Century Schoolbook" w:hAnsi="Century Schoolbook"/>
        </w:rPr>
        <w:endnoteReference w:id="457"/>
      </w:r>
    </w:p>
    <w:p>
      <w:pPr>
        <w:pStyle w:val="BodyTextFirstIndent"/>
      </w:pPr>
      <w:r>
        <w:t xml:space="preserve">The case of </w:t>
      </w:r>
      <w:r>
        <w:rPr>
          <w:i/>
        </w:rPr>
        <w:t>Phillips v. Hanse</w:t>
      </w:r>
      <w:r>
        <w:t>, involved a high-speed pursuit in which the pursuing officer violated several Fulton County directives by running stop signs without activating his siren and blue lights and bumping the plaintiff’s car.</w:t>
      </w:r>
      <w:r>
        <w:rPr>
          <w:rStyle w:val="EndnoteReference"/>
          <w:rFonts w:ascii="Century Schoolbook" w:hAnsi="Century Schoolbook"/>
        </w:rPr>
        <w:endnoteReference w:id="458"/>
      </w:r>
      <w:r>
        <w:t xml:space="preserve">  The plaintiff contended that the defendant officer’s violation of these clear directives constituted a “deliberate intention to do wrong” which gave rise to actual malice.</w:t>
      </w:r>
      <w:r>
        <w:rPr>
          <w:rStyle w:val="EndnoteReference"/>
          <w:rFonts w:ascii="Century Schoolbook" w:hAnsi="Century Schoolbook"/>
        </w:rPr>
        <w:endnoteReference w:id="459"/>
      </w:r>
      <w:r>
        <w:t xml:space="preserve">  Rejecting the plaintiff’s argument, the Georgia Supreme Court found that even though the officer’s conduct was likely reckless, “our cases establish that actual malice requires more than reckless conduct.”</w:t>
      </w:r>
      <w:r>
        <w:rPr>
          <w:rStyle w:val="EndnoteReference"/>
          <w:rFonts w:ascii="Century Schoolbook" w:hAnsi="Century Schoolbook"/>
        </w:rPr>
        <w:endnoteReference w:id="460"/>
      </w:r>
      <w:r>
        <w:t xml:space="preserve">  In addition, the plaintiff failed to advance evidence that the officer “intended to physically harm the suspect or any bystander by his actions,”</w:t>
      </w:r>
      <w:r>
        <w:rPr>
          <w:rStyle w:val="EndnoteReference"/>
          <w:rFonts w:ascii="Century Schoolbook" w:hAnsi="Century Schoolbook"/>
        </w:rPr>
        <w:endnoteReference w:id="461"/>
      </w:r>
      <w:r>
        <w:t xml:space="preserve"> and the court ultimately affirmed the grant of summary judgment for the officer.</w:t>
      </w:r>
      <w:r>
        <w:rPr>
          <w:rStyle w:val="EndnoteReference"/>
          <w:rFonts w:ascii="Century Schoolbook" w:hAnsi="Century Schoolbook"/>
        </w:rPr>
        <w:endnoteReference w:id="462"/>
      </w:r>
    </w:p>
    <w:p>
      <w:pPr>
        <w:pStyle w:val="BodyTextFirstIndent"/>
      </w:pPr>
      <w:r>
        <w:t xml:space="preserve">In contrast, the Georgia Court of Appeals in </w:t>
      </w:r>
      <w:r>
        <w:rPr>
          <w:i/>
        </w:rPr>
        <w:t>Bateast v. DeKalb County</w:t>
      </w:r>
      <w:r>
        <w:t xml:space="preserve"> reversed summary judgment for two arresting officers upon finding a material issue of fact as to whether the officers “proceeded in their arrest of [the plaintiff] despite their knowledge that she had not committed the crimes for which they accused her, thereby deliberately intending to do a wrongful act.”</w:t>
      </w:r>
      <w:r>
        <w:rPr>
          <w:rStyle w:val="EndnoteReference"/>
          <w:rFonts w:ascii="Century Schoolbook" w:hAnsi="Century Schoolbook"/>
        </w:rPr>
        <w:endnoteReference w:id="463"/>
      </w:r>
      <w:r>
        <w:t xml:space="preserve">   And in </w:t>
      </w:r>
      <w:r>
        <w:rPr>
          <w:i/>
        </w:rPr>
        <w:t>DeKalb County v. Bailey</w:t>
      </w:r>
      <w:r>
        <w:t>, the Court of Appeals affirmed a denial of summary judgment because a reasonable jury could find the defendant officer had “actual intent to cause harm to plaintiff” when he shot the fleeing suspect.</w:t>
      </w:r>
      <w:r>
        <w:rPr>
          <w:rStyle w:val="EndnoteReference"/>
          <w:rFonts w:ascii="Century Schoolbook" w:hAnsi="Century Schoolbook"/>
        </w:rPr>
        <w:endnoteReference w:id="464"/>
      </w:r>
      <w:r>
        <w:t xml:space="preserve">  </w:t>
      </w:r>
    </w:p>
    <w:p>
      <w:pPr>
        <w:pStyle w:val="BodyTextFirstIndent"/>
      </w:pPr>
      <w:r>
        <w:lastRenderedPageBreak/>
        <w:t xml:space="preserve">Claimants will frequently argue that the “intent to cause injury” requirement is distinct and independent from “actual malice.” The logical conclusion of such a construction is that police officers lose official immunity </w:t>
      </w:r>
      <w:r>
        <w:rPr>
          <w:i/>
        </w:rPr>
        <w:t>anytime</w:t>
      </w:r>
      <w:r>
        <w:t xml:space="preserve"> they shoot someone.  After all, whether the officer was justified or not, he </w:t>
      </w:r>
      <w:r>
        <w:rPr>
          <w:i/>
        </w:rPr>
        <w:t>did</w:t>
      </w:r>
      <w:r>
        <w:t xml:space="preserve"> intend to cause injury.  In making this argument, plaintiffs seek to circumvent the “actual malice” element.  This argument notwithstanding, the weight of case law is clear that overcoming official immunity requires a showing that the officer engaged in a deliberate decision to do wrong.</w:t>
      </w:r>
      <w:r>
        <w:rPr>
          <w:rStyle w:val="EndnoteReference"/>
          <w:rFonts w:ascii="Century Schoolbook" w:hAnsi="Century Schoolbook"/>
        </w:rPr>
        <w:endnoteReference w:id="465"/>
      </w:r>
      <w:r>
        <w:t xml:space="preserve">  </w:t>
      </w:r>
      <w:bookmarkStart w:id="69" w:name="_Toc384900010"/>
    </w:p>
    <w:p>
      <w:pPr>
        <w:pStyle w:val="BodyTextFirstIndent"/>
        <w:keepNext/>
        <w:ind w:left="720" w:hanging="720"/>
        <w:jc w:val="left"/>
        <w:rPr>
          <w:b/>
        </w:rPr>
      </w:pPr>
      <w:r>
        <w:rPr>
          <w:b/>
        </w:rPr>
        <w:t>III.</w:t>
      </w:r>
      <w:r>
        <w:rPr>
          <w:b/>
        </w:rPr>
        <w:tab/>
        <w:t>Practice Pointers</w:t>
      </w:r>
      <w:bookmarkStart w:id="70" w:name="_Toc384900011"/>
      <w:bookmarkEnd w:id="69"/>
    </w:p>
    <w:p>
      <w:pPr>
        <w:pStyle w:val="BodyTextFirstIndent"/>
        <w:ind w:firstLine="0"/>
        <w:jc w:val="center"/>
        <w:rPr>
          <w:b/>
        </w:rPr>
      </w:pPr>
      <w:r>
        <w:rPr>
          <w:b/>
        </w:rPr>
        <w:t>A.</w:t>
      </w:r>
      <w:r>
        <w:rPr>
          <w:b/>
        </w:rPr>
        <w:tab/>
        <w:t xml:space="preserve">Ante-Litem Notice to Counties, School </w:t>
      </w:r>
      <w:r>
        <w:rPr>
          <w:b/>
          <w:sz w:val="21"/>
        </w:rPr>
        <w:t>Districts</w:t>
      </w:r>
      <w:r>
        <w:rPr>
          <w:b/>
        </w:rPr>
        <w:t>, and Municipalities</w:t>
      </w:r>
      <w:bookmarkEnd w:id="70"/>
    </w:p>
    <w:p>
      <w:pPr>
        <w:pStyle w:val="BodyTextFirstIndent"/>
      </w:pPr>
      <w:r>
        <w:t>Georgia law requires ante-litem notice to counties and municipalities in order to “allow governments the opportunity to investigate potential claims, ascertain the evidence, and avoid unnecessary litigation.”</w:t>
      </w:r>
      <w:r>
        <w:rPr>
          <w:rStyle w:val="EndnoteReference"/>
          <w:rFonts w:ascii="Century Schoolbook" w:hAnsi="Century Schoolbook"/>
        </w:rPr>
        <w:endnoteReference w:id="466"/>
      </w:r>
      <w:r>
        <w:t xml:space="preserve">  To that end, “[a]ll claims against counties must be presented within 12 months after they accrue or become payable or the same are barred.”</w:t>
      </w:r>
      <w:r>
        <w:rPr>
          <w:rStyle w:val="EndnoteReference"/>
          <w:rFonts w:ascii="Century Schoolbook" w:hAnsi="Century Schoolbook"/>
        </w:rPr>
        <w:endnoteReference w:id="467"/>
      </w:r>
      <w:r>
        <w:t xml:space="preserve">    This statute does not apply to school districts due to “the absence of an expression of legislative intent to apply [O.C.G.A. § 36-11-1] to actions against school districts.”</w:t>
      </w:r>
      <w:r>
        <w:rPr>
          <w:rStyle w:val="EndnoteReference"/>
          <w:rFonts w:ascii="Century Schoolbook" w:hAnsi="Century Schoolbook"/>
        </w:rPr>
        <w:endnoteReference w:id="468"/>
      </w:r>
      <w:r>
        <w:t xml:space="preserve">  With regard to municipalities, the General Assembly provided claimants six months to “present the claim in writing to the governing authority of the municipal corporation.”</w:t>
      </w:r>
      <w:r>
        <w:rPr>
          <w:rStyle w:val="EndnoteReference"/>
          <w:rFonts w:ascii="Century Schoolbook" w:hAnsi="Century Schoolbook"/>
        </w:rPr>
        <w:endnoteReference w:id="469"/>
      </w:r>
      <w:r>
        <w:t xml:space="preserve">  As a matter of course, defense counsel should, before all else, </w:t>
      </w:r>
      <w:r>
        <w:lastRenderedPageBreak/>
        <w:t>verify that the claimant has met the limitation period for ante-litem notice.  Plaintiff’s failure to properly plead satisfaction of the ante-litem notice may be the basis for a Rule 12 motion.</w:t>
      </w:r>
      <w:r>
        <w:rPr>
          <w:rStyle w:val="EndnoteReference"/>
          <w:rFonts w:ascii="Century Schoolbook" w:hAnsi="Century Schoolbook"/>
        </w:rPr>
        <w:endnoteReference w:id="470"/>
      </w:r>
      <w:bookmarkStart w:id="71" w:name="_Toc384900012"/>
    </w:p>
    <w:p>
      <w:pPr>
        <w:pStyle w:val="BodyTextFirstIndent"/>
        <w:keepNext/>
        <w:ind w:firstLine="0"/>
        <w:jc w:val="center"/>
        <w:rPr>
          <w:b/>
        </w:rPr>
      </w:pPr>
      <w:r>
        <w:rPr>
          <w:b/>
        </w:rPr>
        <w:t>B.</w:t>
      </w:r>
      <w:r>
        <w:rPr>
          <w:b/>
        </w:rPr>
        <w:tab/>
        <w:t>Naming the Proper Party-</w:t>
      </w:r>
      <w:r>
        <w:rPr>
          <w:b/>
          <w:sz w:val="21"/>
        </w:rPr>
        <w:t>Defendant</w:t>
      </w:r>
      <w:bookmarkEnd w:id="71"/>
    </w:p>
    <w:p>
      <w:pPr>
        <w:pStyle w:val="BodyTextFirstIndent"/>
      </w:pPr>
      <w:r>
        <w:t>Claimants frequently name the wrong party-defendant when suing governmental entities.  As an initial matter, the claimant should file suit against the municipality or county itself, not the city council, individual council members, board of commissioners, or individual board members.  It is an iron-clad principal that legislators in Georgia are entitled to legislative immunity.</w:t>
      </w:r>
      <w:r>
        <w:rPr>
          <w:rStyle w:val="EndnoteReference"/>
          <w:rFonts w:ascii="Century Schoolbook" w:hAnsi="Century Schoolbook"/>
        </w:rPr>
        <w:endnoteReference w:id="471"/>
      </w:r>
      <w:r>
        <w:t xml:space="preserve">  </w:t>
      </w:r>
    </w:p>
    <w:p>
      <w:pPr>
        <w:pStyle w:val="BodyTextFirstIndent"/>
      </w:pPr>
      <w:r>
        <w:t>Another indispensable part of naming the proper party-defendant is recognizing the difference between “individual capacity” and “official capacity” claims.  As hinted throughout this article, a suit against an individual in his “official capacity” is in reality a suit against the county, school district, or city for which that individual works.</w:t>
      </w:r>
      <w:r>
        <w:rPr>
          <w:rStyle w:val="EndnoteReference"/>
          <w:rFonts w:ascii="Century Schoolbook" w:hAnsi="Century Schoolbook"/>
        </w:rPr>
        <w:endnoteReference w:id="472"/>
      </w:r>
      <w:r>
        <w:t xml:space="preserve">  Thus, for example, a county sheriff sued in his </w:t>
      </w:r>
      <w:r>
        <w:rPr>
          <w:i/>
        </w:rPr>
        <w:t>official capacity</w:t>
      </w:r>
      <w:r>
        <w:t xml:space="preserve"> is entitled to sovereign immunity to the same extent as the county, and a sheriff sued in his </w:t>
      </w:r>
      <w:r>
        <w:rPr>
          <w:i/>
        </w:rPr>
        <w:t>individual capacity</w:t>
      </w:r>
      <w:r>
        <w:t xml:space="preserve"> must have had some personal involvement with the incident giving rise to the claimant’s alleged injury because he is being sued for his own personal conduct.  When representing government entities, defense counsel should almost expect that they will need to remedy improperly named parties with a Rule 12 motion.</w:t>
      </w:r>
      <w:r>
        <w:rPr>
          <w:rStyle w:val="EndnoteReference"/>
          <w:rFonts w:ascii="Century Schoolbook" w:hAnsi="Century Schoolbook"/>
        </w:rPr>
        <w:endnoteReference w:id="473"/>
      </w:r>
      <w:bookmarkStart w:id="72" w:name="_Toc384900013"/>
    </w:p>
    <w:p>
      <w:pPr>
        <w:pStyle w:val="BodyTextFirstIndent"/>
        <w:ind w:firstLine="0"/>
        <w:jc w:val="center"/>
        <w:rPr>
          <w:b/>
        </w:rPr>
      </w:pPr>
      <w:r>
        <w:rPr>
          <w:b/>
        </w:rPr>
        <w:lastRenderedPageBreak/>
        <w:t>C.</w:t>
      </w:r>
      <w:r>
        <w:rPr>
          <w:b/>
        </w:rPr>
        <w:tab/>
        <w:t>Interlocutory Appeals</w:t>
      </w:r>
      <w:bookmarkEnd w:id="72"/>
    </w:p>
    <w:p>
      <w:pPr>
        <w:pStyle w:val="BodyTextFirstIndent"/>
      </w:pPr>
      <w:r>
        <w:t>A trial court’s denial of official immunity and sovereign immunity is immediately appealable to the Court of Appeals.</w:t>
      </w:r>
      <w:r>
        <w:rPr>
          <w:rStyle w:val="EndnoteReference"/>
          <w:rFonts w:ascii="Century Schoolbook" w:hAnsi="Century Schoolbook"/>
        </w:rPr>
        <w:endnoteReference w:id="474"/>
      </w:r>
      <w:r>
        <w:t xml:space="preserve">  This procedure increases the potency of immunity defenses for governmental entities and officials as plaintiffs are forced to prevail on appea</w:t>
      </w:r>
      <w:bookmarkStart w:id="73" w:name="_Toc384900014"/>
      <w:r>
        <w:t>l before ever reaching a jury.</w:t>
      </w:r>
    </w:p>
    <w:p>
      <w:pPr>
        <w:pStyle w:val="BodyTextFirstIndent"/>
        <w:ind w:left="720" w:hanging="720"/>
        <w:jc w:val="left"/>
        <w:rPr>
          <w:b/>
        </w:rPr>
      </w:pPr>
      <w:r>
        <w:rPr>
          <w:b/>
        </w:rPr>
        <w:t>IV.</w:t>
      </w:r>
      <w:r>
        <w:rPr>
          <w:b/>
        </w:rPr>
        <w:tab/>
        <w:t>Conclusion</w:t>
      </w:r>
      <w:bookmarkEnd w:id="73"/>
    </w:p>
    <w:p>
      <w:pPr>
        <w:pStyle w:val="BodyTextFirstIndent"/>
      </w:pPr>
      <w:r>
        <w:t>Effective representation of governmental entities and officials requires a solid understanding of the immunity defenses to which they are entitled.  To this end, lawyers practicing in this area must make a point to review the latest decisions from Georgia’s appellate courts in order to keep up with this ever-changing area of law.</w:t>
      </w:r>
    </w:p>
    <w:p>
      <w:pPr>
        <w:pStyle w:val="BodyTextFirstIndent"/>
        <w:ind w:firstLine="0"/>
        <w:jc w:val="center"/>
        <w:rPr>
          <w:b/>
          <w:u w:val="single"/>
        </w:rPr>
      </w:pPr>
      <w:r>
        <w:rPr>
          <w:b/>
          <w:u w:val="single"/>
        </w:rPr>
        <w:t>End Notes</w:t>
      </w:r>
    </w:p>
    <w:p>
      <w:pPr>
        <w:pStyle w:val="BodyTextFirstIndent"/>
        <w:ind w:firstLine="0"/>
        <w:jc w:val="center"/>
        <w:rPr>
          <w:b/>
          <w:u w:val="single"/>
        </w:rPr>
      </w:pPr>
    </w:p>
    <w:p>
      <w:pPr>
        <w:jc w:val="both"/>
      </w:pPr>
    </w:p>
    <w:p>
      <w:pPr>
        <w:jc w:val="both"/>
        <w:sectPr>
          <w:footnotePr>
            <w:numRestart w:val="eachSect"/>
          </w:footnotePr>
          <w:endnotePr>
            <w:numFmt w:val="decimal"/>
            <w:numRestart w:val="eachSect"/>
          </w:endnotePr>
          <w:type w:val="continuous"/>
          <w:pgSz w:w="12240" w:h="15840"/>
          <w:pgMar w:top="1440" w:right="1440" w:bottom="1440" w:left="1440" w:header="720" w:footer="720" w:gutter="0"/>
          <w:cols w:num="2" w:space="720"/>
          <w:docGrid w:linePitch="360"/>
        </w:sectPr>
      </w:pPr>
    </w:p>
    <w:p>
      <w:pPr>
        <w:pStyle w:val="GDLA"/>
        <w:sectPr>
          <w:footnotePr>
            <w:numRestart w:val="eachSect"/>
          </w:footnotePr>
          <w:endnotePr>
            <w:numFmt w:val="decimal"/>
            <w:numRestart w:val="eachSect"/>
          </w:endnotePr>
          <w:type w:val="continuous"/>
          <w:pgSz w:w="12240" w:h="15840"/>
          <w:pgMar w:top="1440" w:right="1800" w:bottom="1440" w:left="1800" w:header="720" w:footer="720" w:gutter="0"/>
          <w:cols w:space="720"/>
          <w:docGrid w:linePitch="360"/>
        </w:sectPr>
      </w:pPr>
    </w:p>
    <w:p>
      <w:pPr>
        <w:pStyle w:val="Heading1"/>
      </w:pPr>
      <w:bookmarkStart w:id="74" w:name="_Toc387223613"/>
      <w:r>
        <w:lastRenderedPageBreak/>
        <w:t>Recent Case Law Developments in Georgia Workers’ Compensation Law</w:t>
      </w:r>
      <w:bookmarkEnd w:id="74"/>
    </w:p>
    <w:p>
      <w:pPr>
        <w:pStyle w:val="GDLA"/>
      </w:pPr>
    </w:p>
    <w:p>
      <w:pPr>
        <w:pStyle w:val="Author"/>
      </w:pPr>
      <w:r>
        <w:t>By: Stephen J. Graham</w:t>
      </w:r>
    </w:p>
    <w:p>
      <w:pPr>
        <w:pStyle w:val="Author"/>
      </w:pPr>
      <w:r>
        <w:t>Ryan V. Klee</w:t>
      </w:r>
    </w:p>
    <w:p>
      <w:pPr>
        <w:pStyle w:val="Author"/>
      </w:pPr>
      <w:r>
        <w:t>Drew, Eckl &amp; Farnham, LLP</w:t>
      </w:r>
    </w:p>
    <w:p>
      <w:pPr>
        <w:jc w:val="center"/>
        <w:rPr>
          <w:sz w:val="21"/>
          <w:szCs w:val="21"/>
        </w:rPr>
      </w:pPr>
    </w:p>
    <w:p>
      <w:pPr>
        <w:jc w:val="center"/>
        <w:rPr>
          <w:sz w:val="21"/>
          <w:szCs w:val="21"/>
        </w:rPr>
        <w:sectPr>
          <w:footnotePr>
            <w:numRestart w:val="eachSect"/>
          </w:footnotePr>
          <w:endnotePr>
            <w:numFmt w:val="decimal"/>
            <w:numRestart w:val="eachSect"/>
          </w:endnotePr>
          <w:pgSz w:w="12240" w:h="15840"/>
          <w:pgMar w:top="1440" w:right="1800" w:bottom="1440" w:left="1800" w:header="720" w:footer="720" w:gutter="0"/>
          <w:cols w:space="720"/>
          <w:docGrid w:linePitch="360"/>
        </w:sectPr>
      </w:pPr>
    </w:p>
    <w:p>
      <w:pPr>
        <w:pBdr>
          <w:top w:val="single" w:sz="4" w:space="1" w:color="auto"/>
          <w:left w:val="single" w:sz="4" w:space="4" w:color="auto"/>
          <w:bottom w:val="single" w:sz="4" w:space="1" w:color="auto"/>
          <w:right w:val="single" w:sz="4" w:space="4" w:color="auto"/>
        </w:pBdr>
        <w:shd w:val="clear" w:color="auto" w:fill="81BAC5"/>
        <w:jc w:val="both"/>
      </w:pPr>
      <w:r>
        <w:rPr>
          <w:noProof/>
        </w:rPr>
        <w:pict>
          <v:shape id="Picture 24" o:spid="_x0000_s1042" type="#_x0000_t75" alt="thumbnail" style="position:absolute;left:0;text-align:left;margin-left:-1.9pt;margin-top:134.7pt;width:84.25pt;height:110.9pt;z-index:251672064;visibility:visible;mso-position-horizontal-relative:margin;mso-position-vertical-relative:margin" stroked="t" strokeweight="1.5pt">
            <v:imagedata r:id="rId19" o:title=""/>
            <w10:wrap type="square" anchorx="margin" anchory="margin"/>
          </v:shape>
        </w:pict>
      </w:r>
      <w:r>
        <w:rPr>
          <w:b/>
        </w:rPr>
        <w:t xml:space="preserve">Ryan V. Klee </w:t>
      </w:r>
      <w:r>
        <w:t>is a partner at Drew, Eckl &amp; Farnham, LLP.  He guides risk managers and claims adjusters in developing plans to resolve and close workers' compensation claims quickly and efficiently.  Mr. Klee serves companies throughout Georgia and has particular experience with the trucking industry, health care service providers, manufacturers, retailers, employee leasing companies, and the hospitality industry.</w:t>
      </w:r>
    </w:p>
    <w:p>
      <w:pPr>
        <w:pBdr>
          <w:top w:val="single" w:sz="4" w:space="1" w:color="auto"/>
          <w:left w:val="single" w:sz="4" w:space="4" w:color="auto"/>
          <w:bottom w:val="single" w:sz="4" w:space="1" w:color="auto"/>
          <w:right w:val="single" w:sz="4" w:space="4" w:color="auto"/>
        </w:pBdr>
        <w:shd w:val="clear" w:color="auto" w:fill="81BAC5"/>
        <w:jc w:val="both"/>
      </w:pPr>
      <w:r>
        <w:rPr>
          <w:noProof/>
        </w:rPr>
        <w:pict>
          <v:shape id="Picture 23" o:spid="_x0000_s1043" type="#_x0000_t75" alt="thumbnail" style="position:absolute;left:0;text-align:left;margin-left:-1.9pt;margin-top:372.9pt;width:84.25pt;height:110.9pt;z-index:251671040;visibility:visible;mso-position-horizontal-relative:margin;mso-position-vertical-relative:margin" stroked="t" strokeweight="1.5pt">
            <v:imagedata r:id="rId37" o:title=""/>
            <w10:wrap type="square" anchorx="margin" anchory="margin"/>
          </v:shape>
        </w:pict>
      </w:r>
      <w:r>
        <w:rPr>
          <w:b/>
        </w:rPr>
        <w:t xml:space="preserve">Stephen Graham </w:t>
      </w:r>
      <w:r>
        <w:t>is a partner at Drew, Eckl &amp; Farnham, LLP</w:t>
      </w:r>
      <w:r>
        <w:rPr>
          <w:rFonts w:cs="Arial"/>
        </w:rPr>
        <w:t>.</w:t>
      </w:r>
      <w:r>
        <w:t xml:space="preserve"> He has represented employers, insurers and third-party administrators in the defense of workers' compensation claims throughout Georgia since 2006.  He works to resolve claims quickly and efficiently, counseling clients from the early stages of claim investigation through the appeals process.  Graham has particular experience litigating cases for clients in the retail, warehouse, food service, aerospace and manufacturing industries and has a strong background dealing with the unique challenges facing professional employer organizations.</w:t>
      </w:r>
    </w:p>
    <w:p>
      <w:pPr>
        <w:ind w:firstLine="720"/>
        <w:jc w:val="both"/>
        <w:rPr>
          <w:rFonts w:ascii="Century" w:hAnsi="Century"/>
        </w:rPr>
      </w:pPr>
      <w:r>
        <w:rPr>
          <w:rFonts w:ascii="Century" w:hAnsi="Century"/>
        </w:rPr>
        <w:lastRenderedPageBreak/>
        <w:t xml:space="preserve">The Georgia Court of Appeals recently issued several significant opinions relevant to workers’ compensation claims.  Below is a discussion of cases dealing with two important categories of workers’ compensation issues addressed in those decisions: 1) the subrogation rights of Employers and Insurers; and 2) claims involving employees injured while away from the workplace.  </w:t>
      </w:r>
    </w:p>
    <w:p>
      <w:pPr>
        <w:numPr>
          <w:ilvl w:val="0"/>
          <w:numId w:val="35"/>
        </w:numPr>
        <w:spacing w:after="0"/>
        <w:rPr>
          <w:rFonts w:ascii="Century" w:hAnsi="Century"/>
          <w:b/>
        </w:rPr>
      </w:pPr>
      <w:r>
        <w:rPr>
          <w:rFonts w:ascii="Century" w:hAnsi="Century"/>
          <w:b/>
        </w:rPr>
        <w:t>Workers’ Compensation Subrogation Update</w:t>
      </w:r>
    </w:p>
    <w:p>
      <w:pPr>
        <w:spacing w:after="0"/>
        <w:ind w:left="720"/>
        <w:rPr>
          <w:rFonts w:ascii="Century" w:hAnsi="Century"/>
          <w:b/>
        </w:rPr>
      </w:pPr>
    </w:p>
    <w:p>
      <w:pPr>
        <w:ind w:firstLine="720"/>
        <w:jc w:val="both"/>
        <w:rPr>
          <w:rFonts w:ascii="Century" w:hAnsi="Century"/>
        </w:rPr>
      </w:pPr>
      <w:r>
        <w:rPr>
          <w:rFonts w:ascii="Century" w:hAnsi="Century"/>
        </w:rPr>
        <w:t>The subrogation provision applicable to Georgia workers’ compensation claims is found at O.C.G.A. § 34-9-11.1 and provides Employers and Insurers with a subrogation lien for workers’ compensation benefits paid to an employee who is injured by another party.</w:t>
      </w:r>
      <w:r>
        <w:rPr>
          <w:rStyle w:val="EndnoteReference"/>
          <w:rFonts w:ascii="Century" w:hAnsi="Century"/>
        </w:rPr>
        <w:endnoteReference w:id="475"/>
      </w:r>
      <w:r>
        <w:rPr>
          <w:rFonts w:ascii="Century" w:hAnsi="Century"/>
        </w:rPr>
        <w:t xml:space="preserve">  To recover on a subrogation lien, there are three essential elements for Employers and Insurers to meet. First, the workers' compensation benefits must have been paid fully or partially.</w:t>
      </w:r>
      <w:r>
        <w:rPr>
          <w:rStyle w:val="EndnoteReference"/>
          <w:rFonts w:ascii="Century" w:hAnsi="Century"/>
        </w:rPr>
        <w:endnoteReference w:id="476"/>
      </w:r>
      <w:r>
        <w:rPr>
          <w:rFonts w:ascii="Century" w:hAnsi="Century"/>
        </w:rPr>
        <w:t xml:space="preserve"> Second, the benefits must have been paid under “circumstances creating a legal liability against some person other than the employer.”</w:t>
      </w:r>
      <w:r>
        <w:rPr>
          <w:rStyle w:val="EndnoteReference"/>
          <w:rFonts w:ascii="Century" w:hAnsi="Century"/>
        </w:rPr>
        <w:endnoteReference w:id="477"/>
      </w:r>
      <w:r>
        <w:rPr>
          <w:rFonts w:ascii="Century" w:hAnsi="Century"/>
        </w:rPr>
        <w:t xml:space="preserve">  Third, the injured employee must be fully and completely compensated, taking into consideration both the benefits received and the amount of recovery in the third-party claim for all economic and noneconomic losses incurred as a result of the injury.</w:t>
      </w:r>
      <w:r>
        <w:rPr>
          <w:rStyle w:val="EndnoteReference"/>
          <w:rFonts w:ascii="Century" w:hAnsi="Century"/>
        </w:rPr>
        <w:endnoteReference w:id="478"/>
      </w:r>
    </w:p>
    <w:p>
      <w:pPr>
        <w:ind w:firstLine="720"/>
        <w:jc w:val="both"/>
        <w:rPr>
          <w:rFonts w:ascii="Century" w:hAnsi="Century"/>
        </w:rPr>
      </w:pPr>
      <w:r>
        <w:rPr>
          <w:rFonts w:ascii="Century" w:hAnsi="Century"/>
        </w:rPr>
        <w:lastRenderedPageBreak/>
        <w:t xml:space="preserve">Last year, the Georgia Court of Appeals issued two favorable opinions for Employers and Insurers addressing their subrogation rights.  Specifically, these cases dealt with the application of the subrogation statute to issues dealing with: 1) the timeliness of an Employer/Insurer’s motion to intervene in an underlying third-party claim; and 2) the “fully and completely compensated” requirement for an Employer/Insurer to recover on its subrogation lien as it relates to attempts of an employee and third-party tort defendant to waive an Employer/Insurer’s subrogation rights through settlement.  </w:t>
      </w:r>
    </w:p>
    <w:p>
      <w:pPr>
        <w:jc w:val="center"/>
        <w:rPr>
          <w:rFonts w:ascii="Century" w:hAnsi="Century"/>
          <w:b/>
        </w:rPr>
      </w:pPr>
      <w:r>
        <w:rPr>
          <w:rFonts w:ascii="Century" w:hAnsi="Century"/>
          <w:b/>
        </w:rPr>
        <w:t>A.</w:t>
      </w:r>
      <w:r>
        <w:rPr>
          <w:rFonts w:ascii="Century" w:hAnsi="Century"/>
          <w:b/>
        </w:rPr>
        <w:tab/>
        <w:t>Timeliness of a Motion to Intervene</w:t>
      </w:r>
    </w:p>
    <w:p>
      <w:pPr>
        <w:ind w:firstLine="720"/>
        <w:jc w:val="both"/>
        <w:rPr>
          <w:rFonts w:ascii="Century" w:hAnsi="Century"/>
        </w:rPr>
      </w:pPr>
      <w:r>
        <w:rPr>
          <w:rFonts w:ascii="Century" w:hAnsi="Century"/>
        </w:rPr>
        <w:t>An injured employee has two years from the date of injury to file a personal injury lawsuit in Georgia.</w:t>
      </w:r>
      <w:r>
        <w:rPr>
          <w:rStyle w:val="EndnoteReference"/>
          <w:rFonts w:ascii="Century" w:hAnsi="Century"/>
        </w:rPr>
        <w:endnoteReference w:id="479"/>
      </w:r>
      <w:r>
        <w:rPr>
          <w:rFonts w:ascii="Century" w:hAnsi="Century"/>
        </w:rPr>
        <w:t xml:space="preserve">  While the subrogation provision in O.C.G.A. § 34-9-11.1(c) tracks the personal injury statute, it divides the filing time into two periods. During the first year after the injury, the cause of action belongs solely to the employee.</w:t>
      </w:r>
      <w:r>
        <w:rPr>
          <w:rStyle w:val="EndnoteReference"/>
          <w:rFonts w:ascii="Century" w:hAnsi="Century"/>
        </w:rPr>
        <w:endnoteReference w:id="480"/>
      </w:r>
      <w:r>
        <w:rPr>
          <w:rFonts w:ascii="Century" w:hAnsi="Century"/>
        </w:rPr>
        <w:t xml:space="preserve">  If the employee does not file suit in the first year, either side may file in the second.</w:t>
      </w:r>
      <w:r>
        <w:rPr>
          <w:rStyle w:val="EndnoteReference"/>
          <w:rFonts w:ascii="Century" w:hAnsi="Century"/>
        </w:rPr>
        <w:endnoteReference w:id="481"/>
      </w:r>
      <w:r>
        <w:rPr>
          <w:rFonts w:ascii="Century" w:hAnsi="Century"/>
        </w:rPr>
        <w:t xml:space="preserve">  Accordingly, if the employee files suit, the employer/insurer has a right to intervene in the tort action. </w:t>
      </w:r>
    </w:p>
    <w:p>
      <w:pPr>
        <w:ind w:firstLine="720"/>
        <w:jc w:val="both"/>
        <w:rPr>
          <w:rFonts w:ascii="Century" w:hAnsi="Century"/>
        </w:rPr>
      </w:pPr>
      <w:r>
        <w:rPr>
          <w:rFonts w:ascii="Century" w:hAnsi="Century"/>
        </w:rPr>
        <w:t xml:space="preserve">In </w:t>
      </w:r>
      <w:r>
        <w:rPr>
          <w:rFonts w:ascii="Century" w:hAnsi="Century"/>
          <w:i/>
        </w:rPr>
        <w:t>Kroger v. Taylor</w:t>
      </w:r>
      <w:r>
        <w:rPr>
          <w:rFonts w:ascii="Century" w:hAnsi="Century"/>
        </w:rPr>
        <w:t>, the Georgia Court of Appeals addressed the timeliness of an Employer/Insurer’s motion to intervene in an employee’s personal injury claim as well as the overall rights of an Employer and Insurer to do so.</w:t>
      </w:r>
      <w:r>
        <w:rPr>
          <w:rStyle w:val="EndnoteReference"/>
          <w:rFonts w:ascii="Century" w:hAnsi="Century"/>
        </w:rPr>
        <w:endnoteReference w:id="482"/>
      </w:r>
      <w:r>
        <w:rPr>
          <w:rFonts w:ascii="Century" w:hAnsi="Century"/>
        </w:rPr>
        <w:t xml:space="preserve">  In </w:t>
      </w:r>
      <w:r>
        <w:rPr>
          <w:rFonts w:ascii="Century" w:hAnsi="Century"/>
          <w:i/>
        </w:rPr>
        <w:t>Taylor</w:t>
      </w:r>
      <w:r>
        <w:rPr>
          <w:rFonts w:ascii="Century" w:hAnsi="Century"/>
        </w:rPr>
        <w:t>, a Kroger employee, Betty Taylor, was injured when a pallet jack struck her on February 19, 2009.</w:t>
      </w:r>
      <w:r>
        <w:rPr>
          <w:rStyle w:val="EndnoteReference"/>
          <w:rFonts w:ascii="Century" w:hAnsi="Century"/>
        </w:rPr>
        <w:endnoteReference w:id="483"/>
      </w:r>
      <w:r>
        <w:rPr>
          <w:rFonts w:ascii="Century" w:hAnsi="Century"/>
        </w:rPr>
        <w:t xml:space="preserve">  As a result of her injuries, Kroger, a qualified self-insurer under the Workers' Compensation Act, paid </w:t>
      </w:r>
      <w:r>
        <w:rPr>
          <w:rFonts w:ascii="Century" w:hAnsi="Century"/>
        </w:rPr>
        <w:lastRenderedPageBreak/>
        <w:t>the employee more than $26,000.00 in workers’ compensation benefits.</w:t>
      </w:r>
      <w:r>
        <w:rPr>
          <w:rStyle w:val="EndnoteReference"/>
          <w:rFonts w:ascii="Century" w:hAnsi="Century"/>
        </w:rPr>
        <w:endnoteReference w:id="484"/>
      </w:r>
      <w:r>
        <w:rPr>
          <w:rFonts w:ascii="Century" w:hAnsi="Century"/>
        </w:rPr>
        <w:t xml:space="preserve">  </w:t>
      </w:r>
    </w:p>
    <w:p>
      <w:pPr>
        <w:ind w:firstLine="720"/>
        <w:jc w:val="both"/>
        <w:rPr>
          <w:rFonts w:ascii="Century" w:hAnsi="Century"/>
        </w:rPr>
      </w:pPr>
      <w:r>
        <w:rPr>
          <w:rFonts w:ascii="Century" w:hAnsi="Century"/>
        </w:rPr>
        <w:t>On February 15, 2011, four days before the expiration of the two year personal injury statute of limitations, Taylor sued various potential third-party tortfeasors alleging that an employee of one of those entities negligently caused her injuries by running the pallet jack into her.</w:t>
      </w:r>
      <w:r>
        <w:rPr>
          <w:rStyle w:val="EndnoteReference"/>
          <w:rFonts w:ascii="Century" w:hAnsi="Century"/>
        </w:rPr>
        <w:endnoteReference w:id="485"/>
      </w:r>
      <w:r>
        <w:rPr>
          <w:rFonts w:ascii="Century" w:hAnsi="Century"/>
        </w:rPr>
        <w:t xml:space="preserve">  Less than three months after Taylor filed her civil action against those entities, Kroger filed a motion to intervene in Taylor’s personal injury suit to protect its subrogation rights.</w:t>
      </w:r>
      <w:r>
        <w:rPr>
          <w:rStyle w:val="EndnoteReference"/>
          <w:rFonts w:ascii="Century" w:hAnsi="Century"/>
        </w:rPr>
        <w:endnoteReference w:id="486"/>
      </w:r>
      <w:r>
        <w:rPr>
          <w:rFonts w:ascii="Century" w:hAnsi="Century"/>
        </w:rPr>
        <w:t xml:space="preserve">  </w:t>
      </w:r>
    </w:p>
    <w:p>
      <w:pPr>
        <w:ind w:firstLine="720"/>
        <w:jc w:val="both"/>
        <w:rPr>
          <w:rFonts w:ascii="Century" w:hAnsi="Century"/>
        </w:rPr>
      </w:pPr>
      <w:r>
        <w:rPr>
          <w:rFonts w:ascii="Century" w:hAnsi="Century"/>
        </w:rPr>
        <w:t>The trial court subsequently denied Kroger’s motion to intervene on the grounds that it was untimely filed under O.C.G.A. § 34-9-11.1(c) as the applicable two-year statute of limitations expired before Kroger filed its motion to intervene in the third-party suit.</w:t>
      </w:r>
      <w:r>
        <w:rPr>
          <w:rStyle w:val="EndnoteReference"/>
          <w:rFonts w:ascii="Century" w:hAnsi="Century"/>
        </w:rPr>
        <w:endnoteReference w:id="487"/>
      </w:r>
      <w:r>
        <w:rPr>
          <w:rFonts w:ascii="Century" w:hAnsi="Century"/>
        </w:rPr>
        <w:t xml:space="preserve"> </w:t>
      </w:r>
    </w:p>
    <w:p>
      <w:pPr>
        <w:ind w:firstLine="720"/>
        <w:jc w:val="both"/>
        <w:rPr>
          <w:rFonts w:ascii="Century" w:hAnsi="Century"/>
        </w:rPr>
      </w:pPr>
      <w:r>
        <w:rPr>
          <w:rFonts w:ascii="Century" w:hAnsi="Century"/>
        </w:rPr>
        <w:t>On appeal filed by Kroger, the Georgia Court of Appeals held that the trial court did not have the discretion to deny the motion to intervene under O.C.G.A. § 34-9-11.1(c) because Kroger fully complied with all of the statutory prerequisites for timely intervention.</w:t>
      </w:r>
      <w:r>
        <w:rPr>
          <w:rStyle w:val="EndnoteReference"/>
          <w:rFonts w:ascii="Century" w:hAnsi="Century"/>
        </w:rPr>
        <w:endnoteReference w:id="488"/>
      </w:r>
      <w:r>
        <w:rPr>
          <w:rFonts w:ascii="Century" w:hAnsi="Century"/>
        </w:rPr>
        <w:t xml:space="preserve">  The plain language of O.C.G.A. § 34-9-11.1 is controlling in that the statute guarantees an Employer or its Insurer the right to intervene once it has met the statutory prerequisites for intervention.</w:t>
      </w:r>
      <w:r>
        <w:rPr>
          <w:rStyle w:val="EndnoteReference"/>
          <w:rFonts w:ascii="Century" w:hAnsi="Century"/>
        </w:rPr>
        <w:endnoteReference w:id="489"/>
      </w:r>
      <w:r>
        <w:rPr>
          <w:rFonts w:ascii="Century" w:hAnsi="Century"/>
        </w:rPr>
        <w:t xml:space="preserve">  Specifically, the court found that the plaintiff brought her tort action within the applicable statute of limitations for her personal injury claim.</w:t>
      </w:r>
      <w:r>
        <w:rPr>
          <w:rStyle w:val="EndnoteReference"/>
          <w:rFonts w:ascii="Century" w:hAnsi="Century"/>
        </w:rPr>
        <w:endnoteReference w:id="490"/>
      </w:r>
      <w:r>
        <w:rPr>
          <w:rFonts w:ascii="Century" w:hAnsi="Century"/>
        </w:rPr>
        <w:t xml:space="preserve">  Georgia law, as found by the court, imposes no additional requirement that once the suit is timely filed, the subsequent motion to intervene must be filed or granted within the underlying statute of limitations.</w:t>
      </w:r>
      <w:r>
        <w:rPr>
          <w:rStyle w:val="EndnoteReference"/>
          <w:rFonts w:ascii="Century" w:hAnsi="Century"/>
        </w:rPr>
        <w:endnoteReference w:id="491"/>
      </w:r>
      <w:r>
        <w:rPr>
          <w:rFonts w:ascii="Century" w:hAnsi="Century"/>
        </w:rPr>
        <w:t xml:space="preserve">   Moreover, the court correctly found that the plaintiff filed </w:t>
      </w:r>
      <w:r>
        <w:rPr>
          <w:rFonts w:ascii="Century" w:hAnsi="Century"/>
        </w:rPr>
        <w:lastRenderedPageBreak/>
        <w:t>her action “after one year from the date" of her injury such that Kroger had an affirmative “right to intervene.”</w:t>
      </w:r>
      <w:r>
        <w:rPr>
          <w:rStyle w:val="EndnoteReference"/>
          <w:rFonts w:ascii="Century" w:hAnsi="Century"/>
        </w:rPr>
        <w:endnoteReference w:id="492"/>
      </w:r>
    </w:p>
    <w:p>
      <w:pPr>
        <w:ind w:firstLine="720"/>
        <w:jc w:val="both"/>
        <w:rPr>
          <w:rFonts w:ascii="Century" w:hAnsi="Century"/>
        </w:rPr>
      </w:pPr>
      <w:r>
        <w:rPr>
          <w:rFonts w:ascii="Century" w:hAnsi="Century"/>
        </w:rPr>
        <w:t>The court also found Kroger was entitled to intervene pursuant to O.C.G.A. § 9-11-24 (a)(2) as it claimed: 1) an interest in the property or transaction that was the subject of the suit; 2) its subrogation rights were not protected by the existing parties to Taylor's suit; and 3) the trial court's denial of Kroger's motion to intervene disposed of the only legal remedy for their subrogation claim.</w:t>
      </w:r>
      <w:r>
        <w:rPr>
          <w:rStyle w:val="EndnoteReference"/>
          <w:rFonts w:ascii="Century" w:hAnsi="Century"/>
        </w:rPr>
        <w:endnoteReference w:id="493"/>
      </w:r>
    </w:p>
    <w:p>
      <w:pPr>
        <w:ind w:firstLine="720"/>
        <w:jc w:val="both"/>
        <w:rPr>
          <w:rFonts w:ascii="Century" w:hAnsi="Century"/>
        </w:rPr>
      </w:pPr>
      <w:r>
        <w:rPr>
          <w:rFonts w:ascii="Century" w:hAnsi="Century"/>
        </w:rPr>
        <w:t xml:space="preserve">The existing defendants sought to deny the motion to intervene citing </w:t>
      </w:r>
      <w:r>
        <w:rPr>
          <w:rFonts w:ascii="Century" w:hAnsi="Century"/>
          <w:i/>
        </w:rPr>
        <w:t>Newsome v. Dept. of Administrative Svcs</w:t>
      </w:r>
      <w:r>
        <w:rPr>
          <w:rFonts w:ascii="Century" w:hAnsi="Century"/>
        </w:rPr>
        <w:t>., in which the Georgia Court of Appeals held an employer's subrogation claim was time-barred by O.C.G.A. § 34-9-11.1 (c).</w:t>
      </w:r>
      <w:r>
        <w:rPr>
          <w:rStyle w:val="EndnoteReference"/>
          <w:rFonts w:ascii="Century" w:hAnsi="Century"/>
        </w:rPr>
        <w:endnoteReference w:id="494"/>
      </w:r>
      <w:r>
        <w:rPr>
          <w:rFonts w:ascii="Century" w:hAnsi="Century"/>
        </w:rPr>
        <w:t xml:space="preserve">  In that case, however, the court correctly found the employee herself had never brought any action concerning her personal injury claim, with the result that the employer's subrogation claim, brought outside of the applicable two-year statute of limitations, was itself time-barred.</w:t>
      </w:r>
      <w:r>
        <w:rPr>
          <w:rStyle w:val="EndnoteReference"/>
          <w:rFonts w:ascii="Century" w:hAnsi="Century"/>
        </w:rPr>
        <w:endnoteReference w:id="495"/>
      </w:r>
      <w:r>
        <w:rPr>
          <w:rFonts w:ascii="Century" w:hAnsi="Century"/>
        </w:rPr>
        <w:t xml:space="preserve">  Here, by contrast, Taylor made a timely third-party tort claim such that Kroger’s intervention on behalf of its subrogation claim was a matter of  right.</w:t>
      </w:r>
      <w:r>
        <w:rPr>
          <w:rStyle w:val="EndnoteReference"/>
          <w:rFonts w:ascii="Century" w:hAnsi="Century"/>
        </w:rPr>
        <w:endnoteReference w:id="496"/>
      </w:r>
      <w:r>
        <w:rPr>
          <w:rFonts w:ascii="Century" w:hAnsi="Century"/>
        </w:rPr>
        <w:t xml:space="preserve">  </w:t>
      </w:r>
    </w:p>
    <w:p>
      <w:pPr>
        <w:ind w:firstLine="720"/>
        <w:jc w:val="both"/>
        <w:rPr>
          <w:rFonts w:ascii="Century" w:hAnsi="Century"/>
        </w:rPr>
      </w:pPr>
      <w:r>
        <w:rPr>
          <w:rFonts w:ascii="Century" w:hAnsi="Century"/>
        </w:rPr>
        <w:t xml:space="preserve">Ultimately, the Georgia Court of Appeals held there is no requirement that a motion by an Employer/Insurer to intervene be filed within the two year limitations period.  From a policy standpoint, this ruling recognizes the common situation in subrogation claims in which a Claimant waits to file a third-party tort claim near the end of the expiration of the two-year statute of limitations, and the Employer/Insurer is unaware of any third-party claim </w:t>
      </w:r>
      <w:r>
        <w:rPr>
          <w:rFonts w:ascii="Century" w:hAnsi="Century"/>
        </w:rPr>
        <w:lastRenderedPageBreak/>
        <w:t xml:space="preserve">until </w:t>
      </w:r>
      <w:r>
        <w:rPr>
          <w:rFonts w:ascii="Century" w:hAnsi="Century"/>
          <w:u w:val="single"/>
        </w:rPr>
        <w:t>after</w:t>
      </w:r>
      <w:r>
        <w:rPr>
          <w:rFonts w:ascii="Century" w:hAnsi="Century"/>
        </w:rPr>
        <w:t xml:space="preserve"> the statute of limitations expires. Overall, </w:t>
      </w:r>
      <w:r>
        <w:rPr>
          <w:rFonts w:ascii="Century" w:hAnsi="Century"/>
          <w:u w:val="single"/>
        </w:rPr>
        <w:t>Taylor</w:t>
      </w:r>
      <w:r>
        <w:rPr>
          <w:rFonts w:ascii="Century" w:hAnsi="Century"/>
        </w:rPr>
        <w:t xml:space="preserve"> confirmed that O.C.G.A. § 34-9-11.1(b) confers on an Employer/Insurer an unconditional right to intervene in an employee’s personal injury action against another party. However, if an employee fails to timely file a third-party tort claim, then an Employer/Insurer could ultimately lose their right to protect any potential subrogation lien. </w:t>
      </w:r>
    </w:p>
    <w:p>
      <w:pPr>
        <w:jc w:val="center"/>
        <w:rPr>
          <w:rFonts w:ascii="Century" w:hAnsi="Century"/>
          <w:b/>
        </w:rPr>
      </w:pPr>
      <w:r>
        <w:rPr>
          <w:rFonts w:ascii="Century" w:hAnsi="Century"/>
          <w:b/>
        </w:rPr>
        <w:t>B.</w:t>
      </w:r>
      <w:r>
        <w:rPr>
          <w:rFonts w:ascii="Century" w:hAnsi="Century"/>
          <w:b/>
        </w:rPr>
        <w:tab/>
        <w:t>Rights of an Employer/Insurer to Prove the “Fully and Completely Compensated” Requirement.</w:t>
      </w:r>
    </w:p>
    <w:p>
      <w:pPr>
        <w:ind w:firstLine="720"/>
        <w:jc w:val="both"/>
        <w:rPr>
          <w:rFonts w:ascii="Century" w:hAnsi="Century"/>
        </w:rPr>
      </w:pPr>
      <w:r>
        <w:rPr>
          <w:rFonts w:ascii="Century" w:hAnsi="Century"/>
        </w:rPr>
        <w:t xml:space="preserve">The Georgia Court of Appeals also ruled on a significant case involving the attempts of parties to extinguish a timely filed subrogation claim by an Employer/Insurer.   In </w:t>
      </w:r>
      <w:r>
        <w:rPr>
          <w:rFonts w:ascii="Century" w:hAnsi="Century"/>
          <w:i/>
        </w:rPr>
        <w:t>SunTrust Bank v. Travelers Prop. Cas. Co. of Am</w:t>
      </w:r>
      <w:r>
        <w:rPr>
          <w:rFonts w:ascii="Century" w:hAnsi="Century"/>
        </w:rPr>
        <w:t>., SunTrust Bank ("SunTrust"), as the administrator of the estate of Michael Patrick, appealed the trial court's order granting a motion to enforce a subrogation lien that was filed by Travelers Property Casualty Company of America ("Travelers"), the workers' compensation insurer for Patrick's employer, Unique Industry Corporation.</w:t>
      </w:r>
      <w:r>
        <w:rPr>
          <w:rStyle w:val="EndnoteReference"/>
          <w:rFonts w:ascii="Century" w:hAnsi="Century"/>
        </w:rPr>
        <w:endnoteReference w:id="497"/>
      </w:r>
      <w:r>
        <w:rPr>
          <w:rFonts w:ascii="Century" w:hAnsi="Century"/>
        </w:rPr>
        <w:t xml:space="preserve">  </w:t>
      </w:r>
    </w:p>
    <w:p>
      <w:pPr>
        <w:ind w:firstLine="720"/>
        <w:jc w:val="both"/>
        <w:rPr>
          <w:rFonts w:ascii="Century" w:hAnsi="Century"/>
        </w:rPr>
      </w:pPr>
      <w:r>
        <w:rPr>
          <w:rFonts w:ascii="Century" w:hAnsi="Century"/>
        </w:rPr>
        <w:t>As to the underlying personal injury claim, on March 27, 2007, Patrick was driving a truck when a tractor-trailer driven by Larry Granger struck his truck from behind and caused Patrick to suffer injuries.</w:t>
      </w:r>
      <w:r>
        <w:rPr>
          <w:rStyle w:val="EndnoteReference"/>
          <w:rFonts w:ascii="Century" w:hAnsi="Century"/>
        </w:rPr>
        <w:endnoteReference w:id="498"/>
      </w:r>
      <w:r>
        <w:rPr>
          <w:rFonts w:ascii="Century" w:hAnsi="Century"/>
        </w:rPr>
        <w:t xml:space="preserve"> At the time of the accident, Granger was working for Associated Grocers of the South, Inc. (“Associated Grocers”), while Patrick was working for Unique Industry Corporation (“Unique Industry”).</w:t>
      </w:r>
      <w:r>
        <w:rPr>
          <w:rStyle w:val="EndnoteReference"/>
          <w:rFonts w:ascii="Century" w:hAnsi="Century"/>
        </w:rPr>
        <w:endnoteReference w:id="499"/>
      </w:r>
      <w:r>
        <w:rPr>
          <w:rFonts w:ascii="Century" w:hAnsi="Century"/>
        </w:rPr>
        <w:t xml:space="preserve"> As a result of Patrick's injuries, Unique Industry's workers' compensation insurance carrier, Travelers, paid him over $800,000 in workers’ compensation benefits, </w:t>
      </w:r>
      <w:r>
        <w:rPr>
          <w:rFonts w:ascii="Century" w:hAnsi="Century"/>
        </w:rPr>
        <w:lastRenderedPageBreak/>
        <w:t>including both lost wages and medical expenses.</w:t>
      </w:r>
      <w:r>
        <w:rPr>
          <w:rStyle w:val="EndnoteReference"/>
          <w:rFonts w:ascii="Century" w:hAnsi="Century"/>
        </w:rPr>
        <w:endnoteReference w:id="500"/>
      </w:r>
    </w:p>
    <w:p>
      <w:pPr>
        <w:jc w:val="both"/>
        <w:rPr>
          <w:rFonts w:ascii="Century" w:hAnsi="Century"/>
        </w:rPr>
      </w:pPr>
    </w:p>
    <w:p>
      <w:pPr>
        <w:ind w:firstLine="720"/>
        <w:jc w:val="both"/>
        <w:rPr>
          <w:rFonts w:ascii="Century" w:hAnsi="Century"/>
        </w:rPr>
      </w:pPr>
      <w:r>
        <w:rPr>
          <w:rFonts w:ascii="Century" w:hAnsi="Century"/>
        </w:rPr>
        <w:t>In November 2008, Patrick filed a tort claim against Granger and Associated Grocers.</w:t>
      </w:r>
      <w:r>
        <w:rPr>
          <w:rStyle w:val="EndnoteReference"/>
          <w:rFonts w:ascii="Century" w:hAnsi="Century"/>
        </w:rPr>
        <w:endnoteReference w:id="501"/>
      </w:r>
      <w:r>
        <w:rPr>
          <w:rFonts w:ascii="Century" w:hAnsi="Century"/>
        </w:rPr>
        <w:t xml:space="preserve">  Subsequently, Travelers filed a motion to intervene in the suit to protect its workers' compensation subrogation rights for benefits paid on the workers’ compensation claim under O.C.G.A. § 34-9-11.1 (b), which the trial court granted.</w:t>
      </w:r>
      <w:r>
        <w:rPr>
          <w:rStyle w:val="EndnoteReference"/>
          <w:rFonts w:ascii="Century" w:hAnsi="Century"/>
        </w:rPr>
        <w:endnoteReference w:id="502"/>
      </w:r>
    </w:p>
    <w:p>
      <w:pPr>
        <w:ind w:firstLine="720"/>
        <w:jc w:val="both"/>
        <w:rPr>
          <w:rFonts w:ascii="Century" w:hAnsi="Century"/>
        </w:rPr>
      </w:pPr>
      <w:r>
        <w:rPr>
          <w:rFonts w:ascii="Century" w:hAnsi="Century"/>
        </w:rPr>
        <w:t>By February 3, 2010, an employee of the law firm representing Associated Grocers notified Travelers' counsel that a settlement mediation had been scheduled in an effort to settle Patrick's personal injury suit.</w:t>
      </w:r>
      <w:r>
        <w:rPr>
          <w:rStyle w:val="EndnoteReference"/>
          <w:rFonts w:ascii="Century" w:hAnsi="Century"/>
        </w:rPr>
        <w:endnoteReference w:id="503"/>
      </w:r>
      <w:r>
        <w:rPr>
          <w:rFonts w:ascii="Century" w:hAnsi="Century"/>
        </w:rPr>
        <w:t xml:space="preserve">  However, on February 8, 2010, an attorney for the law firm representing Associated Grocers informed Travelers' counsel that Associated Grocers and Patrick would not allow Travelers to attend or participate in the mediation.</w:t>
      </w:r>
      <w:r>
        <w:rPr>
          <w:rStyle w:val="EndnoteReference"/>
          <w:rFonts w:ascii="Century" w:hAnsi="Century"/>
        </w:rPr>
        <w:endnoteReference w:id="504"/>
      </w:r>
      <w:r>
        <w:rPr>
          <w:rFonts w:ascii="Century" w:hAnsi="Century"/>
        </w:rPr>
        <w:t xml:space="preserve"> </w:t>
      </w:r>
    </w:p>
    <w:p>
      <w:pPr>
        <w:ind w:firstLine="720"/>
        <w:jc w:val="both"/>
        <w:rPr>
          <w:rFonts w:ascii="Century" w:hAnsi="Century"/>
        </w:rPr>
      </w:pPr>
      <w:r>
        <w:rPr>
          <w:rFonts w:ascii="Century" w:hAnsi="Century"/>
        </w:rPr>
        <w:t>Travelers’ attorney subsequently insisted that as a party to the suit pursuant to its intervention, a representative of Travelers should be allowed to participate in the mediation.</w:t>
      </w:r>
      <w:r>
        <w:rPr>
          <w:rStyle w:val="EndnoteReference"/>
          <w:rFonts w:ascii="Century" w:hAnsi="Century"/>
        </w:rPr>
        <w:endnoteReference w:id="505"/>
      </w:r>
      <w:r>
        <w:rPr>
          <w:rFonts w:ascii="Century" w:hAnsi="Century"/>
        </w:rPr>
        <w:t xml:space="preserve">  Later that day, Associated Grocers’ attorney told Travelers' attorney the mediation session with Patrick had been cancelled and that Associated Grocers would admit their liability for Patrick's injuries at trial.</w:t>
      </w:r>
      <w:r>
        <w:rPr>
          <w:rStyle w:val="EndnoteReference"/>
          <w:rFonts w:ascii="Century" w:hAnsi="Century"/>
        </w:rPr>
        <w:endnoteReference w:id="506"/>
      </w:r>
    </w:p>
    <w:p>
      <w:pPr>
        <w:ind w:firstLine="720"/>
        <w:jc w:val="both"/>
        <w:rPr>
          <w:rFonts w:ascii="Century" w:hAnsi="Century"/>
        </w:rPr>
      </w:pPr>
      <w:r>
        <w:rPr>
          <w:rFonts w:ascii="Century" w:hAnsi="Century"/>
        </w:rPr>
        <w:t>Without informing Travelers, Patrick and Associated Grocers actually went forward with the settlement mediation on February 10, 2010 where they executed a confidential, lump sum settlement of the third party tort claim.</w:t>
      </w:r>
      <w:r>
        <w:rPr>
          <w:rStyle w:val="EndnoteReference"/>
          <w:rFonts w:ascii="Century" w:hAnsi="Century"/>
        </w:rPr>
        <w:endnoteReference w:id="507"/>
      </w:r>
      <w:r>
        <w:rPr>
          <w:rFonts w:ascii="Century" w:hAnsi="Century"/>
        </w:rPr>
        <w:t xml:space="preserve">  The day after the settlement mediation, </w:t>
      </w:r>
      <w:r>
        <w:rPr>
          <w:rFonts w:ascii="Century" w:hAnsi="Century"/>
        </w:rPr>
        <w:lastRenderedPageBreak/>
        <w:t>Associated Grocers’ attorney notified Travelers that his clients and Patrick had settled the suit and that they would not disclose the terms of the settlement to Travelers because of the confidentially clause involved in the settlement.</w:t>
      </w:r>
      <w:r>
        <w:rPr>
          <w:rStyle w:val="EndnoteReference"/>
          <w:rFonts w:ascii="Century" w:hAnsi="Century"/>
        </w:rPr>
        <w:endnoteReference w:id="508"/>
      </w:r>
      <w:r>
        <w:rPr>
          <w:rFonts w:ascii="Century" w:hAnsi="Century"/>
        </w:rPr>
        <w:t xml:space="preserve">  Subsequently, Patrick filed a motion to extinguish Travelers' workers' compensation subrogation lien, and Travelers filed a motion to protect and enforce its lien.</w:t>
      </w:r>
      <w:r>
        <w:rPr>
          <w:rStyle w:val="EndnoteReference"/>
          <w:rFonts w:ascii="Century" w:hAnsi="Century"/>
        </w:rPr>
        <w:endnoteReference w:id="509"/>
      </w:r>
      <w:r>
        <w:rPr>
          <w:rFonts w:ascii="Century" w:hAnsi="Century"/>
        </w:rPr>
        <w:t xml:space="preserve"> </w:t>
      </w:r>
    </w:p>
    <w:p>
      <w:pPr>
        <w:ind w:firstLine="720"/>
        <w:jc w:val="both"/>
        <w:rPr>
          <w:rFonts w:ascii="Century" w:hAnsi="Century"/>
        </w:rPr>
      </w:pPr>
      <w:r>
        <w:rPr>
          <w:rFonts w:ascii="Century" w:hAnsi="Century"/>
        </w:rPr>
        <w:t>The trial court granted Travelers’ motion to enforce its workers' compensation subrogation lien.</w:t>
      </w:r>
      <w:r>
        <w:rPr>
          <w:rStyle w:val="EndnoteReference"/>
          <w:rFonts w:ascii="Century" w:hAnsi="Century"/>
        </w:rPr>
        <w:endnoteReference w:id="510"/>
      </w:r>
      <w:r>
        <w:rPr>
          <w:rFonts w:ascii="Century" w:hAnsi="Century"/>
        </w:rPr>
        <w:t xml:space="preserve"> In so ruling, the court concluded that Travelers’ absolute right to intervene in Patrick's personal injury suit against Associated Grocers under O.C.G.A. § 34-9-11.1(b), would be rendered null and unenforceable if Patrick and Associated Grocers could extinguish Travelers' subrogation lien by simply executing a lump sum settlement agreement stating that the settlement amount did not completely compensate Patrick for his injuries.</w:t>
      </w:r>
      <w:r>
        <w:rPr>
          <w:rStyle w:val="EndnoteReference"/>
          <w:rFonts w:ascii="Century" w:hAnsi="Century"/>
        </w:rPr>
        <w:endnoteReference w:id="511"/>
      </w:r>
      <w:r>
        <w:rPr>
          <w:rFonts w:ascii="Century" w:hAnsi="Century"/>
        </w:rPr>
        <w:t xml:space="preserve"> Therefore, the court concluded Travelers was entitled to a hearing where Travelers could attempt to enforce its subrogation lien by proving to the court that Patrick had been fully and completely compensated.</w:t>
      </w:r>
      <w:r>
        <w:rPr>
          <w:rStyle w:val="EndnoteReference"/>
          <w:rFonts w:ascii="Century" w:hAnsi="Century"/>
        </w:rPr>
        <w:endnoteReference w:id="512"/>
      </w:r>
    </w:p>
    <w:p>
      <w:pPr>
        <w:ind w:firstLine="720"/>
        <w:jc w:val="both"/>
        <w:rPr>
          <w:rFonts w:ascii="Century" w:hAnsi="Century"/>
        </w:rPr>
      </w:pPr>
      <w:r>
        <w:rPr>
          <w:rFonts w:ascii="Century" w:hAnsi="Century"/>
        </w:rPr>
        <w:t>On appeal, SunTrust argued that the express terms of the lump sum settlement agreement between Patrick and Associated Grocers made it impossible for Travelers to meet its burden for enforcement of its subrogation lien under O.C.G.A. § 34-9-11.1 (b), and therefore, Travelers should be prevented from enforcing its subrogation lien.</w:t>
      </w:r>
      <w:r>
        <w:rPr>
          <w:rStyle w:val="EndnoteReference"/>
          <w:rFonts w:ascii="Century" w:hAnsi="Century"/>
        </w:rPr>
        <w:endnoteReference w:id="513"/>
      </w:r>
      <w:r>
        <w:rPr>
          <w:rFonts w:ascii="Century" w:hAnsi="Century"/>
        </w:rPr>
        <w:t xml:space="preserve">  Specifically, SunTrust argued enforcement of the subrogation lien was improper because: 1) the settlement agreement specifically acknowledged that Patrick had not been made whole or fully compensated for his injuries; and 2) </w:t>
      </w:r>
      <w:r>
        <w:rPr>
          <w:rFonts w:ascii="Century" w:hAnsi="Century"/>
        </w:rPr>
        <w:lastRenderedPageBreak/>
        <w:t>the lump sum settlement did not expressly divide the proceeds between Patrick's economic damages and noneconomic damages as required to enforce a subrogation lien.</w:t>
      </w:r>
      <w:r>
        <w:rPr>
          <w:rStyle w:val="EndnoteReference"/>
          <w:rFonts w:ascii="Century" w:hAnsi="Century"/>
        </w:rPr>
        <w:endnoteReference w:id="514"/>
      </w:r>
      <w:r>
        <w:rPr>
          <w:rFonts w:ascii="Century" w:hAnsi="Century"/>
        </w:rPr>
        <w:t xml:space="preserve">   </w:t>
      </w:r>
    </w:p>
    <w:p>
      <w:pPr>
        <w:ind w:firstLine="720"/>
        <w:jc w:val="both"/>
        <w:rPr>
          <w:rFonts w:ascii="Century" w:hAnsi="Century"/>
        </w:rPr>
      </w:pPr>
      <w:r>
        <w:rPr>
          <w:rFonts w:ascii="Century" w:hAnsi="Century"/>
        </w:rPr>
        <w:t>Regarding the first argument, the Georgia Court of Appeals emphasized that it is solely for the trial court, as opposed to a jury, the employee,</w:t>
      </w:r>
      <w:r>
        <w:rPr>
          <w:rFonts w:ascii="Century" w:hAnsi="Century"/>
          <w:vertAlign w:val="superscript"/>
        </w:rPr>
        <w:t xml:space="preserve"> </w:t>
      </w:r>
      <w:r>
        <w:rPr>
          <w:rFonts w:ascii="Century" w:hAnsi="Century"/>
        </w:rPr>
        <w:t>or the third-party tortfeasors, to determine whether an Employer/Insurer met its burden of showing that the employee has been fully compensated for his injuries.</w:t>
      </w:r>
      <w:r>
        <w:rPr>
          <w:rStyle w:val="EndnoteReference"/>
          <w:rFonts w:ascii="Century" w:hAnsi="Century"/>
        </w:rPr>
        <w:endnoteReference w:id="515"/>
      </w:r>
      <w:r>
        <w:rPr>
          <w:rFonts w:ascii="Century" w:hAnsi="Century"/>
        </w:rPr>
        <w:t xml:space="preserve">  Moreover, citing to general contract law, the court emphasized only those parties to the agreement are bound by its terms.</w:t>
      </w:r>
      <w:r>
        <w:rPr>
          <w:rStyle w:val="EndnoteReference"/>
          <w:rFonts w:ascii="Century" w:hAnsi="Century"/>
        </w:rPr>
        <w:endnoteReference w:id="516"/>
      </w:r>
      <w:r>
        <w:rPr>
          <w:rFonts w:ascii="Century" w:hAnsi="Century"/>
        </w:rPr>
        <w:t xml:space="preserve">  Because Travelers was intentionally excluded from the settlement negotiations, it was not a party to the settlement agreement and Travelers had never consented to the agreement.</w:t>
      </w:r>
      <w:r>
        <w:rPr>
          <w:rStyle w:val="EndnoteReference"/>
          <w:rFonts w:ascii="Century" w:hAnsi="Century"/>
        </w:rPr>
        <w:endnoteReference w:id="517"/>
      </w:r>
      <w:r>
        <w:rPr>
          <w:rFonts w:ascii="Century" w:hAnsi="Century"/>
        </w:rPr>
        <w:t xml:space="preserve">  Therefore, Travelers was not bound by the settlement agreement's statement acknowledging Patrick was not fully compensated for his injuries.</w:t>
      </w:r>
      <w:r>
        <w:rPr>
          <w:rStyle w:val="EndnoteReference"/>
          <w:rFonts w:ascii="Century" w:hAnsi="Century"/>
        </w:rPr>
        <w:endnoteReference w:id="518"/>
      </w:r>
    </w:p>
    <w:p>
      <w:pPr>
        <w:ind w:firstLine="720"/>
        <w:jc w:val="both"/>
        <w:rPr>
          <w:rFonts w:ascii="Century" w:hAnsi="Century"/>
        </w:rPr>
      </w:pPr>
      <w:r>
        <w:rPr>
          <w:rFonts w:ascii="Century" w:hAnsi="Century"/>
        </w:rPr>
        <w:t>As to the second point, SunTrust argued that an Employer/Insurer should not be allowed to enforce a workers' compensation subrogation lien against an employee's recovery from a lawsuit against a third-party tortfeasor when that suit results in either a general, non-itemized jury verdict or a lump sum settlement.</w:t>
      </w:r>
      <w:r>
        <w:rPr>
          <w:rStyle w:val="EndnoteReference"/>
          <w:rFonts w:ascii="Century" w:hAnsi="Century"/>
        </w:rPr>
        <w:endnoteReference w:id="519"/>
      </w:r>
      <w:r>
        <w:rPr>
          <w:rFonts w:ascii="Century" w:hAnsi="Century"/>
        </w:rPr>
        <w:t xml:space="preserve">  However, the Georgia Court of Appeals confirmed that a trial court is not prohibited from conducting a hearing to determine whether the employee was fully compensated so that the employer/insurer can attempt to enforce its subrogation lien under O.C.G.A. § 34-9-11.1(b).</w:t>
      </w:r>
      <w:r>
        <w:rPr>
          <w:rStyle w:val="EndnoteReference"/>
          <w:rFonts w:ascii="Century" w:hAnsi="Century"/>
        </w:rPr>
        <w:endnoteReference w:id="520"/>
      </w:r>
      <w:r>
        <w:rPr>
          <w:rFonts w:ascii="Century" w:hAnsi="Century"/>
        </w:rPr>
        <w:t xml:space="preserve">  The cases relied on by SunTrust for this proposition were distinguishable because in those cases the employers </w:t>
      </w:r>
      <w:r>
        <w:rPr>
          <w:rFonts w:ascii="Century" w:hAnsi="Century"/>
        </w:rPr>
        <w:lastRenderedPageBreak/>
        <w:t xml:space="preserve">or insurers </w:t>
      </w:r>
      <w:r>
        <w:rPr>
          <w:rFonts w:ascii="Century" w:hAnsi="Century"/>
          <w:iCs/>
        </w:rPr>
        <w:t>did not intervene</w:t>
      </w:r>
      <w:r>
        <w:rPr>
          <w:rFonts w:ascii="Century" w:hAnsi="Century"/>
        </w:rPr>
        <w:t xml:space="preserve"> in the employees' lawsuits or </w:t>
      </w:r>
      <w:r>
        <w:rPr>
          <w:rFonts w:ascii="Century" w:hAnsi="Century"/>
          <w:iCs/>
        </w:rPr>
        <w:t>take other available measures to protect their subrogation liens, such as requesting a special verdict or settlement that distinguishes between an award of economic versus noneconomic damages.</w:t>
      </w:r>
      <w:r>
        <w:rPr>
          <w:rStyle w:val="EndnoteReference"/>
          <w:rFonts w:ascii="Century" w:hAnsi="Century"/>
          <w:iCs/>
        </w:rPr>
        <w:endnoteReference w:id="521"/>
      </w:r>
      <w:r>
        <w:rPr>
          <w:rFonts w:ascii="Century" w:hAnsi="Century"/>
          <w:iCs/>
        </w:rPr>
        <w:t xml:space="preserve">  Here, however, SunTrust properly intervened in the third party claim, was excluded from negotiations, and was not a party to the final settlement agreement at issue.  </w:t>
      </w:r>
      <w:r>
        <w:rPr>
          <w:rFonts w:ascii="Century" w:hAnsi="Century"/>
        </w:rPr>
        <w:t>Therefore, such a settlement agreement cannot extinguish the viability of an Employer/Insurer’s subrogation lien when the Employer/Insurer did not consent to the terms of the settlement agreement.</w:t>
      </w:r>
      <w:r>
        <w:rPr>
          <w:rStyle w:val="EndnoteReference"/>
          <w:rFonts w:ascii="Century" w:hAnsi="Century"/>
        </w:rPr>
        <w:endnoteReference w:id="522"/>
      </w:r>
    </w:p>
    <w:p>
      <w:pPr>
        <w:ind w:firstLine="720"/>
        <w:jc w:val="both"/>
        <w:rPr>
          <w:rFonts w:ascii="Century" w:hAnsi="Century"/>
        </w:rPr>
      </w:pPr>
      <w:r>
        <w:rPr>
          <w:rFonts w:ascii="Century" w:hAnsi="Century"/>
        </w:rPr>
        <w:t>The court emphasized that its decision did not stand for the rule that Employers and Insurers always have a right to be present at settlement negotiations between employees and third-party tortfeasors, although the court expressed concerned over this issue.</w:t>
      </w:r>
      <w:r>
        <w:rPr>
          <w:rStyle w:val="EndnoteReference"/>
          <w:rFonts w:ascii="Century" w:hAnsi="Century"/>
        </w:rPr>
        <w:endnoteReference w:id="523"/>
      </w:r>
      <w:r>
        <w:rPr>
          <w:rFonts w:ascii="Century" w:hAnsi="Century"/>
        </w:rPr>
        <w:t xml:space="preserve">  Specifically, the court did not order the parties to renegotiate the settlement with Travelers’ participation and consent.</w:t>
      </w:r>
      <w:r>
        <w:rPr>
          <w:rStyle w:val="EndnoteReference"/>
          <w:rFonts w:ascii="Century" w:hAnsi="Century"/>
        </w:rPr>
        <w:endnoteReference w:id="524"/>
      </w:r>
      <w:r>
        <w:rPr>
          <w:rFonts w:ascii="Century" w:hAnsi="Century"/>
        </w:rPr>
        <w:t xml:space="preserve">  Rather, it treated the settlement as final and ruled that Travelers could attempt to prove that Patrick was fully compensated by the proceeds of the settlement at a hearing to enforce its subrogation lien.</w:t>
      </w:r>
      <w:r>
        <w:rPr>
          <w:rStyle w:val="EndnoteReference"/>
          <w:rFonts w:ascii="Century" w:hAnsi="Century"/>
        </w:rPr>
        <w:endnoteReference w:id="525"/>
      </w:r>
      <w:r>
        <w:rPr>
          <w:rFonts w:ascii="Century" w:hAnsi="Century"/>
        </w:rPr>
        <w:t xml:space="preserve">  Therefore, the court stated that the question of whether Travelers should have been allowed to appear and participate in the mediation session was not an issue before them and was moot.</w:t>
      </w:r>
      <w:r>
        <w:rPr>
          <w:rStyle w:val="EndnoteReference"/>
          <w:rFonts w:ascii="Century" w:hAnsi="Century"/>
        </w:rPr>
        <w:endnoteReference w:id="526"/>
      </w:r>
    </w:p>
    <w:p>
      <w:pPr>
        <w:ind w:firstLine="720"/>
        <w:jc w:val="both"/>
        <w:rPr>
          <w:rFonts w:ascii="Century" w:hAnsi="Century"/>
        </w:rPr>
      </w:pPr>
      <w:r>
        <w:rPr>
          <w:rFonts w:ascii="Century" w:hAnsi="Century"/>
        </w:rPr>
        <w:t xml:space="preserve">The take home message from this decision is that an Employer/Insurer’s subrogation lien cannot be unilaterally extinguished by the employee and a third party tortfeasor agreeing the employee was not fully and completely compensated </w:t>
      </w:r>
      <w:r>
        <w:rPr>
          <w:rFonts w:ascii="Century" w:hAnsi="Century"/>
        </w:rPr>
        <w:lastRenderedPageBreak/>
        <w:t>when the subrogation lien holder is not part of the settlement agreement.  However, filing a motion to intervene and requesting special jury instructions are crucial elements to preserving a subrogation lien in such cases.</w:t>
      </w:r>
    </w:p>
    <w:p>
      <w:pPr>
        <w:ind w:left="720" w:hanging="720"/>
        <w:rPr>
          <w:rFonts w:ascii="Century" w:hAnsi="Century"/>
          <w:b/>
        </w:rPr>
      </w:pPr>
      <w:r>
        <w:rPr>
          <w:rFonts w:ascii="Century" w:hAnsi="Century"/>
          <w:b/>
        </w:rPr>
        <w:t>II.</w:t>
      </w:r>
      <w:r>
        <w:rPr>
          <w:rFonts w:ascii="Century" w:hAnsi="Century"/>
          <w:b/>
        </w:rPr>
        <w:tab/>
        <w:t>Injuries Away from the Workplace.</w:t>
      </w:r>
    </w:p>
    <w:p>
      <w:pPr>
        <w:ind w:firstLine="720"/>
        <w:jc w:val="both"/>
        <w:rPr>
          <w:rFonts w:ascii="Century" w:hAnsi="Century"/>
        </w:rPr>
      </w:pPr>
      <w:r>
        <w:rPr>
          <w:rFonts w:ascii="Century" w:hAnsi="Century"/>
        </w:rPr>
        <w:t>One of the prerequisites to compensability of a Georgia workers’ compensation claim is an injury by accident arising out of and in the course of employment.</w:t>
      </w:r>
      <w:r>
        <w:rPr>
          <w:rStyle w:val="EndnoteReference"/>
          <w:rFonts w:ascii="Century" w:hAnsi="Century"/>
        </w:rPr>
        <w:endnoteReference w:id="527"/>
      </w:r>
      <w:r>
        <w:rPr>
          <w:rFonts w:ascii="Century" w:hAnsi="Century"/>
        </w:rPr>
        <w:t xml:space="preserve">  The requirement that an injury “arise out of the employment” refers to the causal connection between the circumstances of the work and the resulting injury.</w:t>
      </w:r>
      <w:r>
        <w:rPr>
          <w:rStyle w:val="EndnoteReference"/>
          <w:rFonts w:ascii="Century" w:hAnsi="Century"/>
        </w:rPr>
        <w:endnoteReference w:id="528"/>
      </w:r>
      <w:r>
        <w:rPr>
          <w:rFonts w:ascii="Century" w:hAnsi="Century"/>
        </w:rPr>
        <w:t xml:space="preserve">  The requirement that an injury by accident occur “in the course of” employment refers to the time, place and circumstances under which the accident takes place.</w:t>
      </w:r>
      <w:r>
        <w:rPr>
          <w:rStyle w:val="EndnoteReference"/>
          <w:rFonts w:ascii="Century" w:hAnsi="Century"/>
        </w:rPr>
        <w:endnoteReference w:id="529"/>
      </w:r>
      <w:r>
        <w:rPr>
          <w:rFonts w:ascii="Century" w:hAnsi="Century"/>
        </w:rPr>
        <w:t xml:space="preserve">  Determining whether an injury meets these criteria can often be challenging, as it is generally a mixed question of law and fact.</w:t>
      </w:r>
      <w:r>
        <w:rPr>
          <w:rStyle w:val="EndnoteReference"/>
          <w:rFonts w:ascii="Century" w:hAnsi="Century"/>
        </w:rPr>
        <w:endnoteReference w:id="530"/>
      </w:r>
      <w:r>
        <w:rPr>
          <w:rFonts w:ascii="Century" w:hAnsi="Century"/>
        </w:rPr>
        <w:t xml:space="preserve">  However, this is especially true when an employee is injured while away from the workplace.  The Georgia Court of Appeals has addressed two such cases in the last eighteen months: (1) </w:t>
      </w:r>
      <w:r>
        <w:rPr>
          <w:rFonts w:ascii="Century" w:hAnsi="Century"/>
          <w:i/>
        </w:rPr>
        <w:t>The Medical Center, Inc. v. Hernandez; Hernandez v. Atlanta Drywall, LLC</w:t>
      </w:r>
      <w:r>
        <w:rPr>
          <w:rFonts w:ascii="Century" w:hAnsi="Century"/>
        </w:rPr>
        <w:t>,</w:t>
      </w:r>
      <w:r>
        <w:rPr>
          <w:rFonts w:ascii="Century" w:hAnsi="Century"/>
          <w:i/>
        </w:rPr>
        <w:t xml:space="preserve"> </w:t>
      </w:r>
      <w:r>
        <w:rPr>
          <w:rFonts w:ascii="Century" w:hAnsi="Century"/>
        </w:rPr>
        <w:t xml:space="preserve">and </w:t>
      </w:r>
      <w:r>
        <w:rPr>
          <w:rFonts w:ascii="Century" w:hAnsi="Century"/>
          <w:i/>
        </w:rPr>
        <w:t>Dixie Roadbuilders, Inc. v. Sallet.</w:t>
      </w:r>
      <w:r>
        <w:rPr>
          <w:rFonts w:ascii="Century" w:hAnsi="Century"/>
        </w:rPr>
        <w:t xml:space="preserve">  </w:t>
      </w:r>
    </w:p>
    <w:p>
      <w:pPr>
        <w:jc w:val="center"/>
        <w:rPr>
          <w:rFonts w:ascii="Century" w:hAnsi="Century"/>
          <w:b/>
          <w:i/>
        </w:rPr>
      </w:pPr>
      <w:r>
        <w:rPr>
          <w:rFonts w:ascii="Century" w:hAnsi="Century"/>
          <w:b/>
        </w:rPr>
        <w:t>A.</w:t>
      </w:r>
      <w:r>
        <w:rPr>
          <w:rFonts w:ascii="Century" w:hAnsi="Century"/>
          <w:b/>
        </w:rPr>
        <w:tab/>
      </w:r>
      <w:r>
        <w:rPr>
          <w:rFonts w:ascii="Century" w:hAnsi="Century"/>
          <w:b/>
          <w:i/>
        </w:rPr>
        <w:t>The Medical Center, Inc. v. Hernandez; Hernandez v. Atlanta Drywall, LLC</w:t>
      </w:r>
    </w:p>
    <w:p>
      <w:pPr>
        <w:ind w:firstLine="720"/>
        <w:jc w:val="both"/>
        <w:rPr>
          <w:rFonts w:ascii="Century" w:hAnsi="Century"/>
        </w:rPr>
      </w:pPr>
      <w:r>
        <w:rPr>
          <w:rFonts w:ascii="Century" w:hAnsi="Century"/>
        </w:rPr>
        <w:t xml:space="preserve">In a decision favorable to employers and insurers, the Georgia Court of Appeals, in the cases of </w:t>
      </w:r>
      <w:r>
        <w:rPr>
          <w:rFonts w:ascii="Century" w:hAnsi="Century"/>
          <w:i/>
        </w:rPr>
        <w:t>The Medical Center, Inc. v. Hernandez et al.</w:t>
      </w:r>
      <w:r>
        <w:rPr>
          <w:rFonts w:ascii="Century" w:hAnsi="Century"/>
        </w:rPr>
        <w:t xml:space="preserve"> and </w:t>
      </w:r>
      <w:r>
        <w:rPr>
          <w:rFonts w:ascii="Century" w:hAnsi="Century"/>
          <w:i/>
        </w:rPr>
        <w:t>Hernandez et al. v. Atlanta Drywall, LLC,</w:t>
      </w:r>
      <w:r>
        <w:rPr>
          <w:rFonts w:ascii="Century" w:hAnsi="Century"/>
        </w:rPr>
        <w:t xml:space="preserve"> reaffirmed the well-established rule that accidents which occur while the employee is going to or </w:t>
      </w:r>
      <w:r>
        <w:rPr>
          <w:rFonts w:ascii="Century" w:hAnsi="Century"/>
        </w:rPr>
        <w:lastRenderedPageBreak/>
        <w:t>coming from work are not compensable under the Georgia Workers’ Compensation Act.</w:t>
      </w:r>
      <w:r>
        <w:rPr>
          <w:rStyle w:val="EndnoteReference"/>
          <w:rFonts w:ascii="Century" w:hAnsi="Century"/>
          <w:i/>
        </w:rPr>
        <w:endnoteReference w:id="531"/>
      </w:r>
      <w:r>
        <w:rPr>
          <w:rFonts w:ascii="Century" w:hAnsi="Century"/>
        </w:rPr>
        <w:t xml:space="preserve">  While there appears to have been no dispute regarding the fact that the employees were on their way to work at the time of the accident, they nonetheless argued that their injuries should be found compensable under the continuous employment doctrine, a notable exception to the “going to/coming from” rule.</w:t>
      </w:r>
      <w:r>
        <w:rPr>
          <w:rStyle w:val="EndnoteReference"/>
          <w:rFonts w:ascii="Century" w:hAnsi="Century"/>
        </w:rPr>
        <w:endnoteReference w:id="532"/>
      </w:r>
    </w:p>
    <w:p>
      <w:pPr>
        <w:ind w:firstLine="720"/>
        <w:jc w:val="both"/>
        <w:rPr>
          <w:rFonts w:ascii="Century" w:hAnsi="Century"/>
        </w:rPr>
      </w:pPr>
      <w:r>
        <w:rPr>
          <w:rFonts w:ascii="Century" w:hAnsi="Century"/>
        </w:rPr>
        <w:t>A review of the record reveals that at the time of the accident, the employees, Hernandez and Alvarez-Hilario, were working for Atlanta Drywall, LLC on a construction project in Columbus, Georgia.</w:t>
      </w:r>
      <w:r>
        <w:rPr>
          <w:rStyle w:val="EndnoteReference"/>
          <w:rFonts w:ascii="Century" w:hAnsi="Century"/>
        </w:rPr>
        <w:endnoteReference w:id="533"/>
      </w:r>
      <w:r>
        <w:rPr>
          <w:rFonts w:ascii="Century" w:hAnsi="Century"/>
        </w:rPr>
        <w:t xml:space="preserve">  The Savannah, Georgia residents would typically make the trip to Columbus (a four hour drive) early on Monday mornings, spend the week in Columbus, and then return to Savannah on Saturdays.</w:t>
      </w:r>
      <w:r>
        <w:rPr>
          <w:rStyle w:val="EndnoteReference"/>
          <w:rFonts w:ascii="Century" w:hAnsi="Century"/>
        </w:rPr>
        <w:endnoteReference w:id="534"/>
      </w:r>
      <w:r>
        <w:rPr>
          <w:rFonts w:ascii="Century" w:hAnsi="Century"/>
        </w:rPr>
        <w:t xml:space="preserve">  Although the employer provided lodging at a local motel during the work week, the employees were only paid for the hours they actually worked on the job site and were not paid for travel time.</w:t>
      </w:r>
      <w:r>
        <w:rPr>
          <w:rStyle w:val="EndnoteReference"/>
          <w:rFonts w:ascii="Century" w:hAnsi="Century"/>
        </w:rPr>
        <w:endnoteReference w:id="535"/>
      </w:r>
      <w:r>
        <w:rPr>
          <w:rFonts w:ascii="Century" w:hAnsi="Century"/>
        </w:rPr>
        <w:t xml:space="preserve">  </w:t>
      </w:r>
    </w:p>
    <w:p>
      <w:pPr>
        <w:ind w:firstLine="720"/>
        <w:jc w:val="both"/>
        <w:rPr>
          <w:rFonts w:ascii="Century" w:hAnsi="Century"/>
        </w:rPr>
      </w:pPr>
      <w:r>
        <w:rPr>
          <w:rFonts w:ascii="Century" w:hAnsi="Century"/>
        </w:rPr>
        <w:t>The accident giving rise to the injuries occurred while the employees were on the way from their homes in Savannah to the job site in Columbus.</w:t>
      </w:r>
      <w:r>
        <w:rPr>
          <w:rStyle w:val="EndnoteReference"/>
          <w:rFonts w:ascii="Century" w:hAnsi="Century"/>
        </w:rPr>
        <w:endnoteReference w:id="536"/>
      </w:r>
      <w:r>
        <w:rPr>
          <w:rFonts w:ascii="Century" w:hAnsi="Century"/>
        </w:rPr>
        <w:t xml:space="preserve">  The evidence showed that the pair were travelling as passengers in a personal truck driven by a co-worker and, at the time of the accident, were within approximately five minutes of the job site.</w:t>
      </w:r>
      <w:r>
        <w:rPr>
          <w:rStyle w:val="EndnoteReference"/>
          <w:rFonts w:ascii="Century" w:hAnsi="Century"/>
        </w:rPr>
        <w:endnoteReference w:id="537"/>
      </w:r>
      <w:r>
        <w:rPr>
          <w:rFonts w:ascii="Century" w:hAnsi="Century"/>
        </w:rPr>
        <w:t xml:space="preserve">  </w:t>
      </w:r>
    </w:p>
    <w:p>
      <w:pPr>
        <w:ind w:firstLine="720"/>
        <w:jc w:val="both"/>
        <w:rPr>
          <w:rFonts w:ascii="Century" w:hAnsi="Century"/>
        </w:rPr>
      </w:pPr>
      <w:r>
        <w:rPr>
          <w:rFonts w:ascii="Century" w:hAnsi="Century"/>
        </w:rPr>
        <w:t>The employees filed claims for workers’ compensation benefits which were denied by the administrative law judge.</w:t>
      </w:r>
      <w:r>
        <w:rPr>
          <w:rStyle w:val="EndnoteReference"/>
          <w:rFonts w:ascii="Century" w:hAnsi="Century"/>
        </w:rPr>
        <w:endnoteReference w:id="538"/>
      </w:r>
      <w:r>
        <w:rPr>
          <w:rFonts w:ascii="Century" w:hAnsi="Century"/>
        </w:rPr>
        <w:t xml:space="preserve"> The decision was subsequently affirmed by both the Appellate Division of the State Board of Workers’ Compensation and the </w:t>
      </w:r>
      <w:r>
        <w:rPr>
          <w:rFonts w:ascii="Century" w:hAnsi="Century"/>
        </w:rPr>
        <w:lastRenderedPageBreak/>
        <w:t>Superior Court.</w:t>
      </w:r>
      <w:r>
        <w:rPr>
          <w:rStyle w:val="EndnoteReference"/>
          <w:rFonts w:ascii="Century" w:hAnsi="Century"/>
        </w:rPr>
        <w:endnoteReference w:id="539"/>
      </w:r>
      <w:r>
        <w:rPr>
          <w:rFonts w:ascii="Century" w:hAnsi="Century"/>
        </w:rPr>
        <w:t xml:space="preserve">  In affirming the decision of the Superior Court, the Georgia Court of Appeals citied the general rule that “collisions occurring while employees are traveling to and from work do not arise out of and in the course of employment.”</w:t>
      </w:r>
      <w:r>
        <w:rPr>
          <w:rStyle w:val="EndnoteReference"/>
          <w:rFonts w:ascii="Century" w:hAnsi="Century"/>
        </w:rPr>
        <w:endnoteReference w:id="540"/>
      </w:r>
      <w:r>
        <w:rPr>
          <w:rFonts w:ascii="Century" w:hAnsi="Century"/>
        </w:rPr>
        <w:t xml:space="preserve">  As the evidence showed that the claimants were “not yet engaged in their employment at the time of the accident”, but rather were traveling to the job site when the accident occurred, the court held that the injuries sustained while traveling to work did not arise out of or in the course of the claimants’ employment.</w:t>
      </w:r>
      <w:r>
        <w:rPr>
          <w:rStyle w:val="EndnoteReference"/>
          <w:rFonts w:ascii="Century" w:hAnsi="Century"/>
        </w:rPr>
        <w:endnoteReference w:id="541"/>
      </w:r>
      <w:r>
        <w:rPr>
          <w:rFonts w:ascii="Century" w:hAnsi="Century"/>
        </w:rPr>
        <w:t xml:space="preserve">  </w:t>
      </w:r>
    </w:p>
    <w:p>
      <w:pPr>
        <w:ind w:firstLine="720"/>
        <w:jc w:val="both"/>
        <w:rPr>
          <w:rFonts w:ascii="Century" w:hAnsi="Century"/>
        </w:rPr>
      </w:pPr>
      <w:r>
        <w:rPr>
          <w:rFonts w:ascii="Century" w:hAnsi="Century"/>
        </w:rPr>
        <w:t>What makes this case notable is the Court of Appeal’ rejection of the Appellants’ argument to broaden the workers’ compensation coverage afforded the employees under the doctrine of continuous employment.  Generally speaking, the doctrine applies to those employees “who are required by [their] employment to lodge and work within an area geographically limited by the necessity of being available for work on the employer’s job site.”</w:t>
      </w:r>
      <w:r>
        <w:rPr>
          <w:rStyle w:val="EndnoteReference"/>
          <w:rFonts w:ascii="Century" w:hAnsi="Century"/>
        </w:rPr>
        <w:endnoteReference w:id="542"/>
      </w:r>
      <w:r>
        <w:rPr>
          <w:rFonts w:ascii="Century" w:hAnsi="Century"/>
        </w:rPr>
        <w:t xml:space="preserve">  Activities performed by such employees, in a reasonable and prudent manner for their health and comfort, including recreational activities, arise out of and are in the course of the employment.</w:t>
      </w:r>
      <w:r>
        <w:rPr>
          <w:rStyle w:val="EndnoteReference"/>
          <w:rFonts w:ascii="Century" w:hAnsi="Century"/>
        </w:rPr>
        <w:endnoteReference w:id="543"/>
      </w:r>
      <w:r>
        <w:rPr>
          <w:rFonts w:ascii="Century" w:hAnsi="Century"/>
        </w:rPr>
        <w:t xml:space="preserve">    In analyzing the facts of the two cases, the court found that when the employees left Columbus at the end of the work week to return to their homes in Savannah, they were “no longer performing work duties or being paid by their employer…thus they were off-duty and no longer continuously employed.”</w:t>
      </w:r>
      <w:r>
        <w:rPr>
          <w:rStyle w:val="EndnoteReference"/>
          <w:rFonts w:ascii="Century" w:hAnsi="Century"/>
        </w:rPr>
        <w:endnoteReference w:id="544"/>
      </w:r>
      <w:r>
        <w:rPr>
          <w:rFonts w:ascii="Century" w:hAnsi="Century"/>
        </w:rPr>
        <w:t xml:space="preserve">  </w:t>
      </w:r>
    </w:p>
    <w:p>
      <w:pPr>
        <w:ind w:firstLine="720"/>
        <w:jc w:val="both"/>
        <w:rPr>
          <w:rFonts w:ascii="Century" w:hAnsi="Century"/>
        </w:rPr>
      </w:pPr>
      <w:r>
        <w:rPr>
          <w:rFonts w:ascii="Century" w:hAnsi="Century"/>
        </w:rPr>
        <w:t xml:space="preserve">The question then became when and where the continuous employment resumed.  Citing the </w:t>
      </w:r>
      <w:r>
        <w:rPr>
          <w:rFonts w:ascii="Century" w:hAnsi="Century"/>
          <w:i/>
        </w:rPr>
        <w:t>Ray Bell</w:t>
      </w:r>
      <w:r>
        <w:rPr>
          <w:rFonts w:ascii="Century" w:hAnsi="Century"/>
        </w:rPr>
        <w:t xml:space="preserve"> case, the court noted that only when the employees’ were back in the </w:t>
      </w:r>
      <w:r>
        <w:rPr>
          <w:rFonts w:ascii="Century" w:hAnsi="Century"/>
        </w:rPr>
        <w:lastRenderedPageBreak/>
        <w:t>general proximity of the place where they were employed to be and at a time when they were employed to be in that general proximity would they have resumed continuous employment.  While the court acknowledged that the employees “were arguably in the general proximity of their construction site at the time of the accident, it [was] undisputed that they had not yet arrived at the site and thus had not yet resumed performing the duties of their employment.”</w:t>
      </w:r>
      <w:r>
        <w:rPr>
          <w:rStyle w:val="EndnoteReference"/>
          <w:rFonts w:ascii="Century" w:hAnsi="Century"/>
        </w:rPr>
        <w:endnoteReference w:id="545"/>
      </w:r>
      <w:r>
        <w:rPr>
          <w:rFonts w:ascii="Century" w:hAnsi="Century"/>
        </w:rPr>
        <w:t xml:space="preserve">  </w:t>
      </w:r>
    </w:p>
    <w:p>
      <w:pPr>
        <w:ind w:firstLine="720"/>
        <w:jc w:val="both"/>
        <w:rPr>
          <w:rFonts w:ascii="Century" w:hAnsi="Century"/>
        </w:rPr>
      </w:pPr>
      <w:r>
        <w:rPr>
          <w:rFonts w:ascii="Century" w:hAnsi="Century"/>
        </w:rPr>
        <w:t>The court also pointed to two other factors it considered in distinguishing this case from other continuous employment cases and determining that the doctrine did not apply.  First, the court noted that since the employees’ were not engaged in any construction work at the time of the accident, the risks to which they were subjected on the roadways were not incidental to their employment.  Consequently, the injuries did not arise out of their employment.</w:t>
      </w:r>
      <w:r>
        <w:rPr>
          <w:rStyle w:val="EndnoteReference"/>
          <w:rFonts w:ascii="Century" w:hAnsi="Century"/>
        </w:rPr>
        <w:endnoteReference w:id="546"/>
      </w:r>
    </w:p>
    <w:p>
      <w:pPr>
        <w:ind w:firstLine="720"/>
        <w:jc w:val="both"/>
        <w:rPr>
          <w:rFonts w:ascii="Century" w:hAnsi="Century"/>
        </w:rPr>
      </w:pPr>
      <w:r>
        <w:rPr>
          <w:rFonts w:ascii="Century" w:hAnsi="Century"/>
        </w:rPr>
        <w:t>Second, the court found that unlike other continuous employment cases, in which the employees were under a 24-hour per day duty to perform their job, the subject employees “had not yet resumed their work for the week, so their injuries also did not arise in the course of their employment.”</w:t>
      </w:r>
      <w:r>
        <w:rPr>
          <w:rStyle w:val="EndnoteReference"/>
          <w:rFonts w:ascii="Century" w:hAnsi="Century"/>
        </w:rPr>
        <w:endnoteReference w:id="547"/>
      </w:r>
      <w:r>
        <w:rPr>
          <w:rFonts w:ascii="Century" w:hAnsi="Century"/>
        </w:rPr>
        <w:t xml:space="preserve">  The court therefore concluded that the continuous employment doctrine was inapplicable and that the injuries sustained by the employees while on their way to work were not compensable.</w:t>
      </w:r>
    </w:p>
    <w:p>
      <w:pPr>
        <w:ind w:firstLine="720"/>
        <w:jc w:val="both"/>
        <w:rPr>
          <w:rFonts w:ascii="Century" w:hAnsi="Century"/>
        </w:rPr>
      </w:pPr>
      <w:r>
        <w:rPr>
          <w:rFonts w:ascii="Century" w:hAnsi="Century"/>
        </w:rPr>
        <w:t xml:space="preserve">Prior to the decision in </w:t>
      </w:r>
      <w:r>
        <w:rPr>
          <w:rFonts w:ascii="Century" w:hAnsi="Century"/>
          <w:i/>
        </w:rPr>
        <w:t>Hernandez</w:t>
      </w:r>
      <w:r>
        <w:rPr>
          <w:rFonts w:ascii="Century" w:hAnsi="Century"/>
        </w:rPr>
        <w:t xml:space="preserve">, the Court of Appeals issued a series of opinions which arguably broadened the continuous employment doctrine and could have potentially been used as a basis for the </w:t>
      </w:r>
      <w:r>
        <w:rPr>
          <w:rFonts w:ascii="Century" w:hAnsi="Century"/>
        </w:rPr>
        <w:lastRenderedPageBreak/>
        <w:t>application of the doctrine in this instance</w:t>
      </w:r>
      <w:r>
        <w:rPr>
          <w:rFonts w:ascii="Century" w:hAnsi="Century"/>
          <w:i/>
        </w:rPr>
        <w:t>.</w:t>
      </w:r>
      <w:r>
        <w:rPr>
          <w:rFonts w:ascii="Century" w:hAnsi="Century"/>
        </w:rPr>
        <w:t xml:space="preserve">  Fortunately, the court’s decision to reject the Appellant’s argument for application of the continuous employment doctrine, and to instead apply the “going to/coming from” rule, provides employers and insurers with much more of a bright line rule to be applied in determining compensability of such cases.  Of course, every claim is different, and minor changes to the facts of </w:t>
      </w:r>
      <w:r>
        <w:rPr>
          <w:rFonts w:ascii="Century" w:hAnsi="Century"/>
          <w:i/>
        </w:rPr>
        <w:t>Hernandez</w:t>
      </w:r>
      <w:r>
        <w:rPr>
          <w:rFonts w:ascii="Century" w:hAnsi="Century"/>
        </w:rPr>
        <w:t xml:space="preserve"> could have led to a very different result.  For instance, if the employees had been paid for their travel time, reimbursed for their mileage and/or provided with company transportation, the claims likely would have been found compensable.  The element of control also seemed to be a factor in determining the outcome of </w:t>
      </w:r>
      <w:r>
        <w:rPr>
          <w:rFonts w:ascii="Century" w:hAnsi="Century"/>
          <w:i/>
        </w:rPr>
        <w:t>Hernandez</w:t>
      </w:r>
      <w:r>
        <w:rPr>
          <w:rFonts w:ascii="Century" w:hAnsi="Century"/>
        </w:rPr>
        <w:t xml:space="preserve"> inasmuch as the employees’ were “off the clock” from Saturday until Monday morning and thus, they had the freedom to make the four hour return trip to their homes in Savannah.  The fact that the employees were not “on call” over the weekend or otherwise required to be available for work on the employer’s job site during this time also likely factored into the court’s decision.  On the other hand, had their job duties required that they remain in Columbus, then an accident which occurred while on their way to work Monday morning might very well have been found compensable. </w:t>
      </w:r>
    </w:p>
    <w:p>
      <w:pPr>
        <w:ind w:firstLine="720"/>
        <w:jc w:val="both"/>
        <w:rPr>
          <w:rFonts w:ascii="Century" w:hAnsi="Century"/>
        </w:rPr>
      </w:pPr>
      <w:r>
        <w:rPr>
          <w:rFonts w:ascii="Century" w:hAnsi="Century"/>
        </w:rPr>
        <w:t xml:space="preserve">The fact that the </w:t>
      </w:r>
      <w:r>
        <w:rPr>
          <w:rFonts w:ascii="Century" w:hAnsi="Century"/>
          <w:i/>
        </w:rPr>
        <w:t>Hernandez</w:t>
      </w:r>
      <w:r>
        <w:rPr>
          <w:rFonts w:ascii="Century" w:hAnsi="Century"/>
        </w:rPr>
        <w:t xml:space="preserve"> court declined to apply the doctrine of continuous employment, and instead reaffirmed the long established rule that accidents which occur while going to or coming from work are not compensable, is welcome news for employers, especially those who may require frequent travel of their employees.  However, the fact-specific </w:t>
      </w:r>
      <w:r>
        <w:rPr>
          <w:rFonts w:ascii="Century" w:hAnsi="Century"/>
        </w:rPr>
        <w:lastRenderedPageBreak/>
        <w:t>nature of the case highlights the need for timely and thorough investigations by employers and insurers in claims where the doctrine of continuous employment is potentially implicated.</w:t>
      </w:r>
    </w:p>
    <w:p>
      <w:pPr>
        <w:jc w:val="center"/>
        <w:rPr>
          <w:rFonts w:ascii="Century" w:hAnsi="Century"/>
          <w:b/>
          <w:i/>
        </w:rPr>
      </w:pPr>
      <w:r>
        <w:rPr>
          <w:rFonts w:ascii="Century" w:hAnsi="Century"/>
          <w:b/>
        </w:rPr>
        <w:t>B.</w:t>
      </w:r>
      <w:r>
        <w:rPr>
          <w:rFonts w:ascii="Century" w:hAnsi="Century"/>
          <w:b/>
        </w:rPr>
        <w:tab/>
      </w:r>
      <w:r>
        <w:rPr>
          <w:rFonts w:ascii="Century" w:hAnsi="Century"/>
          <w:b/>
          <w:i/>
        </w:rPr>
        <w:t>Dixie Roadbuilders, Inc. v. Sallet</w:t>
      </w:r>
    </w:p>
    <w:p>
      <w:pPr>
        <w:ind w:firstLine="720"/>
        <w:jc w:val="both"/>
        <w:rPr>
          <w:rFonts w:ascii="Century" w:hAnsi="Century"/>
        </w:rPr>
      </w:pPr>
      <w:r>
        <w:rPr>
          <w:rFonts w:ascii="Century" w:hAnsi="Century"/>
        </w:rPr>
        <w:t xml:space="preserve">In </w:t>
      </w:r>
      <w:r>
        <w:rPr>
          <w:rFonts w:ascii="Century" w:hAnsi="Century"/>
          <w:i/>
        </w:rPr>
        <w:t>Dixie Roadbuilders, Inc. v. Sallet</w:t>
      </w:r>
      <w:r>
        <w:rPr>
          <w:rFonts w:ascii="Century" w:hAnsi="Century"/>
        </w:rPr>
        <w:t>,</w:t>
      </w:r>
      <w:r>
        <w:rPr>
          <w:rStyle w:val="EndnoteReference"/>
          <w:rFonts w:ascii="Century" w:hAnsi="Century"/>
        </w:rPr>
        <w:endnoteReference w:id="548"/>
      </w:r>
      <w:r>
        <w:rPr>
          <w:rFonts w:ascii="Century" w:hAnsi="Century"/>
        </w:rPr>
        <w:t xml:space="preserve"> the Georgia Court of Appeals addressed an employee’s alleged deviation from employment at the time of injury, as well as the impact of such deviation on the application of the Workers’ Compensation Act’s exclusive remedy provision.   </w:t>
      </w:r>
    </w:p>
    <w:p>
      <w:pPr>
        <w:ind w:firstLine="720"/>
        <w:jc w:val="both"/>
        <w:rPr>
          <w:rFonts w:ascii="Century" w:hAnsi="Century"/>
        </w:rPr>
      </w:pPr>
      <w:r>
        <w:rPr>
          <w:rFonts w:ascii="Century" w:hAnsi="Century"/>
        </w:rPr>
        <w:t>The adult children and estate of Melvin Sallet brought a wrongful death action against Sallet’s employer, Dixie Roadbuilders, Inc. (“Dixie Roadbuilders”) and Dixie Roadbuilders’ President and part owner, Alton Walker, following Sallet’s death from injuries sustained in a shooting at a convenience store.</w:t>
      </w:r>
      <w:r>
        <w:rPr>
          <w:rStyle w:val="EndnoteReference"/>
          <w:rFonts w:ascii="Century" w:hAnsi="Century"/>
        </w:rPr>
        <w:endnoteReference w:id="549"/>
      </w:r>
      <w:r>
        <w:rPr>
          <w:rFonts w:ascii="Century" w:hAnsi="Century"/>
        </w:rPr>
        <w:t xml:space="preserve">  Dixie Roadbuilders sought summary judgment on the ground that the action against it was precluded by the exclusive remedy provision of the Workers’ Compensation Act.</w:t>
      </w:r>
      <w:r>
        <w:rPr>
          <w:rStyle w:val="EndnoteReference"/>
          <w:rFonts w:ascii="Century" w:hAnsi="Century"/>
        </w:rPr>
        <w:endnoteReference w:id="550"/>
      </w:r>
      <w:r>
        <w:rPr>
          <w:rFonts w:ascii="Century" w:hAnsi="Century"/>
        </w:rPr>
        <w:t xml:space="preserve">   </w:t>
      </w:r>
    </w:p>
    <w:p>
      <w:pPr>
        <w:ind w:firstLine="720"/>
        <w:jc w:val="both"/>
        <w:rPr>
          <w:rFonts w:ascii="Century" w:hAnsi="Century"/>
        </w:rPr>
      </w:pPr>
      <w:r>
        <w:rPr>
          <w:rFonts w:ascii="Century" w:hAnsi="Century"/>
        </w:rPr>
        <w:t>The record showed that Sallet was employed by Dixie Roadbuilders as a loader operator at its asphalt plant.</w:t>
      </w:r>
      <w:r>
        <w:rPr>
          <w:rStyle w:val="EndnoteReference"/>
          <w:rFonts w:ascii="Century" w:hAnsi="Century"/>
        </w:rPr>
        <w:endnoteReference w:id="551"/>
      </w:r>
      <w:r>
        <w:rPr>
          <w:rFonts w:ascii="Century" w:hAnsi="Century"/>
        </w:rPr>
        <w:t xml:space="preserve">  During the afternoon hours of October 17, 2005, Sallet left the plant and drove to a nearby convenience store, Dixie Express, where he was shot and killed during the course of a robbery.</w:t>
      </w:r>
      <w:r>
        <w:rPr>
          <w:rStyle w:val="EndnoteReference"/>
          <w:rFonts w:ascii="Century" w:hAnsi="Century"/>
        </w:rPr>
        <w:endnoteReference w:id="552"/>
      </w:r>
      <w:r>
        <w:rPr>
          <w:rFonts w:ascii="Century" w:hAnsi="Century"/>
        </w:rPr>
        <w:t xml:space="preserve">  While the association between Dixie Roadbuilders and the Dixie Express Store was unclear from the evidence, the court found that the main purpose of the store was to provide a place near the plant for Dixie Roadbuilders trucks to refuel.</w:t>
      </w:r>
      <w:r>
        <w:rPr>
          <w:rStyle w:val="EndnoteReference"/>
          <w:rFonts w:ascii="Century" w:hAnsi="Century"/>
        </w:rPr>
        <w:endnoteReference w:id="553"/>
      </w:r>
      <w:r>
        <w:rPr>
          <w:rFonts w:ascii="Century" w:hAnsi="Century"/>
        </w:rPr>
        <w:t xml:space="preserve">  The store was also open to the public.</w:t>
      </w:r>
      <w:r>
        <w:rPr>
          <w:rStyle w:val="EndnoteReference"/>
          <w:rFonts w:ascii="Century" w:hAnsi="Century"/>
        </w:rPr>
        <w:endnoteReference w:id="554"/>
      </w:r>
      <w:r>
        <w:rPr>
          <w:rFonts w:ascii="Century" w:hAnsi="Century"/>
        </w:rPr>
        <w:t xml:space="preserve">  Sallet often took an afternoon break to get a drink from </w:t>
      </w:r>
      <w:r>
        <w:rPr>
          <w:rFonts w:ascii="Century" w:hAnsi="Century"/>
        </w:rPr>
        <w:lastRenderedPageBreak/>
        <w:t>the store and did not need permission from his employer to do so.</w:t>
      </w:r>
      <w:r>
        <w:rPr>
          <w:rStyle w:val="EndnoteReference"/>
          <w:rFonts w:ascii="Century" w:hAnsi="Century"/>
        </w:rPr>
        <w:endnoteReference w:id="555"/>
      </w:r>
      <w:r>
        <w:rPr>
          <w:rFonts w:ascii="Century" w:hAnsi="Century"/>
        </w:rPr>
        <w:t xml:space="preserve">  The employer presented evidence to suggest that at the time the injury occurred Sallet had not left for the day, but rather had taken a break, as he had left his loader parked in the plant’s yard rather than securing it under a shelter.</w:t>
      </w:r>
      <w:r>
        <w:rPr>
          <w:rStyle w:val="EndnoteReference"/>
          <w:rFonts w:ascii="Century" w:hAnsi="Century"/>
        </w:rPr>
        <w:endnoteReference w:id="556"/>
      </w:r>
      <w:r>
        <w:rPr>
          <w:rFonts w:ascii="Century" w:hAnsi="Century"/>
        </w:rPr>
        <w:t xml:space="preserve">  He also had a habit of stopping by the convenience store before and after work.</w:t>
      </w:r>
      <w:r>
        <w:rPr>
          <w:rStyle w:val="EndnoteReference"/>
          <w:rFonts w:ascii="Century" w:hAnsi="Century"/>
        </w:rPr>
        <w:endnoteReference w:id="557"/>
      </w:r>
      <w:r>
        <w:rPr>
          <w:rFonts w:ascii="Century" w:hAnsi="Century"/>
        </w:rPr>
        <w:t xml:space="preserve">  When work was slow, Sallet would sometimes leave early, and though he did not need permission to do so, he never left early without asking.</w:t>
      </w:r>
      <w:r>
        <w:rPr>
          <w:rStyle w:val="EndnoteReference"/>
          <w:rFonts w:ascii="Century" w:hAnsi="Century"/>
        </w:rPr>
        <w:endnoteReference w:id="558"/>
      </w:r>
      <w:r>
        <w:rPr>
          <w:rFonts w:ascii="Century" w:hAnsi="Century"/>
        </w:rPr>
        <w:t xml:space="preserve">  Sallet did not ask to leave early on the date of accident.</w:t>
      </w:r>
      <w:r>
        <w:rPr>
          <w:rStyle w:val="EndnoteReference"/>
          <w:rFonts w:ascii="Century" w:hAnsi="Century"/>
        </w:rPr>
        <w:endnoteReference w:id="559"/>
      </w:r>
      <w:r>
        <w:rPr>
          <w:rFonts w:ascii="Century" w:hAnsi="Century"/>
        </w:rPr>
        <w:t xml:space="preserve">  However, Sallet was also found to have made plans to visit with his daughter that afternoon.</w:t>
      </w:r>
      <w:r>
        <w:rPr>
          <w:rStyle w:val="EndnoteReference"/>
          <w:rFonts w:ascii="Century" w:hAnsi="Century"/>
        </w:rPr>
        <w:endnoteReference w:id="560"/>
      </w:r>
    </w:p>
    <w:p>
      <w:pPr>
        <w:ind w:firstLine="720"/>
        <w:jc w:val="both"/>
        <w:rPr>
          <w:rFonts w:ascii="Century" w:hAnsi="Century"/>
        </w:rPr>
      </w:pPr>
      <w:r>
        <w:rPr>
          <w:rFonts w:ascii="Century" w:hAnsi="Century"/>
        </w:rPr>
        <w:t>Following the shooting, Dixie Roadbuilders’ workers compensation insurance carrier made a payment directly to the funeral home for Sallet’s funeral expenses and a payment to the State Board of Workers’ Compensation pursuant to O.C.G.A. §34-9-265(f).</w:t>
      </w:r>
      <w:r>
        <w:rPr>
          <w:rStyle w:val="EndnoteReference"/>
          <w:rFonts w:ascii="Century" w:hAnsi="Century"/>
        </w:rPr>
        <w:endnoteReference w:id="561"/>
      </w:r>
      <w:r>
        <w:rPr>
          <w:rFonts w:ascii="Century" w:hAnsi="Century"/>
        </w:rPr>
        <w:t xml:space="preserve">  The court found that the plaintiff’s did not seek workers’ compensation from Dixie Roadbuilders nor request that it file a claim with its insurer carrier.</w:t>
      </w:r>
      <w:r>
        <w:rPr>
          <w:rStyle w:val="EndnoteReference"/>
          <w:rFonts w:ascii="Century" w:hAnsi="Century"/>
        </w:rPr>
        <w:endnoteReference w:id="562"/>
      </w:r>
      <w:r>
        <w:rPr>
          <w:rFonts w:ascii="Century" w:hAnsi="Century"/>
        </w:rPr>
        <w:t xml:space="preserve">  They also believed that the funeral costs had been paid by a friend of the deceased.</w:t>
      </w:r>
      <w:r>
        <w:rPr>
          <w:rStyle w:val="EndnoteReference"/>
          <w:rFonts w:ascii="Century" w:hAnsi="Century"/>
        </w:rPr>
        <w:endnoteReference w:id="563"/>
      </w:r>
    </w:p>
    <w:p>
      <w:pPr>
        <w:ind w:firstLine="720"/>
        <w:jc w:val="both"/>
        <w:rPr>
          <w:rFonts w:ascii="Century" w:hAnsi="Century"/>
        </w:rPr>
      </w:pPr>
      <w:r>
        <w:rPr>
          <w:rFonts w:ascii="Century" w:hAnsi="Century"/>
        </w:rPr>
        <w:t>Dixie Roadbuilders argued that the Workers’ Compensation Act applied because Sallet’s death arose out of and in the course of his employment.</w:t>
      </w:r>
      <w:r>
        <w:rPr>
          <w:rStyle w:val="EndnoteReference"/>
          <w:rFonts w:ascii="Century" w:hAnsi="Century"/>
        </w:rPr>
        <w:endnoteReference w:id="564"/>
      </w:r>
      <w:r>
        <w:rPr>
          <w:rFonts w:ascii="Century" w:hAnsi="Century"/>
        </w:rPr>
        <w:t xml:space="preserve">  As such, the Workers’ Compensation Act provided the employee’s exclusive remedy against the employer.</w:t>
      </w:r>
      <w:r>
        <w:rPr>
          <w:rStyle w:val="EndnoteReference"/>
          <w:rFonts w:ascii="Century" w:hAnsi="Century"/>
        </w:rPr>
        <w:endnoteReference w:id="565"/>
      </w:r>
      <w:r>
        <w:rPr>
          <w:rFonts w:ascii="Century" w:hAnsi="Century"/>
        </w:rPr>
        <w:t xml:space="preserve">  Upon a close inspection of the record, the court found that there was a question of fact as to whether Sallet had left work for the day or whether he was merely on a break and planning to return to work.</w:t>
      </w:r>
      <w:r>
        <w:rPr>
          <w:rStyle w:val="EndnoteReference"/>
          <w:rFonts w:ascii="Century" w:hAnsi="Century"/>
        </w:rPr>
        <w:endnoteReference w:id="566"/>
      </w:r>
      <w:r>
        <w:rPr>
          <w:rFonts w:ascii="Century" w:hAnsi="Century"/>
        </w:rPr>
        <w:t xml:space="preserve">  The distinction was material </w:t>
      </w:r>
      <w:r>
        <w:rPr>
          <w:rFonts w:ascii="Century" w:hAnsi="Century"/>
        </w:rPr>
        <w:lastRenderedPageBreak/>
        <w:t>since accidents which occur while employees are going to or coming from their regular place of work are generally not compensable.</w:t>
      </w:r>
      <w:r>
        <w:rPr>
          <w:rStyle w:val="EndnoteReference"/>
          <w:rFonts w:ascii="Century" w:hAnsi="Century"/>
        </w:rPr>
        <w:endnoteReference w:id="567"/>
      </w:r>
      <w:r>
        <w:rPr>
          <w:rFonts w:ascii="Century" w:hAnsi="Century"/>
        </w:rPr>
        <w:t xml:space="preserve">  </w:t>
      </w:r>
    </w:p>
    <w:p>
      <w:pPr>
        <w:ind w:firstLine="720"/>
        <w:jc w:val="both"/>
        <w:rPr>
          <w:rFonts w:ascii="Century" w:hAnsi="Century"/>
        </w:rPr>
      </w:pPr>
      <w:r>
        <w:rPr>
          <w:rFonts w:ascii="Century" w:hAnsi="Century"/>
        </w:rPr>
        <w:t xml:space="preserve">The court also rejected an argument by Dixie Roadbuilders likening the case to those wherein an injury occurs in an employer-owned parking lot during reasonable ingress and egress from the workplace. The court noted that while parking lot accidents can, under the aforementioned circumstances, be considered to arise out of and in the course of employment, Sallet’s trip to the Dixie Express was not part of his egress from his workplace and had he chosen to stop at a nearby convenience store that was not affiliated with his employer, workers’ compensation clearly would not apply. </w:t>
      </w:r>
      <w:r>
        <w:rPr>
          <w:rStyle w:val="EndnoteReference"/>
          <w:rFonts w:ascii="Century" w:hAnsi="Century"/>
        </w:rPr>
        <w:endnoteReference w:id="568"/>
      </w:r>
    </w:p>
    <w:p>
      <w:pPr>
        <w:ind w:firstLine="720"/>
        <w:jc w:val="both"/>
        <w:rPr>
          <w:rFonts w:ascii="Century" w:hAnsi="Century"/>
        </w:rPr>
      </w:pPr>
      <w:r>
        <w:rPr>
          <w:rFonts w:ascii="Century" w:hAnsi="Century"/>
        </w:rPr>
        <w:t>The court went on to hold that there was also a question of fact as to whether Sallet’s trip to the store was a deviation from his employment and therefore, a personal pursuit.</w:t>
      </w:r>
      <w:r>
        <w:rPr>
          <w:rStyle w:val="EndnoteReference"/>
          <w:rFonts w:ascii="Century" w:hAnsi="Century"/>
        </w:rPr>
        <w:endnoteReference w:id="569"/>
      </w:r>
      <w:r>
        <w:rPr>
          <w:rFonts w:ascii="Century" w:hAnsi="Century"/>
        </w:rPr>
        <w:t xml:space="preserve">  The court cited the “deviation rule” which provides that </w:t>
      </w:r>
    </w:p>
    <w:p>
      <w:pPr>
        <w:ind w:left="720" w:right="720"/>
        <w:jc w:val="both"/>
        <w:rPr>
          <w:rFonts w:ascii="Century" w:hAnsi="Century"/>
        </w:rPr>
      </w:pPr>
      <w:r>
        <w:rPr>
          <w:rFonts w:ascii="Century" w:hAnsi="Century"/>
        </w:rPr>
        <w:t>when an employee steps aside from his employer’s business to do some act of his own, not connected with his employer’s business, the relationship of employer and employee, or mater and servant, is, as to that act, completely suspended, and an accident occurring during that time, resulting in injury to the employee, does not arise out of the employment within the meaning of the [Workers’] Compensation Act.</w:t>
      </w:r>
      <w:r>
        <w:rPr>
          <w:rStyle w:val="EndnoteReference"/>
          <w:rFonts w:ascii="Century" w:hAnsi="Century"/>
        </w:rPr>
        <w:endnoteReference w:id="570"/>
      </w:r>
    </w:p>
    <w:p>
      <w:pPr>
        <w:ind w:firstLine="720"/>
        <w:jc w:val="both"/>
        <w:rPr>
          <w:rFonts w:ascii="Century" w:hAnsi="Century"/>
        </w:rPr>
      </w:pPr>
      <w:r>
        <w:rPr>
          <w:rFonts w:ascii="Century" w:hAnsi="Century"/>
        </w:rPr>
        <w:lastRenderedPageBreak/>
        <w:t>Dixie Roadbuilders’ argued that Sallet’s trip to the store was not a personal pursuit outside the scope of his employment since the time was “not released to him as free time” during which he could do as he wished.</w:t>
      </w:r>
      <w:r>
        <w:rPr>
          <w:rStyle w:val="EndnoteReference"/>
          <w:rFonts w:ascii="Century" w:hAnsi="Century"/>
        </w:rPr>
        <w:endnoteReference w:id="571"/>
      </w:r>
      <w:r>
        <w:rPr>
          <w:rFonts w:ascii="Century" w:hAnsi="Century"/>
        </w:rPr>
        <w:t xml:space="preserve">  However, the court held that “the evidence showed that Sallet left his work premises without seeking his employer’s permission, and there is no evidence to suggest that he was fulfilling a part of his work duties while he was at the Dixie Express store…or that he was subject to being called back to work while he was at the store.”</w:t>
      </w:r>
      <w:r>
        <w:rPr>
          <w:rStyle w:val="EndnoteReference"/>
          <w:rFonts w:ascii="Century" w:hAnsi="Century"/>
        </w:rPr>
        <w:endnoteReference w:id="572"/>
      </w:r>
      <w:r>
        <w:rPr>
          <w:rFonts w:ascii="Century" w:hAnsi="Century"/>
        </w:rPr>
        <w:t xml:space="preserve">  </w:t>
      </w:r>
    </w:p>
    <w:p>
      <w:pPr>
        <w:ind w:firstLine="720"/>
        <w:jc w:val="both"/>
        <w:rPr>
          <w:rFonts w:ascii="Century" w:hAnsi="Century"/>
        </w:rPr>
      </w:pPr>
      <w:r>
        <w:rPr>
          <w:rFonts w:ascii="Century" w:hAnsi="Century"/>
        </w:rPr>
        <w:t>Dixie Roadbuilders also attempted to argue that Sallet’s trip was not personal because his breaks were not scheduled, but instead depended on his workload.</w:t>
      </w:r>
      <w:r>
        <w:rPr>
          <w:rStyle w:val="EndnoteReference"/>
          <w:rFonts w:ascii="Century" w:hAnsi="Century"/>
        </w:rPr>
        <w:endnoteReference w:id="573"/>
      </w:r>
      <w:r>
        <w:rPr>
          <w:rFonts w:ascii="Century" w:hAnsi="Century"/>
        </w:rPr>
        <w:t xml:space="preserve">  The court, however, found that the cases cited by Dixie Roadbuilders in support of this proposition were inapposite because they all involved employees who were at their workplace when they were injured during their break.</w:t>
      </w:r>
      <w:r>
        <w:rPr>
          <w:rStyle w:val="EndnoteReference"/>
          <w:rFonts w:ascii="Century" w:hAnsi="Century"/>
        </w:rPr>
        <w:endnoteReference w:id="574"/>
      </w:r>
      <w:r>
        <w:rPr>
          <w:rFonts w:ascii="Century" w:hAnsi="Century"/>
        </w:rPr>
        <w:t xml:space="preserve"> </w:t>
      </w:r>
    </w:p>
    <w:p>
      <w:pPr>
        <w:ind w:firstLine="720"/>
        <w:jc w:val="both"/>
        <w:rPr>
          <w:rFonts w:ascii="Century" w:hAnsi="Century"/>
        </w:rPr>
      </w:pPr>
      <w:r>
        <w:rPr>
          <w:rFonts w:ascii="Century" w:hAnsi="Century"/>
        </w:rPr>
        <w:t>The court was ultimately unable to state as a matter of law that Sallet’s trip to the store was a personal pursuit outside the course of his employment for Dixie Roadbuilders, and found that the evidence presented a question of fact as to whether Sallet deviated from his employment.</w:t>
      </w:r>
      <w:r>
        <w:rPr>
          <w:rStyle w:val="EndnoteReference"/>
          <w:rFonts w:ascii="Century" w:hAnsi="Century"/>
        </w:rPr>
        <w:endnoteReference w:id="575"/>
      </w:r>
    </w:p>
    <w:p>
      <w:pPr>
        <w:ind w:firstLine="720"/>
        <w:jc w:val="both"/>
        <w:rPr>
          <w:rFonts w:ascii="Century" w:hAnsi="Century"/>
        </w:rPr>
      </w:pPr>
      <w:r>
        <w:rPr>
          <w:rFonts w:ascii="Century" w:hAnsi="Century"/>
        </w:rPr>
        <w:t>The court also rejected Dixie Roadbuilders’ argument that Sallet’s estate was estopped from challenging the applicability of the Workers’ Compensation Act because they accepted workers’ compensation benefits.</w:t>
      </w:r>
      <w:r>
        <w:rPr>
          <w:rStyle w:val="EndnoteReference"/>
          <w:rFonts w:ascii="Century" w:hAnsi="Century"/>
        </w:rPr>
        <w:endnoteReference w:id="576"/>
      </w:r>
      <w:r>
        <w:rPr>
          <w:rFonts w:ascii="Century" w:hAnsi="Century"/>
        </w:rPr>
        <w:t xml:space="preserve">  The evidence showed that the plaintiffs did not request, and were in fact unaware of, Dixie Roadbuilders’ payments to the funeral </w:t>
      </w:r>
      <w:r>
        <w:rPr>
          <w:rFonts w:ascii="Century" w:hAnsi="Century"/>
        </w:rPr>
        <w:lastRenderedPageBreak/>
        <w:t>home and to the State Board of Workers’ Compensation.</w:t>
      </w:r>
      <w:r>
        <w:rPr>
          <w:rStyle w:val="EndnoteReference"/>
          <w:rFonts w:ascii="Century" w:hAnsi="Century"/>
        </w:rPr>
        <w:endnoteReference w:id="577"/>
      </w:r>
      <w:r>
        <w:rPr>
          <w:rFonts w:ascii="Century" w:hAnsi="Century"/>
        </w:rPr>
        <w:t xml:space="preserve">  Although the court acknowledged that “[a] party’s acceptance of workers’ compensation benefits can trigger the exclusive remedy provision and estop that party from denying that the injury was covered by workers’ compensation”</w:t>
      </w:r>
      <w:r>
        <w:rPr>
          <w:rStyle w:val="EndnoteReference"/>
          <w:rFonts w:ascii="Century" w:hAnsi="Century"/>
        </w:rPr>
        <w:endnoteReference w:id="578"/>
      </w:r>
      <w:r>
        <w:rPr>
          <w:rFonts w:ascii="Century" w:hAnsi="Century"/>
        </w:rPr>
        <w:t>, they found that even if the plaintiffs were determined to have accepted the payment of funeral expenses, it was not inconsistent with their assertion of tort claims against Dixie Roadbuilders and did not estop them from contesting the applicability of workers’ compensation coverage.</w:t>
      </w:r>
      <w:r>
        <w:rPr>
          <w:rStyle w:val="EndnoteReference"/>
          <w:rFonts w:ascii="Century" w:hAnsi="Century"/>
        </w:rPr>
        <w:endnoteReference w:id="579"/>
      </w:r>
      <w:r>
        <w:rPr>
          <w:rFonts w:ascii="Century" w:hAnsi="Century"/>
        </w:rPr>
        <w:t xml:space="preserve">  Accordingly, the court found that the trial court did not err in denying Dixie Roadbuilders’ motion for summary judgment.</w:t>
      </w:r>
      <w:r>
        <w:rPr>
          <w:rStyle w:val="EndnoteReference"/>
          <w:rFonts w:ascii="Century" w:hAnsi="Century"/>
        </w:rPr>
        <w:endnoteReference w:id="580"/>
      </w:r>
    </w:p>
    <w:p>
      <w:pPr>
        <w:ind w:firstLine="720"/>
        <w:jc w:val="both"/>
        <w:rPr>
          <w:rFonts w:ascii="Century" w:hAnsi="Century"/>
        </w:rPr>
      </w:pPr>
      <w:r>
        <w:rPr>
          <w:rFonts w:ascii="Century" w:hAnsi="Century"/>
        </w:rPr>
        <w:t xml:space="preserve">The </w:t>
      </w:r>
      <w:r>
        <w:rPr>
          <w:rFonts w:ascii="Century" w:hAnsi="Century"/>
          <w:i/>
        </w:rPr>
        <w:t xml:space="preserve">Dixie Roadbuilders </w:t>
      </w:r>
      <w:r>
        <w:rPr>
          <w:rFonts w:ascii="Century" w:hAnsi="Century"/>
        </w:rPr>
        <w:t>decision is another example of the fact sensitive nature of cases involving injuries which occur away the workplace. It also highlights one instance in which an employer and insurer may want to argue that an injury arose out of and in the course of the employee’s employment so as to avail themselves of the exclusive remedy protections of the Georgia Workers’ Compensation Act.</w:t>
      </w:r>
    </w:p>
    <w:p>
      <w:pPr>
        <w:pStyle w:val="BodyTextFirstIndent"/>
        <w:ind w:firstLine="0"/>
        <w:jc w:val="center"/>
        <w:rPr>
          <w:b/>
          <w:u w:val="single"/>
        </w:rPr>
      </w:pPr>
      <w:r>
        <w:rPr>
          <w:b/>
          <w:u w:val="single"/>
        </w:rPr>
        <w:t>End Notes</w:t>
      </w:r>
    </w:p>
    <w:p>
      <w:pPr>
        <w:pStyle w:val="BodyTextFirstIndent"/>
        <w:ind w:firstLine="0"/>
        <w:jc w:val="center"/>
        <w:rPr>
          <w:b/>
          <w:u w:val="single"/>
        </w:rPr>
      </w:pPr>
    </w:p>
    <w:p>
      <w:pPr>
        <w:jc w:val="both"/>
        <w:rPr>
          <w:sz w:val="21"/>
          <w:szCs w:val="21"/>
        </w:rPr>
      </w:pPr>
    </w:p>
    <w:p>
      <w:pPr>
        <w:jc w:val="both"/>
        <w:rPr>
          <w:sz w:val="21"/>
          <w:szCs w:val="21"/>
        </w:rPr>
        <w:sectPr>
          <w:footnotePr>
            <w:numRestart w:val="eachSect"/>
          </w:footnotePr>
          <w:endnotePr>
            <w:numFmt w:val="decimal"/>
            <w:numRestart w:val="eachSect"/>
          </w:endnotePr>
          <w:type w:val="continuous"/>
          <w:pgSz w:w="12240" w:h="15840"/>
          <w:pgMar w:top="1440" w:right="1800" w:bottom="1440" w:left="1800" w:header="720" w:footer="720" w:gutter="0"/>
          <w:cols w:num="2" w:space="720"/>
          <w:rtlGutter/>
          <w:docGrid w:linePitch="360"/>
        </w:sectPr>
      </w:pPr>
    </w:p>
    <w:p>
      <w:pPr>
        <w:pStyle w:val="Heading1"/>
        <w:rPr>
          <w:szCs w:val="27"/>
        </w:rPr>
      </w:pPr>
      <w:r>
        <w:lastRenderedPageBreak/>
        <w:br w:type="page"/>
      </w:r>
      <w:bookmarkStart w:id="75" w:name="_Toc387223615"/>
      <w:r>
        <w:lastRenderedPageBreak/>
        <w:t>The Lead Stories:  Recent Developments in Labor and Employment Law</w:t>
      </w:r>
      <w:bookmarkEnd w:id="75"/>
    </w:p>
    <w:p>
      <w:pPr>
        <w:pStyle w:val="Author"/>
      </w:pPr>
    </w:p>
    <w:p>
      <w:pPr>
        <w:pStyle w:val="Author"/>
      </w:pPr>
      <w:r>
        <w:t>By: W. Melvin Haas, III, Past President, GDLA</w:t>
      </w:r>
    </w:p>
    <w:p>
      <w:pPr>
        <w:pStyle w:val="Author"/>
      </w:pPr>
      <w:r>
        <w:t>Jason C. Logan</w:t>
      </w:r>
    </w:p>
    <w:p>
      <w:pPr>
        <w:pStyle w:val="Author"/>
      </w:pPr>
      <w:r>
        <w:t>W. Jonathan Martin, II</w:t>
      </w:r>
    </w:p>
    <w:p>
      <w:pPr>
        <w:pStyle w:val="Author"/>
      </w:pPr>
      <w:r>
        <w:t>Sarah M. Phaff</w:t>
      </w:r>
    </w:p>
    <w:p>
      <w:pPr>
        <w:pStyle w:val="Author"/>
      </w:pPr>
      <w:r>
        <w:t>Constangy, Brooks &amp; Smith, LLP</w:t>
      </w:r>
    </w:p>
    <w:p>
      <w:pPr>
        <w:pStyle w:val="Author"/>
      </w:pPr>
    </w:p>
    <w:p>
      <w:pPr>
        <w:spacing w:after="0"/>
        <w:jc w:val="both"/>
        <w:rPr>
          <w:sz w:val="21"/>
          <w:szCs w:val="21"/>
        </w:rPr>
      </w:pPr>
    </w:p>
    <w:p>
      <w:pPr>
        <w:pBdr>
          <w:top w:val="single" w:sz="4" w:space="1" w:color="auto"/>
          <w:left w:val="single" w:sz="4" w:space="4" w:color="auto"/>
          <w:bottom w:val="single" w:sz="4" w:space="1" w:color="auto"/>
          <w:right w:val="single" w:sz="4" w:space="4" w:color="auto"/>
        </w:pBdr>
        <w:shd w:val="clear" w:color="auto" w:fill="81BAC5"/>
        <w:spacing w:after="0"/>
        <w:jc w:val="both"/>
      </w:pPr>
      <w:r>
        <w:rPr>
          <w:noProof/>
        </w:rPr>
        <w:pict>
          <v:shape id="Picture 34" o:spid="_x0000_s1044" type="#_x0000_t75" style="position:absolute;left:0;text-align:left;margin-left:323.65pt;margin-top:34.65pt;width:80.85pt;height:114.05pt;z-index:-251668992;visibility:visible" stroked="t" strokeweight="1.5pt">
            <v:imagedata r:id="rId38" o:title=""/>
            <w10:wrap type="square"/>
          </v:shape>
        </w:pict>
      </w:r>
      <w:r>
        <w:rPr>
          <w:noProof/>
        </w:rPr>
        <w:pict>
          <v:shape id="Picture 35" o:spid="_x0000_s1045" type="#_x0000_t75" style="position:absolute;left:0;text-align:left;margin-left:121.6pt;margin-top:34.65pt;width:93.1pt;height:114.2pt;z-index:-251667968;visibility:visible" wrapcoords="-348 -284 -348 21742 21948 21742 21948 -284 -348 -284" stroked="t" strokeweight="1.5pt">
            <v:imagedata r:id="rId39" o:title=""/>
            <w10:wrap type="tight"/>
          </v:shape>
        </w:pict>
      </w:r>
      <w:r>
        <w:rPr>
          <w:noProof/>
        </w:rPr>
        <w:pict>
          <v:shape id="Picture 36" o:spid="_x0000_s1046" type="#_x0000_t75" style="position:absolute;left:0;text-align:left;margin-left:9.6pt;margin-top:34.65pt;width:90.85pt;height:114.05pt;z-index:-251666944;visibility:visible" stroked="t" strokeweight="1.5pt">
            <v:imagedata r:id="rId40" o:title=""/>
            <w10:wrap type="square"/>
          </v:shape>
        </w:pict>
      </w:r>
      <w:r>
        <w:rPr>
          <w:noProof/>
        </w:rPr>
        <w:pict>
          <v:shape id="Picture 33" o:spid="_x0000_s1047" type="#_x0000_t75" style="position:absolute;left:0;text-align:left;margin-left:229.95pt;margin-top:34.5pt;width:75.45pt;height:114.2pt;z-index:-251670016;visibility:visible" stroked="t" strokeweight="1.5pt">
            <v:imagedata r:id="rId41" o:title=""/>
            <w10:wrap type="square"/>
          </v:shape>
        </w:pict>
      </w:r>
      <w:r>
        <w:rPr>
          <w:b/>
        </w:rPr>
        <w:t xml:space="preserve">W. Melvin Haas, III, W. Jonathan Martin, II </w:t>
      </w:r>
      <w:r>
        <w:t>and</w:t>
      </w:r>
      <w:r>
        <w:rPr>
          <w:b/>
        </w:rPr>
        <w:t xml:space="preserve"> Jason C. Logan</w:t>
      </w:r>
      <w:r>
        <w:t xml:space="preserve"> are partners and </w:t>
      </w:r>
      <w:r>
        <w:rPr>
          <w:b/>
        </w:rPr>
        <w:t>Sarah M. Phaff</w:t>
      </w:r>
      <w:r>
        <w:t xml:space="preserve"> is an associate at the law firm of Constangy, Brooks, &amp; Smith LLP.  Constangy, Brooks &amp; Smith focuses its practice on labor and employment law. Constangy attorneys have counseled employers since 1946.  The firm’s practice areas include:  Affirmative Action, Class Action Litigation,</w:t>
      </w:r>
      <w:r>
        <w:rPr>
          <w:rFonts w:ascii="Trebuchet MS" w:hAnsi="Trebuchet MS"/>
          <w:color w:val="666666"/>
        </w:rPr>
        <w:t xml:space="preserve"> </w:t>
      </w:r>
      <w:r>
        <w:t xml:space="preserve">Employee Benefits, Employment Litigation and Defense, Occupational Safety and Health, Labor Relations, Wage and Hour Defense, and Worker’s Compensation. The firm represents Fortune 500 companies and smaller companies across the nation. W. Melvin Haas, III has been recognized as a fellow by the College of Labor and Employment Lawyers.  W. Jonathan Martin, II is a Chapter Editor for Developing Labor Law. </w:t>
      </w:r>
    </w:p>
    <w:p>
      <w:pPr>
        <w:jc w:val="both"/>
        <w:rPr>
          <w:sz w:val="21"/>
          <w:szCs w:val="21"/>
        </w:rPr>
      </w:pPr>
    </w:p>
    <w:p>
      <w:pPr>
        <w:jc w:val="both"/>
        <w:rPr>
          <w:b/>
          <w:sz w:val="21"/>
          <w:szCs w:val="21"/>
        </w:rPr>
        <w:sectPr>
          <w:footnotePr>
            <w:numRestart w:val="eachSect"/>
          </w:footnotePr>
          <w:endnotePr>
            <w:numFmt w:val="decimal"/>
            <w:numRestart w:val="eachSect"/>
          </w:endnotePr>
          <w:type w:val="continuous"/>
          <w:pgSz w:w="12240" w:h="15840"/>
          <w:pgMar w:top="1440" w:right="1800" w:bottom="1440" w:left="1800" w:header="720" w:footer="720" w:gutter="0"/>
          <w:cols w:space="720"/>
          <w:rtlGutter/>
          <w:docGrid w:linePitch="360"/>
        </w:sectPr>
      </w:pPr>
    </w:p>
    <w:p>
      <w:pPr>
        <w:pStyle w:val="BodyTextFirstIndent"/>
        <w:ind w:left="720" w:hanging="720"/>
        <w:jc w:val="left"/>
        <w:rPr>
          <w:b/>
        </w:rPr>
      </w:pPr>
      <w:r>
        <w:rPr>
          <w:b/>
        </w:rPr>
        <w:lastRenderedPageBreak/>
        <w:t>I.</w:t>
      </w:r>
      <w:r>
        <w:rPr>
          <w:b/>
        </w:rPr>
        <w:tab/>
        <w:t>Introduction</w:t>
      </w:r>
    </w:p>
    <w:p>
      <w:pPr>
        <w:pStyle w:val="BodyTextFirstIndent"/>
      </w:pPr>
      <w:r>
        <w:t xml:space="preserve">Breaking news is rarely good news, and much of the labor and employment law news in the past year has presented new challenges for employers.  During the past twelve months, we have seen case law and administrative decisions creating new rights and new causes of action, new regulations imposing additional obligations on employers, and increasingly </w:t>
      </w:r>
      <w:r>
        <w:lastRenderedPageBreak/>
        <w:t>aggressive administrative agency enforcement.</w:t>
      </w:r>
    </w:p>
    <w:p>
      <w:pPr>
        <w:pStyle w:val="BodyTextFirstIndent"/>
      </w:pPr>
      <w:r>
        <w:t>This article provides a brief synopsis of the leading developments in labor and employment law from the past year.  It is intended to keep readers up to date on the changing employment law landscape, and to provide insight as to what to expect in the future.</w:t>
      </w:r>
      <w:bookmarkStart w:id="76" w:name="_Toc378246998"/>
      <w:bookmarkStart w:id="77" w:name="_Toc378256368"/>
      <w:bookmarkStart w:id="78" w:name="_Toc378597529"/>
      <w:bookmarkStart w:id="79" w:name="_Toc378843481"/>
      <w:bookmarkStart w:id="80" w:name="_Toc379183209"/>
      <w:bookmarkStart w:id="81" w:name="_Toc379184093"/>
      <w:bookmarkStart w:id="82" w:name="_Toc379349861"/>
      <w:bookmarkStart w:id="83" w:name="_Toc379349976"/>
      <w:bookmarkStart w:id="84" w:name="_Toc379351137"/>
      <w:bookmarkStart w:id="85" w:name="_Toc378246991"/>
      <w:bookmarkStart w:id="86" w:name="_Toc378256361"/>
      <w:bookmarkStart w:id="87" w:name="_Toc378597522"/>
      <w:bookmarkStart w:id="88" w:name="_Toc378843474"/>
    </w:p>
    <w:p>
      <w:pPr>
        <w:pStyle w:val="BodyTextFirstIndent"/>
        <w:keepNext/>
        <w:keepLines/>
        <w:ind w:left="720" w:hanging="720"/>
        <w:jc w:val="left"/>
        <w:rPr>
          <w:b/>
        </w:rPr>
      </w:pPr>
      <w:r>
        <w:rPr>
          <w:b/>
        </w:rPr>
        <w:lastRenderedPageBreak/>
        <w:t>II.</w:t>
      </w:r>
      <w:r>
        <w:rPr>
          <w:b/>
        </w:rPr>
        <w:tab/>
        <w:t>Equal Employment Opportunity Commission (EEOC)/Title VII</w:t>
      </w:r>
      <w:bookmarkStart w:id="89" w:name="_Toc378246999"/>
      <w:bookmarkStart w:id="90" w:name="_Toc378256369"/>
      <w:bookmarkStart w:id="91" w:name="_Toc378597530"/>
      <w:bookmarkStart w:id="92" w:name="_Toc378843482"/>
      <w:bookmarkStart w:id="93" w:name="_Toc379183210"/>
      <w:bookmarkStart w:id="94" w:name="_Toc379184094"/>
      <w:bookmarkStart w:id="95" w:name="_Toc379349862"/>
      <w:bookmarkStart w:id="96" w:name="_Toc379349977"/>
      <w:bookmarkStart w:id="97" w:name="_Toc379351138"/>
      <w:bookmarkEnd w:id="76"/>
      <w:bookmarkEnd w:id="77"/>
      <w:bookmarkEnd w:id="78"/>
      <w:bookmarkEnd w:id="79"/>
      <w:bookmarkEnd w:id="80"/>
      <w:bookmarkEnd w:id="81"/>
      <w:bookmarkEnd w:id="82"/>
      <w:bookmarkEnd w:id="83"/>
      <w:bookmarkEnd w:id="84"/>
    </w:p>
    <w:p>
      <w:pPr>
        <w:pStyle w:val="BodyTextFirstIndent"/>
        <w:keepNext/>
        <w:keepLines/>
        <w:ind w:firstLine="0"/>
        <w:jc w:val="center"/>
        <w:rPr>
          <w:b/>
        </w:rPr>
      </w:pPr>
      <w:r>
        <w:rPr>
          <w:b/>
        </w:rPr>
        <w:t>A.</w:t>
      </w:r>
      <w:r>
        <w:rPr>
          <w:b/>
        </w:rPr>
        <w:tab/>
        <w:t>Harassment</w:t>
      </w:r>
      <w:bookmarkEnd w:id="89"/>
      <w:bookmarkEnd w:id="90"/>
      <w:bookmarkEnd w:id="91"/>
      <w:bookmarkEnd w:id="92"/>
      <w:bookmarkEnd w:id="93"/>
      <w:bookmarkEnd w:id="94"/>
      <w:bookmarkEnd w:id="95"/>
      <w:bookmarkEnd w:id="96"/>
      <w:bookmarkEnd w:id="97"/>
    </w:p>
    <w:p>
      <w:pPr>
        <w:pStyle w:val="BodyTextFirstIndent"/>
      </w:pPr>
      <w:r>
        <w:t>One of the most significant developments in labor and employment law during the past year was the decision of the United States Supreme Court in Vance</w:t>
      </w:r>
      <w:r>
        <w:rPr>
          <w:i/>
        </w:rPr>
        <w:t xml:space="preserve"> v. Ball State University</w:t>
      </w:r>
      <w:r>
        <w:t>,</w:t>
      </w:r>
      <w:bookmarkEnd w:id="85"/>
      <w:bookmarkEnd w:id="86"/>
      <w:bookmarkEnd w:id="87"/>
      <w:bookmarkEnd w:id="88"/>
      <w:r>
        <w:rPr>
          <w:rStyle w:val="EndnoteReference"/>
          <w:i/>
        </w:rPr>
        <w:endnoteReference w:id="581"/>
      </w:r>
      <w:r>
        <w:t xml:space="preserve"> which dealt with employer liability in harassment cases.  Under Title VII, an employer’s liability for workplace harassment may hinge on “the status of the harasser.”</w:t>
      </w:r>
      <w:r>
        <w:rPr>
          <w:rStyle w:val="EndnoteReference"/>
        </w:rPr>
        <w:endnoteReference w:id="582"/>
      </w:r>
      <w:r>
        <w:t xml:space="preserve">  “If the harassing employee is the victim’s co-worker, an employer is liable only if it was negligent in controlling working conditions,” and not investigating and stopping the harassment once it knew or should have known about it.</w:t>
      </w:r>
      <w:r>
        <w:rPr>
          <w:rStyle w:val="EndnoteReference"/>
        </w:rPr>
        <w:endnoteReference w:id="583"/>
      </w:r>
      <w:r>
        <w:t xml:space="preserve"> This is different in cases where the harasser is a supervisor.</w:t>
      </w:r>
      <w:r>
        <w:rPr>
          <w:rStyle w:val="EndnoteReference"/>
        </w:rPr>
        <w:endnoteReference w:id="584"/>
      </w:r>
      <w:r>
        <w:t xml:space="preserve"> In the case of harassment by a supervisor, if a tangible adverse employment action results - i.e., hiring, firing, failure to promote, or reassignment with significantly different responsibilities - “the employer is strictly liable” for the harassment.</w:t>
      </w:r>
      <w:r>
        <w:rPr>
          <w:rStyle w:val="EndnoteReference"/>
        </w:rPr>
        <w:endnoteReference w:id="585"/>
      </w:r>
      <w:r>
        <w:t xml:space="preserve"> However, where no tangible action is taken, “the employer may escape liability by establishing, as an affirmative defense, that (1) the employer exercised reasonable care to prevent and correct any harassing behavior, and (2) the plaintiff unreasonably failed to take advantage of the preventive or corrective opportunities that the employer provided.”</w:t>
      </w:r>
      <w:r>
        <w:rPr>
          <w:rStyle w:val="EndnoteReference"/>
        </w:rPr>
        <w:endnoteReference w:id="586"/>
      </w:r>
      <w:r>
        <w:t xml:space="preserve">  While this legal standard arose out of sexual harassment cases in the United </w:t>
      </w:r>
      <w:r>
        <w:lastRenderedPageBreak/>
        <w:t xml:space="preserve">States Supreme Court decisions of </w:t>
      </w:r>
      <w:r>
        <w:rPr>
          <w:i/>
        </w:rPr>
        <w:t>Faragher v. Boca Raton</w:t>
      </w:r>
      <w:r>
        <w:t>,</w:t>
      </w:r>
      <w:r>
        <w:rPr>
          <w:rStyle w:val="EndnoteReference"/>
        </w:rPr>
        <w:endnoteReference w:id="587"/>
      </w:r>
      <w:r>
        <w:t xml:space="preserve"> and </w:t>
      </w:r>
      <w:r>
        <w:rPr>
          <w:i/>
        </w:rPr>
        <w:t>Burlington Industries, Inc. v. Ellerth</w:t>
      </w:r>
      <w:r>
        <w:t>,</w:t>
      </w:r>
      <w:r>
        <w:rPr>
          <w:rStyle w:val="EndnoteReference"/>
        </w:rPr>
        <w:endnoteReference w:id="588"/>
      </w:r>
      <w:r>
        <w:t xml:space="preserve"> it applies equally to all types of unlawful harassment. </w:t>
      </w:r>
      <w:r>
        <w:rPr>
          <w:rStyle w:val="EndnoteReference"/>
        </w:rPr>
        <w:endnoteReference w:id="589"/>
      </w:r>
    </w:p>
    <w:p>
      <w:pPr>
        <w:pStyle w:val="BodyTextFirstIndent"/>
      </w:pPr>
      <w:r>
        <w:t xml:space="preserve">In </w:t>
      </w:r>
      <w:r>
        <w:rPr>
          <w:i/>
        </w:rPr>
        <w:t>Vance</w:t>
      </w:r>
      <w:r>
        <w:t>, an African-American employee sued Ball State University alleging that a fellow employee created a racially hostile work environment in violation of Title VII.</w:t>
      </w:r>
      <w:r>
        <w:rPr>
          <w:rStyle w:val="EndnoteReference"/>
        </w:rPr>
        <w:endnoteReference w:id="590"/>
      </w:r>
      <w:r>
        <w:t xml:space="preserve"> The federal district court granted summary judgment to Ball State, finding that the University was not vicariously liable for the accused harasser’s actions because the accused harasser was not a supervisor.</w:t>
      </w:r>
      <w:r>
        <w:rPr>
          <w:rStyle w:val="EndnoteReference"/>
        </w:rPr>
        <w:endnoteReference w:id="591"/>
      </w:r>
      <w:r>
        <w:t xml:space="preserve"> The Seventh Circuit Court of Appeals affirmed and the case went to the Supreme Court, where the plaintiff argued that the harasser was a supervisor because he directed the plaintiff’s activities.</w:t>
      </w:r>
      <w:r>
        <w:rPr>
          <w:rStyle w:val="EndnoteReference"/>
        </w:rPr>
        <w:endnoteReference w:id="592"/>
      </w:r>
    </w:p>
    <w:p>
      <w:pPr>
        <w:pStyle w:val="BodyTextFirstIndent"/>
      </w:pPr>
      <w:r>
        <w:t>The Supreme Court also affirmed, ruling that the accused harasser was not a supervisor.</w:t>
      </w:r>
      <w:r>
        <w:rPr>
          <w:rStyle w:val="EndnoteReference"/>
        </w:rPr>
        <w:endnoteReference w:id="593"/>
      </w:r>
      <w:r>
        <w:t xml:space="preserve">  The Supreme Court reasoned that an employee is a supervisor for purposes of vicarious liability under Title VII only if he or she is empowered by the employer to take tangible employment actions against the victim.</w:t>
      </w:r>
      <w:r>
        <w:rPr>
          <w:rStyle w:val="EndnoteReference"/>
        </w:rPr>
        <w:endnoteReference w:id="594"/>
      </w:r>
      <w:r>
        <w:t xml:space="preserve">  While the EEOC and plaintiff urged that a supervisor be defined as someone who directs the employee’s daily work activity, the Supreme Court rejected that position and limited the definition.</w:t>
      </w:r>
      <w:r>
        <w:rPr>
          <w:rStyle w:val="EndnoteReference"/>
        </w:rPr>
        <w:endnoteReference w:id="595"/>
      </w:r>
      <w:r>
        <w:t xml:space="preserve">  </w:t>
      </w:r>
    </w:p>
    <w:p>
      <w:pPr>
        <w:pStyle w:val="BodyTextFirstIndent"/>
      </w:pPr>
      <w:r>
        <w:t xml:space="preserve">The Supreme Court’s </w:t>
      </w:r>
      <w:r>
        <w:rPr>
          <w:i/>
        </w:rPr>
        <w:t>Vance</w:t>
      </w:r>
      <w:r>
        <w:t xml:space="preserve"> ruling is positive for employers for several reasons.  First, it limits the </w:t>
      </w:r>
      <w:r>
        <w:lastRenderedPageBreak/>
        <w:t xml:space="preserve">kind of employee that may be found to be a supervisor, potentially making the employer strictly liable.  Perhaps more importantly, this holding may permit courts and parties to resolve early on in litigation the status of an alleged harasser as a supervisor and, therefore, better determine the employer’s liability.  In the wake of </w:t>
      </w:r>
      <w:r>
        <w:rPr>
          <w:i/>
        </w:rPr>
        <w:t>Vance</w:t>
      </w:r>
      <w:r>
        <w:t>, employers should carefully review employee job descriptions, including duties and responsibilities, to determine whether there is authority to take tangible employment actions.  Employees vested with such power should receive anti-harassment training.</w:t>
      </w:r>
      <w:bookmarkStart w:id="98" w:name="_Toc378247000"/>
      <w:bookmarkStart w:id="99" w:name="_Toc378256370"/>
      <w:bookmarkStart w:id="100" w:name="_Toc378597531"/>
      <w:bookmarkStart w:id="101" w:name="_Toc378843483"/>
      <w:bookmarkStart w:id="102" w:name="_Toc379183211"/>
      <w:bookmarkStart w:id="103" w:name="_Toc379184095"/>
      <w:bookmarkStart w:id="104" w:name="_Toc379349863"/>
      <w:bookmarkStart w:id="105" w:name="_Toc379349978"/>
      <w:bookmarkStart w:id="106" w:name="_Toc379351139"/>
    </w:p>
    <w:p>
      <w:pPr>
        <w:pStyle w:val="BodyTextFirstIndent"/>
        <w:ind w:firstLine="0"/>
        <w:jc w:val="center"/>
        <w:rPr>
          <w:b/>
        </w:rPr>
      </w:pPr>
      <w:r>
        <w:rPr>
          <w:b/>
        </w:rPr>
        <w:t>B.</w:t>
      </w:r>
      <w:r>
        <w:rPr>
          <w:b/>
        </w:rPr>
        <w:tab/>
        <w:t>Title VII Retaliation</w:t>
      </w:r>
      <w:bookmarkEnd w:id="98"/>
      <w:bookmarkEnd w:id="99"/>
      <w:bookmarkEnd w:id="100"/>
      <w:bookmarkEnd w:id="101"/>
      <w:bookmarkEnd w:id="102"/>
      <w:bookmarkEnd w:id="103"/>
      <w:bookmarkEnd w:id="104"/>
      <w:bookmarkEnd w:id="105"/>
      <w:bookmarkEnd w:id="106"/>
    </w:p>
    <w:p>
      <w:pPr>
        <w:pStyle w:val="BodyTextFirstIndent"/>
      </w:pPr>
      <w:r>
        <w:t xml:space="preserve">In another significant United States Supreme Court decision, </w:t>
      </w:r>
      <w:r>
        <w:rPr>
          <w:i/>
        </w:rPr>
        <w:t>University of Texas Southwestern Medical Center v. Nassar</w:t>
      </w:r>
      <w:r>
        <w:t>,</w:t>
      </w:r>
      <w:r>
        <w:rPr>
          <w:rStyle w:val="EndnoteReference"/>
        </w:rPr>
        <w:endnoteReference w:id="596"/>
      </w:r>
      <w:r>
        <w:t xml:space="preserve"> the Supreme Court held that a plaintiff alleging retaliation under Title VII must prove that a retaliatory motive was the “but for” cause of the adverse action.</w:t>
      </w:r>
      <w:r>
        <w:rPr>
          <w:rStyle w:val="EndnoteReference"/>
        </w:rPr>
        <w:endnoteReference w:id="597"/>
      </w:r>
      <w:r>
        <w:t xml:space="preserve">  To meet the “but for” standard, a plaintiff must demonstrate that the adverse action would not have occurred but for his or her protected activity.</w:t>
      </w:r>
      <w:r>
        <w:rPr>
          <w:rStyle w:val="EndnoteReference"/>
        </w:rPr>
        <w:endnoteReference w:id="598"/>
      </w:r>
      <w:r>
        <w:t xml:space="preserve">  In contrast, in a “mixed motive” case, the employee need only demonstrate that the discrimination was one of the motives for the adverse action.</w:t>
      </w:r>
      <w:r>
        <w:rPr>
          <w:rStyle w:val="EndnoteReference"/>
        </w:rPr>
        <w:endnoteReference w:id="599"/>
      </w:r>
    </w:p>
    <w:p>
      <w:pPr>
        <w:pStyle w:val="BodyTextFirstIndent"/>
      </w:pPr>
      <w:r>
        <w:t xml:space="preserve">In </w:t>
      </w:r>
      <w:r>
        <w:rPr>
          <w:i/>
        </w:rPr>
        <w:t xml:space="preserve">Nassar, </w:t>
      </w:r>
      <w:r>
        <w:t>the plaintiff was a physician and faculty member at the University of Texas Southwestern Medical Center.</w:t>
      </w:r>
      <w:r>
        <w:rPr>
          <w:rStyle w:val="EndnoteReference"/>
        </w:rPr>
        <w:endnoteReference w:id="600"/>
      </w:r>
      <w:r>
        <w:t xml:space="preserve">  </w:t>
      </w:r>
      <w:r>
        <w:lastRenderedPageBreak/>
        <w:t>He alleged constructive discharge based on racial and religious harassment and that, after he resigned from his position, he was retaliated against when the employer allegedly prevented him from obtaining subsequent employment at a clinic affiliated with the University of Texas.</w:t>
      </w:r>
      <w:r>
        <w:rPr>
          <w:rStyle w:val="EndnoteReference"/>
        </w:rPr>
        <w:endnoteReference w:id="601"/>
      </w:r>
      <w:r>
        <w:t xml:space="preserve">  In the district court, the jury found in favor of Nassar and awarded him over $400,000 in back pay and $3 million in compensatory damages, which was reduced to $300,000.</w:t>
      </w:r>
      <w:r>
        <w:rPr>
          <w:rStyle w:val="EndnoteReference"/>
        </w:rPr>
        <w:endnoteReference w:id="602"/>
      </w:r>
    </w:p>
    <w:p>
      <w:pPr>
        <w:pStyle w:val="BodyTextFirstIndent"/>
      </w:pPr>
      <w:r>
        <w:t xml:space="preserve">The facts in </w:t>
      </w:r>
      <w:r>
        <w:rPr>
          <w:i/>
        </w:rPr>
        <w:t>Nassar</w:t>
      </w:r>
      <w:r>
        <w:t xml:space="preserve"> demonstrate the legal and factual distinctions between status-based discrimination and retaliation claims.</w:t>
      </w:r>
      <w:r>
        <w:rPr>
          <w:rStyle w:val="EndnoteReference"/>
        </w:rPr>
        <w:endnoteReference w:id="603"/>
      </w:r>
      <w:r>
        <w:t xml:space="preserve"> The Court noted that the claims had different “alleged wrongdoers,” elements of proof, and separate jury verdicts.</w:t>
      </w:r>
      <w:r>
        <w:rPr>
          <w:rStyle w:val="EndnoteReference"/>
        </w:rPr>
        <w:endnoteReference w:id="604"/>
      </w:r>
      <w:r>
        <w:t xml:space="preserve"> The Supreme Court held that in a discrimination case, a plaintiff only has to show that discrimination was a motivating factor for the adverse action.</w:t>
      </w:r>
      <w:r>
        <w:rPr>
          <w:rStyle w:val="EndnoteReference"/>
        </w:rPr>
        <w:endnoteReference w:id="605"/>
      </w:r>
      <w:r>
        <w:t xml:space="preserve">  However, the Supreme Court ruled that Title VII’s anti-retaliation provision appears in a different section of the statute than the prohibition on status-based discrimination, supporting a different causation standard.</w:t>
      </w:r>
      <w:r>
        <w:rPr>
          <w:rStyle w:val="EndnoteReference"/>
        </w:rPr>
        <w:endnoteReference w:id="606"/>
      </w:r>
      <w:r>
        <w:t xml:space="preserve">  The Supreme Court ruled that this language distinguished the anti-retaliation provisions of Title VII from the anti-discrimination provisions and required a “but for” standard of proof in a retaliation case.</w:t>
      </w:r>
      <w:r>
        <w:rPr>
          <w:rStyle w:val="EndnoteReference"/>
        </w:rPr>
        <w:endnoteReference w:id="607"/>
      </w:r>
      <w:bookmarkStart w:id="107" w:name="_Toc378247001"/>
      <w:bookmarkStart w:id="108" w:name="_Toc378256371"/>
      <w:bookmarkStart w:id="109" w:name="_Toc378597532"/>
      <w:bookmarkStart w:id="110" w:name="_Toc378843484"/>
      <w:bookmarkStart w:id="111" w:name="_Toc379183212"/>
      <w:bookmarkStart w:id="112" w:name="_Toc379184096"/>
      <w:bookmarkStart w:id="113" w:name="_Toc379349864"/>
      <w:bookmarkStart w:id="114" w:name="_Toc379349979"/>
      <w:bookmarkStart w:id="115" w:name="_Toc379351140"/>
    </w:p>
    <w:p>
      <w:pPr>
        <w:pStyle w:val="BodyTextFirstIndent"/>
        <w:keepNext/>
        <w:ind w:firstLine="0"/>
        <w:jc w:val="center"/>
        <w:rPr>
          <w:b/>
        </w:rPr>
      </w:pPr>
      <w:r>
        <w:rPr>
          <w:b/>
        </w:rPr>
        <w:t>C.</w:t>
      </w:r>
      <w:r>
        <w:rPr>
          <w:b/>
        </w:rPr>
        <w:tab/>
        <w:t>Hiring Barriers</w:t>
      </w:r>
      <w:bookmarkEnd w:id="107"/>
      <w:bookmarkEnd w:id="108"/>
      <w:bookmarkEnd w:id="109"/>
      <w:bookmarkEnd w:id="110"/>
      <w:bookmarkEnd w:id="111"/>
      <w:bookmarkEnd w:id="112"/>
      <w:bookmarkEnd w:id="113"/>
      <w:bookmarkEnd w:id="114"/>
      <w:bookmarkEnd w:id="115"/>
    </w:p>
    <w:p>
      <w:pPr>
        <w:pStyle w:val="BodyTextFirstIndent"/>
      </w:pPr>
      <w:r>
        <w:t>In April 2012, the Equal</w:t>
      </w:r>
      <w:r>
        <w:rPr>
          <w:rStyle w:val="Emphasis"/>
          <w:rFonts w:cs="Arial"/>
          <w:b/>
          <w:i w:val="0"/>
          <w:color w:val="222222"/>
        </w:rPr>
        <w:t xml:space="preserve"> </w:t>
      </w:r>
      <w:r>
        <w:t>Employment</w:t>
      </w:r>
      <w:r>
        <w:rPr>
          <w:rStyle w:val="Emphasis"/>
          <w:rFonts w:cs="Arial"/>
          <w:b/>
          <w:i w:val="0"/>
          <w:color w:val="222222"/>
        </w:rPr>
        <w:t xml:space="preserve"> </w:t>
      </w:r>
      <w:r>
        <w:t>Opportunity</w:t>
      </w:r>
      <w:r>
        <w:rPr>
          <w:rStyle w:val="Emphasis"/>
          <w:rFonts w:cs="Arial"/>
          <w:b/>
          <w:i w:val="0"/>
          <w:color w:val="222222"/>
        </w:rPr>
        <w:t xml:space="preserve"> </w:t>
      </w:r>
      <w:r>
        <w:lastRenderedPageBreak/>
        <w:t>Commission (“EEOC”)</w:t>
      </w:r>
      <w:r>
        <w:rPr>
          <w:b/>
          <w:i/>
        </w:rPr>
        <w:t xml:space="preserve"> </w:t>
      </w:r>
      <w:r>
        <w:t>announced new Enforcement Guidance</w:t>
      </w:r>
      <w:r>
        <w:rPr>
          <w:rStyle w:val="EndnoteReference"/>
        </w:rPr>
        <w:endnoteReference w:id="608"/>
      </w:r>
      <w:r>
        <w:t xml:space="preserve"> on employers’ use of criminal background information in making employment decisions. The new Enforcement Guidance assumes that a broad exclusion from employment based on a conviction is unlawful and requires employers to show that the disqualification of an applicant based upon a background check is job-related and consistent with business necessity.  According to the Enforcement Guidance, an employer may do this through a complicated validation process or through the development of a targeted screen, which considers the nature of the conviction, the time elapsed since the conviction, and the nature of the job.</w:t>
      </w:r>
      <w:r>
        <w:rPr>
          <w:rStyle w:val="EndnoteReference"/>
        </w:rPr>
        <w:endnoteReference w:id="609"/>
      </w:r>
      <w:r>
        <w:t xml:space="preserve"> The Enforcement Guidance requires an individualized assessment, including the facts and circumstances surrounding the events, the number of convictions, the age of the applicant at the time of the conviction or release from jail, evidence of related incidents, rehabilitation, employment or character references, and fitness for the position.</w:t>
      </w:r>
      <w:r>
        <w:rPr>
          <w:rStyle w:val="EndnoteReference"/>
        </w:rPr>
        <w:endnoteReference w:id="610"/>
      </w:r>
      <w:r>
        <w:t xml:space="preserve">  </w:t>
      </w:r>
    </w:p>
    <w:p>
      <w:pPr>
        <w:pStyle w:val="BodyTextFirstIndent"/>
      </w:pPr>
      <w:r>
        <w:t>In June 2013, the EEOC sought to enforce this 2012 Guidance. The EEOC filed separate class action lawsuits against BMW and Dollar General, alleging that they implemented and utilized criminal background policies that discriminated against African-American applicants.</w:t>
      </w:r>
      <w:r>
        <w:rPr>
          <w:rStyle w:val="EndnoteReference"/>
        </w:rPr>
        <w:endnoteReference w:id="611"/>
      </w:r>
      <w:r>
        <w:t xml:space="preserve">  These lawsuits represent the EEOC’s efforts to limit employers’ </w:t>
      </w:r>
      <w:r>
        <w:lastRenderedPageBreak/>
        <w:t>use of criminal background checks to disqualify job applicants.</w:t>
      </w:r>
      <w:r>
        <w:rPr>
          <w:rStyle w:val="EndnoteReference"/>
        </w:rPr>
        <w:endnoteReference w:id="612"/>
      </w:r>
      <w:r>
        <w:t xml:space="preserve">  However, the EEOC has also suffered some recent defeats in this enforcement effort.  </w:t>
      </w:r>
    </w:p>
    <w:p>
      <w:pPr>
        <w:pStyle w:val="BodyTextFirstIndent"/>
      </w:pPr>
      <w:r>
        <w:t xml:space="preserve">In 2013, a federal court in Maryland ruled against the EEOC in </w:t>
      </w:r>
      <w:r>
        <w:rPr>
          <w:i/>
        </w:rPr>
        <w:t>EEOC v. Freeman</w:t>
      </w:r>
      <w:r>
        <w:t>,</w:t>
      </w:r>
      <w:r>
        <w:rPr>
          <w:rStyle w:val="EndnoteReference"/>
        </w:rPr>
        <w:endnoteReference w:id="613"/>
      </w:r>
      <w:r>
        <w:t xml:space="preserve"> a case filed by the EEOC alleging that the company’s use of background checks resulted in a disparate impact against African-American applicants.</w:t>
      </w:r>
      <w:r>
        <w:rPr>
          <w:rStyle w:val="EndnoteReference"/>
        </w:rPr>
        <w:endnoteReference w:id="614"/>
      </w:r>
      <w:r>
        <w:t xml:space="preserve"> The EEOC has also lost similar lawsuits against Kaplan, Inc.</w:t>
      </w:r>
      <w:r>
        <w:rPr>
          <w:rStyle w:val="EndnoteReference"/>
        </w:rPr>
        <w:endnoteReference w:id="615"/>
      </w:r>
      <w:r>
        <w:t xml:space="preserve"> and Peoplemark, Inc.</w:t>
      </w:r>
      <w:r>
        <w:rPr>
          <w:rStyle w:val="EndnoteReference"/>
        </w:rPr>
        <w:endnoteReference w:id="616"/>
      </w:r>
    </w:p>
    <w:p>
      <w:pPr>
        <w:pStyle w:val="BodyTextFirstIndent"/>
      </w:pPr>
      <w:r>
        <w:t>This area of law remains ever changing, and these cases often hinge on disparate impact analysis.</w:t>
      </w:r>
      <w:r>
        <w:rPr>
          <w:rStyle w:val="EndnoteReference"/>
        </w:rPr>
        <w:endnoteReference w:id="617"/>
      </w:r>
      <w:r>
        <w:t xml:space="preserve"> However, the EEOC appears determined to advance this agenda, and employers need to be cautious before disqualifying applicants. </w:t>
      </w:r>
    </w:p>
    <w:p>
      <w:pPr>
        <w:pStyle w:val="BodyTextFirstIndent"/>
      </w:pPr>
      <w:r>
        <w:t xml:space="preserve">The </w:t>
      </w:r>
      <w:r>
        <w:rPr>
          <w:i/>
        </w:rPr>
        <w:t>Kaplan</w:t>
      </w:r>
      <w:r>
        <w:t xml:space="preserve"> suit not only discussed criminal convictions, but also the use of credit checks in screening job applicants.</w:t>
      </w:r>
      <w:r>
        <w:rPr>
          <w:rStyle w:val="EndnoteReference"/>
        </w:rPr>
        <w:endnoteReference w:id="618"/>
      </w:r>
      <w:r>
        <w:t xml:space="preserve">  The EEOC took a similar approach with the use of credit checks by employers in screening job applicants, stating that it has a disparate impact against minority applicants.</w:t>
      </w:r>
      <w:r>
        <w:rPr>
          <w:rStyle w:val="EndnoteReference"/>
        </w:rPr>
        <w:endnoteReference w:id="619"/>
      </w:r>
      <w:r>
        <w:t xml:space="preserve">  Unlike its guidance on the use of criminal background checks, however, the EEOC has not issued guidance addressing when an applicant may be disqualified based on credit history.</w:t>
      </w:r>
      <w:bookmarkStart w:id="116" w:name="_Toc378247002"/>
      <w:bookmarkStart w:id="117" w:name="_Toc378256372"/>
      <w:bookmarkStart w:id="118" w:name="_Toc378597533"/>
      <w:bookmarkStart w:id="119" w:name="_Toc378843485"/>
      <w:bookmarkStart w:id="120" w:name="_Toc379183213"/>
      <w:bookmarkStart w:id="121" w:name="_Toc379184097"/>
      <w:bookmarkStart w:id="122" w:name="_Toc379349865"/>
      <w:bookmarkStart w:id="123" w:name="_Toc379349980"/>
      <w:bookmarkStart w:id="124" w:name="_Toc379351141"/>
    </w:p>
    <w:p>
      <w:pPr>
        <w:pStyle w:val="BodyTextFirstIndent"/>
        <w:keepNext/>
        <w:ind w:firstLine="0"/>
        <w:jc w:val="center"/>
        <w:rPr>
          <w:b/>
        </w:rPr>
      </w:pPr>
      <w:r>
        <w:rPr>
          <w:b/>
        </w:rPr>
        <w:lastRenderedPageBreak/>
        <w:t>D.</w:t>
      </w:r>
      <w:r>
        <w:rPr>
          <w:b/>
        </w:rPr>
        <w:tab/>
        <w:t>Religious Discrimination and Harassment</w:t>
      </w:r>
      <w:bookmarkEnd w:id="116"/>
      <w:bookmarkEnd w:id="117"/>
      <w:bookmarkEnd w:id="118"/>
      <w:bookmarkEnd w:id="119"/>
      <w:bookmarkEnd w:id="120"/>
      <w:bookmarkEnd w:id="121"/>
      <w:bookmarkEnd w:id="122"/>
      <w:bookmarkEnd w:id="123"/>
      <w:bookmarkEnd w:id="124"/>
    </w:p>
    <w:p>
      <w:pPr>
        <w:pStyle w:val="BodyTextFirstIndent"/>
      </w:pPr>
      <w:r>
        <w:t>Federal courts continue to be vexed by religious discrimination and religious accommodation cases.  In a disturbing case, Antoine</w:t>
      </w:r>
      <w:r>
        <w:rPr>
          <w:i/>
        </w:rPr>
        <w:t xml:space="preserve"> v. First Students, Inc.</w:t>
      </w:r>
      <w:r>
        <w:t>,</w:t>
      </w:r>
      <w:r>
        <w:rPr>
          <w:rStyle w:val="EndnoteReference"/>
        </w:rPr>
        <w:endnoteReference w:id="620"/>
      </w:r>
      <w:r>
        <w:t xml:space="preserve"> the United States Court of Appeals for the Fifth Circuit in New Orleans held that the mere existence of employee shift-swapping policies could not preclude summary judgment and that a dispute of material fact existed as to whether the accommodation was reasonable.</w:t>
      </w:r>
      <w:r>
        <w:rPr>
          <w:rStyle w:val="EndnoteReference"/>
        </w:rPr>
        <w:endnoteReference w:id="621"/>
      </w:r>
      <w:r>
        <w:t xml:space="preserve">  The plaintiff, a truck driver, was a member of the Seventh Day Adventist Church and observed the Sabbath from sundown Friday to sundown Saturday.</w:t>
      </w:r>
      <w:r>
        <w:rPr>
          <w:rStyle w:val="EndnoteReference"/>
        </w:rPr>
        <w:endnoteReference w:id="622"/>
      </w:r>
      <w:r>
        <w:t xml:space="preserve"> When daylight savings time ended in November, 2009, sunset started before the plaintiff was able to finish his Friday afternoon shift and he requested to be transferred from that route.</w:t>
      </w:r>
      <w:r>
        <w:rPr>
          <w:rStyle w:val="EndnoteReference"/>
        </w:rPr>
        <w:endnoteReference w:id="623"/>
      </w:r>
      <w:r>
        <w:t xml:space="preserve"> </w:t>
      </w:r>
    </w:p>
    <w:p>
      <w:pPr>
        <w:pStyle w:val="BodyTextFirstIndent"/>
      </w:pPr>
      <w:r>
        <w:t>The employer used a system for assigning shifts to its drivers based on employee seniority and had a collective bargaining agreement with a voluntary route change provision that contained a procedure allowing drivers to voluntarily switch routes.</w:t>
      </w:r>
      <w:r>
        <w:rPr>
          <w:rStyle w:val="EndnoteReference"/>
        </w:rPr>
        <w:endnoteReference w:id="624"/>
      </w:r>
      <w:r>
        <w:t xml:space="preserve">  The employer argued that the mere existence of that collective bargaining contract was a reasonable accommodation.</w:t>
      </w:r>
      <w:r>
        <w:rPr>
          <w:rStyle w:val="EndnoteReference"/>
        </w:rPr>
        <w:endnoteReference w:id="625"/>
      </w:r>
      <w:r>
        <w:t xml:space="preserve">  However, the Fifth Circuit overturned summary judgment in favor of the employer, ruling that the mere existence of employee shift-swapping policies is not sufficient to constitute a reasonable </w:t>
      </w:r>
      <w:r>
        <w:lastRenderedPageBreak/>
        <w:t>accommodation.</w:t>
      </w:r>
      <w:r>
        <w:rPr>
          <w:rStyle w:val="EndnoteReference"/>
        </w:rPr>
        <w:endnoteReference w:id="626"/>
      </w:r>
      <w:r>
        <w:t xml:space="preserve"> In doing so, the Fifth Circuit distinguished </w:t>
      </w:r>
      <w:r>
        <w:rPr>
          <w:i/>
        </w:rPr>
        <w:t>Antoine</w:t>
      </w:r>
      <w:r>
        <w:t xml:space="preserve"> from the United States Supreme Court decision in </w:t>
      </w:r>
      <w:r>
        <w:rPr>
          <w:i/>
        </w:rPr>
        <w:t>TransWorld Airlines, Inc. v. Hardison</w:t>
      </w:r>
      <w:r>
        <w:t>.</w:t>
      </w:r>
      <w:r>
        <w:rPr>
          <w:rStyle w:val="EndnoteReference"/>
        </w:rPr>
        <w:endnoteReference w:id="627"/>
      </w:r>
      <w:r>
        <w:t xml:space="preserve">  In </w:t>
      </w:r>
      <w:r>
        <w:rPr>
          <w:i/>
        </w:rPr>
        <w:t>Hardison</w:t>
      </w:r>
      <w:r>
        <w:t>, the Supreme Court held that a seniority-based shift-swapping system coupled with an employer’s offer to approve any voluntary shift swaps constituted a reasonable accommodation under the law.</w:t>
      </w:r>
      <w:r>
        <w:rPr>
          <w:rStyle w:val="EndnoteReference"/>
        </w:rPr>
        <w:endnoteReference w:id="628"/>
      </w:r>
      <w:r>
        <w:t xml:space="preserve"> This case is troubling because it suggests that an employer may not satisfy their duty to reasonably accommodate an employee by permitting them to switch shifts with a co-worker, and that some greater effort on the part of an employer may be required.</w:t>
      </w:r>
    </w:p>
    <w:p>
      <w:pPr>
        <w:pStyle w:val="BodyTextFirstIndent"/>
      </w:pPr>
      <w:r>
        <w:t xml:space="preserve">In contrast, a more employer-friendly decision on religious accommodation was issued by a federal district court in Arkansas in </w:t>
      </w:r>
      <w:r>
        <w:rPr>
          <w:i/>
        </w:rPr>
        <w:t>Brown v. Hot Springs National Park Hospital Holdings, LLC</w:t>
      </w:r>
      <w:r>
        <w:t>.</w:t>
      </w:r>
      <w:r>
        <w:rPr>
          <w:rStyle w:val="EndnoteReference"/>
        </w:rPr>
        <w:endnoteReference w:id="629"/>
      </w:r>
      <w:r>
        <w:t xml:space="preserve">  In that case, a job applicant failed to show that a hospital discriminated against her on the basis of religion when it withdrew an offer of employment after learning that her religious beliefs precluded her from working from sundown Friday through sundown Saturday.</w:t>
      </w:r>
      <w:r>
        <w:rPr>
          <w:rStyle w:val="EndnoteReference"/>
        </w:rPr>
        <w:endnoteReference w:id="630"/>
      </w:r>
      <w:r>
        <w:t xml:space="preserve">  The plaintiff had applied for the position of director of physician clinical operations.</w:t>
      </w:r>
      <w:r>
        <w:rPr>
          <w:rStyle w:val="EndnoteReference"/>
        </w:rPr>
        <w:endnoteReference w:id="631"/>
      </w:r>
      <w:r>
        <w:t xml:space="preserve">  In that position, she would have been responsible </w:t>
      </w:r>
      <w:r>
        <w:rPr>
          <w:rFonts w:cs="Arial"/>
        </w:rPr>
        <w:t>“</w:t>
      </w:r>
      <w:r>
        <w:t xml:space="preserve">for managing the operational aspects of the NPMC’s seven clinics, including staffing, accounts receivable, billing and collections, physician recruitment, non-physician employee evaluations, managing the office, </w:t>
      </w:r>
      <w:r>
        <w:lastRenderedPageBreak/>
        <w:t>month and year end financial closeouts, and periodic reporting to hospital executives.”</w:t>
      </w:r>
      <w:r>
        <w:rPr>
          <w:rStyle w:val="EndnoteReference"/>
        </w:rPr>
        <w:endnoteReference w:id="632"/>
      </w:r>
      <w:r>
        <w:t xml:space="preserve">  The hospital offered the position to the plaintiff; however, after extending the offer, the hospital learned that the plaintiff would not be able to work Friday evenings and Saturdays because of her religious beliefs as a Seventh Day Adventist.</w:t>
      </w:r>
      <w:r>
        <w:rPr>
          <w:rStyle w:val="EndnoteReference"/>
        </w:rPr>
        <w:endnoteReference w:id="633"/>
      </w:r>
      <w:r>
        <w:t xml:space="preserve"> It then withdrew the employment offer.</w:t>
      </w:r>
      <w:r>
        <w:rPr>
          <w:rStyle w:val="EndnoteReference"/>
        </w:rPr>
        <w:endnoteReference w:id="634"/>
      </w:r>
      <w:r>
        <w:t xml:space="preserve"> Brown sued, alleging religious discrimination.</w:t>
      </w:r>
      <w:r>
        <w:rPr>
          <w:rStyle w:val="EndnoteReference"/>
        </w:rPr>
        <w:endnoteReference w:id="635"/>
      </w:r>
      <w:r>
        <w:t xml:space="preserve">  She argued that the decision to withdraw the employment offer constituted an unlawful refusal to accommodate her religious beliefs, and that no one whose religious beliefs required observation from sundown Friday through sundown Saturday would be qualified for the position.</w:t>
      </w:r>
      <w:r>
        <w:rPr>
          <w:rStyle w:val="EndnoteReference"/>
        </w:rPr>
        <w:endnoteReference w:id="636"/>
      </w:r>
    </w:p>
    <w:p>
      <w:pPr>
        <w:pStyle w:val="BodyTextFirstIndent"/>
      </w:pPr>
      <w:r>
        <w:t>The court rejected Brown’s argument and granted summary judgment, reasoning that Brown failed to establish that she was qualified for the position because it was undisputed that 24/7 availability was an essential function of the job.</w:t>
      </w:r>
      <w:r>
        <w:rPr>
          <w:rStyle w:val="EndnoteReference"/>
        </w:rPr>
        <w:endnoteReference w:id="637"/>
      </w:r>
      <w:r>
        <w:t xml:space="preserve">  The court also reasoned that the employer could not have accommodated the plaintiff’s religious beliefs without undue hardship because the employer would have been required to relieve the plaintiff of her responsibilities every weekend and assign her duties to other employees.</w:t>
      </w:r>
      <w:r>
        <w:rPr>
          <w:rStyle w:val="EndnoteReference"/>
        </w:rPr>
        <w:endnoteReference w:id="638"/>
      </w:r>
      <w:r>
        <w:t xml:space="preserve">  Such an accommodation might have been reasonable for an employee applying for a less responsible position, but the facts here made the requested accommodations unreasonable.</w:t>
      </w:r>
      <w:r>
        <w:rPr>
          <w:rStyle w:val="EndnoteReference"/>
        </w:rPr>
        <w:endnoteReference w:id="639"/>
      </w:r>
      <w:bookmarkStart w:id="125" w:name="_Toc378247003"/>
      <w:bookmarkStart w:id="126" w:name="_Toc378256373"/>
      <w:bookmarkStart w:id="127" w:name="_Toc378597534"/>
      <w:bookmarkStart w:id="128" w:name="_Toc378843486"/>
      <w:bookmarkStart w:id="129" w:name="_Toc379183214"/>
      <w:bookmarkStart w:id="130" w:name="_Toc379184098"/>
      <w:bookmarkStart w:id="131" w:name="_Toc379349866"/>
      <w:bookmarkStart w:id="132" w:name="_Toc379349981"/>
      <w:bookmarkStart w:id="133" w:name="_Toc379351142"/>
    </w:p>
    <w:p>
      <w:pPr>
        <w:pStyle w:val="BodyTextFirstIndent"/>
        <w:keepNext/>
        <w:ind w:firstLine="0"/>
        <w:jc w:val="center"/>
        <w:rPr>
          <w:b/>
        </w:rPr>
      </w:pPr>
      <w:r>
        <w:rPr>
          <w:b/>
        </w:rPr>
        <w:lastRenderedPageBreak/>
        <w:t>E.</w:t>
      </w:r>
      <w:r>
        <w:rPr>
          <w:b/>
        </w:rPr>
        <w:tab/>
        <w:t>Sex and Pregnancy Discrimination</w:t>
      </w:r>
      <w:bookmarkEnd w:id="125"/>
      <w:bookmarkEnd w:id="126"/>
      <w:bookmarkEnd w:id="127"/>
      <w:bookmarkEnd w:id="128"/>
      <w:bookmarkEnd w:id="129"/>
      <w:bookmarkEnd w:id="130"/>
      <w:bookmarkEnd w:id="131"/>
      <w:bookmarkEnd w:id="132"/>
      <w:bookmarkEnd w:id="133"/>
    </w:p>
    <w:p>
      <w:pPr>
        <w:pStyle w:val="BodyTextFirstIndent"/>
      </w:pPr>
      <w:r>
        <w:t>Pregnancy discrimination involves treating a woman unfavorably because of pregnancy, childbirth, or a medical condition related to pregnancy or childbirth.</w:t>
      </w:r>
      <w:r>
        <w:rPr>
          <w:rStyle w:val="EndnoteReference"/>
        </w:rPr>
        <w:endnoteReference w:id="640"/>
      </w:r>
      <w:r>
        <w:t xml:space="preserve"> The Pregnancy Discrimination Act prohibits discrimination based on pregnancy with respect to any aspect of employment, including hiring, firing, pay, job assignments, benefits, or any other term or condition of employment.</w:t>
      </w:r>
      <w:r>
        <w:rPr>
          <w:rStyle w:val="EndnoteReference"/>
        </w:rPr>
        <w:endnoteReference w:id="641"/>
      </w:r>
      <w:r>
        <w:t xml:space="preserve">  In its Strategic Enforcement Plan for 2013-2016 (SEP), the EEOC has identified pregnancy-related issues as one of its national priorities.</w:t>
      </w:r>
      <w:r>
        <w:rPr>
          <w:rStyle w:val="EndnoteReference"/>
        </w:rPr>
        <w:endnoteReference w:id="642"/>
      </w:r>
    </w:p>
    <w:p>
      <w:pPr>
        <w:pStyle w:val="BodyTextFirstIndent"/>
      </w:pPr>
      <w:r>
        <w:t xml:space="preserve">In May 2013, the EEOC was successful in a pregnancy discrimination suit in the Fifth Circuit. In that case, </w:t>
      </w:r>
      <w:r>
        <w:rPr>
          <w:i/>
        </w:rPr>
        <w:t>EEOC v. Houston Funding II Ltd.</w:t>
      </w:r>
      <w:r>
        <w:t>,</w:t>
      </w:r>
      <w:r>
        <w:rPr>
          <w:rStyle w:val="EndnoteReference"/>
        </w:rPr>
        <w:endnoteReference w:id="643"/>
      </w:r>
      <w:r>
        <w:t xml:space="preserve"> the court of appeals ruled that Title VII protects nursing mothers from being fired for lactating or expressing breast milk.</w:t>
      </w:r>
      <w:r>
        <w:rPr>
          <w:rStyle w:val="EndnoteReference"/>
        </w:rPr>
        <w:endnoteReference w:id="644"/>
      </w:r>
      <w:r>
        <w:t xml:space="preserve">  The court of appeals decision overturned a lower court finding that firing a woman because of lactation or breast pumping does not constitute sex discrimination.</w:t>
      </w:r>
      <w:r>
        <w:rPr>
          <w:rStyle w:val="EndnoteReference"/>
        </w:rPr>
        <w:endnoteReference w:id="645"/>
      </w:r>
      <w:r>
        <w:t xml:space="preserve">  </w:t>
      </w:r>
    </w:p>
    <w:p>
      <w:pPr>
        <w:pStyle w:val="BodyTextFirstIndent"/>
      </w:pPr>
      <w:r>
        <w:t>As part of their SEP, the EEOC has chosen to focus “on accommodating pregnancy-related limitations under the Americans with Disabilities Act Amendments Act (ADAAA) and the Pregnancy Discrimination Act (PDA).”</w:t>
      </w:r>
      <w:r>
        <w:rPr>
          <w:rStyle w:val="EndnoteReference"/>
        </w:rPr>
        <w:endnoteReference w:id="646"/>
      </w:r>
      <w:r>
        <w:rPr>
          <w:rFonts w:cs="Arial"/>
        </w:rPr>
        <w:t xml:space="preserve"> </w:t>
      </w:r>
      <w:r>
        <w:t xml:space="preserve"> Certain impairments resulting from pregnancy, i.e., gestational diabetes or preeclampsia, may be </w:t>
      </w:r>
      <w:r>
        <w:lastRenderedPageBreak/>
        <w:t>disabilities under the Americans with Disabilities Act.  If so, an employer may be required to provide a reasonable accommodation for those disabilities.</w:t>
      </w:r>
    </w:p>
    <w:p>
      <w:pPr>
        <w:pStyle w:val="BodyTextFirstIndent"/>
      </w:pPr>
      <w:r>
        <w:t xml:space="preserve">This issue arose in a November 2013 decision in </w:t>
      </w:r>
      <w:r>
        <w:rPr>
          <w:i/>
        </w:rPr>
        <w:t>Wonasue v. University of Maryland Alumni Association</w:t>
      </w:r>
      <w:r>
        <w:t>.</w:t>
      </w:r>
      <w:r>
        <w:rPr>
          <w:rStyle w:val="EndnoteReference"/>
          <w:i/>
        </w:rPr>
        <w:endnoteReference w:id="647"/>
      </w:r>
      <w:r>
        <w:t xml:space="preserve">  In that case, the plaintiff filed a disability discrimination suit, and alleged that the employer unlawfully denied her request for leave or schedule changes, including working from home on a temporary basis, to accommodate her severe pregnancy-related morning sickness.</w:t>
      </w:r>
      <w:r>
        <w:rPr>
          <w:rStyle w:val="EndnoteReference"/>
        </w:rPr>
        <w:endnoteReference w:id="648"/>
      </w:r>
      <w:r>
        <w:t xml:space="preserve">  The court held that the plaintiff had failed to prove disability discrimination because she could not show that the morning sickness substantially limited her in the performance of a major life activity; therefore, her pregnancy and morning sickness did not constitute a disability.</w:t>
      </w:r>
      <w:r>
        <w:rPr>
          <w:rStyle w:val="EndnoteReference"/>
        </w:rPr>
        <w:endnoteReference w:id="649"/>
      </w:r>
      <w:bookmarkStart w:id="134" w:name="_Toc379183215"/>
      <w:bookmarkStart w:id="135" w:name="_Toc379184099"/>
      <w:bookmarkStart w:id="136" w:name="_Toc379349867"/>
      <w:bookmarkStart w:id="137" w:name="_Toc379349982"/>
      <w:bookmarkStart w:id="138" w:name="_Toc379351143"/>
    </w:p>
    <w:p>
      <w:pPr>
        <w:pStyle w:val="BodyTextFirstIndent"/>
        <w:ind w:left="720" w:hanging="720"/>
        <w:jc w:val="left"/>
        <w:rPr>
          <w:b/>
        </w:rPr>
      </w:pPr>
      <w:r>
        <w:rPr>
          <w:b/>
        </w:rPr>
        <w:t>III.</w:t>
      </w:r>
      <w:r>
        <w:rPr>
          <w:b/>
        </w:rPr>
        <w:tab/>
        <w:t>Americans with Disabilities Act (ADA)</w:t>
      </w:r>
      <w:bookmarkStart w:id="139" w:name="_Toc378246992"/>
      <w:bookmarkStart w:id="140" w:name="_Toc378256362"/>
      <w:bookmarkStart w:id="141" w:name="_Toc378597523"/>
      <w:bookmarkStart w:id="142" w:name="_Toc378843475"/>
      <w:bookmarkStart w:id="143" w:name="_Toc379183216"/>
      <w:bookmarkStart w:id="144" w:name="_Toc379184100"/>
      <w:bookmarkStart w:id="145" w:name="_Toc379349868"/>
      <w:bookmarkStart w:id="146" w:name="_Toc379349983"/>
      <w:bookmarkStart w:id="147" w:name="_Toc379351144"/>
      <w:bookmarkEnd w:id="134"/>
      <w:bookmarkEnd w:id="135"/>
      <w:bookmarkEnd w:id="136"/>
      <w:bookmarkEnd w:id="137"/>
      <w:bookmarkEnd w:id="138"/>
    </w:p>
    <w:p>
      <w:pPr>
        <w:pStyle w:val="BodyTextFirstIndent"/>
        <w:ind w:firstLine="0"/>
        <w:jc w:val="center"/>
        <w:rPr>
          <w:b/>
        </w:rPr>
      </w:pPr>
      <w:r>
        <w:rPr>
          <w:b/>
        </w:rPr>
        <w:t>A.</w:t>
      </w:r>
      <w:r>
        <w:rPr>
          <w:b/>
        </w:rPr>
        <w:tab/>
        <w:t>ADA Accommodation Issues</w:t>
      </w:r>
      <w:bookmarkEnd w:id="139"/>
      <w:bookmarkEnd w:id="140"/>
      <w:bookmarkEnd w:id="141"/>
      <w:bookmarkEnd w:id="142"/>
      <w:bookmarkEnd w:id="143"/>
      <w:bookmarkEnd w:id="144"/>
      <w:bookmarkEnd w:id="145"/>
      <w:bookmarkEnd w:id="146"/>
      <w:bookmarkEnd w:id="147"/>
    </w:p>
    <w:p>
      <w:pPr>
        <w:pStyle w:val="BodyTextFirstIndent"/>
      </w:pPr>
      <w:r>
        <w:t xml:space="preserve">When the Americans with Disabilities Act Amendments Act (ADAAA) was enacted in 2009, it was  predicted that ADA litigation would shift to emphasize reasonable accommodations and whether an adverse employment decision was motivated by a disability or perceived disability. During the fiscal year of 2013, the EEOC received over 14,000 charges </w:t>
      </w:r>
      <w:r>
        <w:lastRenderedPageBreak/>
        <w:t>alleging failure to accommodate in violation of the ADA.</w:t>
      </w:r>
      <w:r>
        <w:rPr>
          <w:rStyle w:val="EndnoteReference"/>
        </w:rPr>
        <w:endnoteReference w:id="650"/>
      </w:r>
    </w:p>
    <w:p>
      <w:pPr>
        <w:pStyle w:val="BodyTextFirstIndent"/>
      </w:pPr>
      <w:r>
        <w:t xml:space="preserve">One of the most important recent ADA accommodation cases is </w:t>
      </w:r>
      <w:r>
        <w:rPr>
          <w:i/>
        </w:rPr>
        <w:t>EEOC v.</w:t>
      </w:r>
      <w:r>
        <w:t xml:space="preserve"> </w:t>
      </w:r>
      <w:r>
        <w:rPr>
          <w:i/>
        </w:rPr>
        <w:t xml:space="preserve">United Airlines, </w:t>
      </w:r>
      <w:r>
        <w:t>Inc</w:t>
      </w:r>
      <w:r>
        <w:rPr>
          <w:i/>
        </w:rPr>
        <w:t>.</w:t>
      </w:r>
      <w:r>
        <w:rPr>
          <w:rStyle w:val="EndnoteReference"/>
          <w:i/>
        </w:rPr>
        <w:endnoteReference w:id="651"/>
      </w:r>
      <w:r>
        <w:t xml:space="preserve"> In that case, the United States Supreme Court declined to review a decision by the Seventh Circuit Court of Appeals in Chicago.</w:t>
      </w:r>
      <w:r>
        <w:rPr>
          <w:rStyle w:val="EndnoteReference"/>
        </w:rPr>
        <w:endnoteReference w:id="652"/>
      </w:r>
      <w:r>
        <w:t xml:space="preserve"> The Seventh Circuit held that the ADA requires an employer to reassign a disabled employee to a vacant job if the employee meets the minimum qualifications for that job, absent a showing of an undue hardship.</w:t>
      </w:r>
      <w:r>
        <w:rPr>
          <w:rStyle w:val="EndnoteReference"/>
        </w:rPr>
        <w:endnoteReference w:id="653"/>
      </w:r>
      <w:r>
        <w:t xml:space="preserve">  The Seventh Circuit ruled that it is not a sufficient accommodation for an employer to permit an employee with a disability to compete for a vacant position; rather, the employer must actually assign the employee to a vacant position if the employee meets the minimum qualifications for the job.</w:t>
      </w:r>
      <w:r>
        <w:rPr>
          <w:rStyle w:val="EndnoteReference"/>
        </w:rPr>
        <w:endnoteReference w:id="654"/>
      </w:r>
    </w:p>
    <w:p>
      <w:pPr>
        <w:pStyle w:val="BodyTextFirstIndent"/>
      </w:pPr>
      <w:r>
        <w:t xml:space="preserve">Although it is well settled law that an employer does not have to eliminate an essential job function in order to accommodate an employee, sometimes litigation focuses on whether the employer’s definition of an essential job function is correct.  In </w:t>
      </w:r>
      <w:r>
        <w:rPr>
          <w:i/>
        </w:rPr>
        <w:t>McMillan v. City of New York</w:t>
      </w:r>
      <w:r>
        <w:t>,</w:t>
      </w:r>
      <w:r>
        <w:rPr>
          <w:rStyle w:val="EndnoteReference"/>
        </w:rPr>
        <w:endnoteReference w:id="655"/>
      </w:r>
      <w:r>
        <w:t xml:space="preserve"> the United States Court of Appeals for the Second Circuit in New York vacated the district court’s finding that on-time arrival at work is not always an essential job function.</w:t>
      </w:r>
      <w:r>
        <w:rPr>
          <w:rStyle w:val="EndnoteReference"/>
        </w:rPr>
        <w:endnoteReference w:id="656"/>
      </w:r>
      <w:r>
        <w:t xml:space="preserve">  In this case, the plaintiff worked as a case manager, conducting home visits, recertifying clients’ Medicaid eligibility, and generally meeting with clients and addressing their concerns.</w:t>
      </w:r>
      <w:r>
        <w:rPr>
          <w:rStyle w:val="EndnoteReference"/>
        </w:rPr>
        <w:endnoteReference w:id="657"/>
      </w:r>
      <w:r>
        <w:t xml:space="preserve">  The employer had a </w:t>
      </w:r>
      <w:r>
        <w:lastRenderedPageBreak/>
        <w:t>flex time policy permitting employees to arrive between 9:00 a.m. and 10:00 a.m. and they were not considered to be tardy unless they arrived after 10:00 a.m.</w:t>
      </w:r>
      <w:r>
        <w:rPr>
          <w:rStyle w:val="EndnoteReference"/>
        </w:rPr>
        <w:endnoteReference w:id="658"/>
      </w:r>
      <w:r>
        <w:t xml:space="preserve"> For several years, the plaintiff’s late arrivals were often approved.</w:t>
      </w:r>
      <w:r>
        <w:rPr>
          <w:rStyle w:val="EndnoteReference"/>
        </w:rPr>
        <w:endnoteReference w:id="659"/>
      </w:r>
      <w:r>
        <w:t xml:space="preserve">  However, at some point, the plaintiff’s supervisor got tired of dealing with his tardiness and began disciplining the plaintiff.</w:t>
      </w:r>
      <w:r>
        <w:rPr>
          <w:rStyle w:val="EndnoteReference"/>
        </w:rPr>
        <w:endnoteReference w:id="660"/>
      </w:r>
      <w:r>
        <w:t xml:space="preserve">  The plaintiff then requested a later start and quitting time because of a disability, but his request was denied because the later start time would cause him to remain in the office after his supervisor had left for the day.</w:t>
      </w:r>
      <w:r>
        <w:rPr>
          <w:rStyle w:val="EndnoteReference"/>
        </w:rPr>
        <w:endnoteReference w:id="661"/>
      </w:r>
    </w:p>
    <w:p>
      <w:pPr>
        <w:pStyle w:val="BodyTextFirstIndent"/>
      </w:pPr>
      <w:r>
        <w:t>Although the district court granted summary judgment to the employer on the basis that arriving to work on time is an essential job function, the court of appeals overturned the lower court ruling, citing the employer’s flex time policy and its historical tolerance of the plaintiff’s tardiness.</w:t>
      </w:r>
      <w:r>
        <w:rPr>
          <w:rStyle w:val="EndnoteReference"/>
        </w:rPr>
        <w:endnoteReference w:id="662"/>
      </w:r>
      <w:r>
        <w:t xml:space="preserve">  Essentially the court of appeals ruled that those facts indicated that the employer did not regard timely arrival at work as an essential job function.</w:t>
      </w:r>
      <w:r>
        <w:rPr>
          <w:rStyle w:val="EndnoteReference"/>
        </w:rPr>
        <w:endnoteReference w:id="663"/>
      </w:r>
      <w:r>
        <w:t xml:space="preserve"> This case demonstrates the adage that providing workplace flexibility to employees has its benefits, but also can have unintended consequences.  </w:t>
      </w:r>
    </w:p>
    <w:p>
      <w:pPr>
        <w:pStyle w:val="BodyTextFirstIndent"/>
      </w:pPr>
      <w:r>
        <w:t>Working at home is an accommodation that has been requested increasingly in the last several years.  The EEOC states on its website that allowing an individual with a disability to work at home may be a form of reasonable accommodation.</w:t>
      </w:r>
      <w:r>
        <w:rPr>
          <w:rStyle w:val="EndnoteReference"/>
        </w:rPr>
        <w:endnoteReference w:id="664"/>
      </w:r>
      <w:r>
        <w:t xml:space="preserve">  Not </w:t>
      </w:r>
      <w:r>
        <w:lastRenderedPageBreak/>
        <w:t xml:space="preserve">every court agrees, however, including the United States District Court in the Eastern District of Michigan as demonstrated in </w:t>
      </w:r>
      <w:r>
        <w:rPr>
          <w:i/>
        </w:rPr>
        <w:t>EEOC v. Ford Motor Company</w:t>
      </w:r>
      <w:r>
        <w:t>.</w:t>
      </w:r>
      <w:r>
        <w:rPr>
          <w:rStyle w:val="EndnoteReference"/>
        </w:rPr>
        <w:endnoteReference w:id="665"/>
      </w:r>
      <w:r>
        <w:t xml:space="preserve">  In that case, the court determined that Ford lawfully denied an employee’s request to work from home as an accommodation of her disability.</w:t>
      </w:r>
      <w:r>
        <w:rPr>
          <w:rStyle w:val="EndnoteReference"/>
        </w:rPr>
        <w:endnoteReference w:id="666"/>
      </w:r>
      <w:r>
        <w:t xml:space="preserve">  </w:t>
      </w:r>
    </w:p>
    <w:p>
      <w:pPr>
        <w:pStyle w:val="BodyTextFirstIndent"/>
      </w:pPr>
      <w:r>
        <w:t xml:space="preserve">In the </w:t>
      </w:r>
      <w:r>
        <w:rPr>
          <w:i/>
        </w:rPr>
        <w:t>Ford</w:t>
      </w:r>
      <w:r>
        <w:t xml:space="preserve"> case, the plaintiff, Jane Harris, worked as a buyer in a team of five to seven other buyers.</w:t>
      </w:r>
      <w:r>
        <w:rPr>
          <w:rStyle w:val="EndnoteReference"/>
        </w:rPr>
        <w:endnoteReference w:id="667"/>
      </w:r>
      <w:r>
        <w:t xml:space="preserve">  She was responsible for preventing supply interruptions, and her job was highly interactive, requiring face-to-face interaction and frequent visits with suppliers.</w:t>
      </w:r>
      <w:r>
        <w:rPr>
          <w:rStyle w:val="EndnoteReference"/>
        </w:rPr>
        <w:endnoteReference w:id="668"/>
      </w:r>
      <w:r>
        <w:t xml:space="preserve"> Harris had chronic attendance problems and other performance issues.</w:t>
      </w:r>
      <w:r>
        <w:rPr>
          <w:rStyle w:val="EndnoteReference"/>
        </w:rPr>
        <w:endnoteReference w:id="669"/>
      </w:r>
      <w:r>
        <w:t xml:space="preserve">  In February 2009, Harris requested that she be allowed to work at home up to four days per week as an accommodation for irritable bowel syndrome.</w:t>
      </w:r>
      <w:r>
        <w:rPr>
          <w:rStyle w:val="EndnoteReference"/>
        </w:rPr>
        <w:endnoteReference w:id="670"/>
      </w:r>
      <w:r>
        <w:t xml:space="preserve">  Ford denied the request to telecommute because of the job requirement of face-to-face interaction with other buyers and outside contacts, and because of Harris’ performance problems.</w:t>
      </w:r>
      <w:r>
        <w:rPr>
          <w:rStyle w:val="EndnoteReference"/>
        </w:rPr>
        <w:endnoteReference w:id="671"/>
      </w:r>
      <w:r>
        <w:t xml:space="preserve">  Ford suggested other accommodations, all of which were rejected by Harris.</w:t>
      </w:r>
      <w:r>
        <w:rPr>
          <w:rStyle w:val="EndnoteReference"/>
        </w:rPr>
        <w:endnoteReference w:id="672"/>
      </w:r>
      <w:r>
        <w:t xml:space="preserve">  Ultimately, Harris was terminated because of performance issues, and she filed an ADA discrimination claim including failure to accommodate her request to telecommute.</w:t>
      </w:r>
      <w:r>
        <w:rPr>
          <w:rStyle w:val="EndnoteReference"/>
        </w:rPr>
        <w:endnoteReference w:id="673"/>
      </w:r>
    </w:p>
    <w:p>
      <w:pPr>
        <w:pStyle w:val="BodyTextFirstIndent"/>
      </w:pPr>
      <w:r>
        <w:t xml:space="preserve">In ruling against the EEOC and Harris on her accommodation claim, the court reasoned that a plaintiff can establish a </w:t>
      </w:r>
      <w:r>
        <w:rPr>
          <w:i/>
        </w:rPr>
        <w:t>prima facie</w:t>
      </w:r>
      <w:r>
        <w:t xml:space="preserve"> case of failure to accommodate </w:t>
      </w:r>
      <w:r>
        <w:lastRenderedPageBreak/>
        <w:t>under the ADA by showing the following:</w:t>
      </w:r>
    </w:p>
    <w:p>
      <w:pPr>
        <w:ind w:left="1440" w:right="720" w:hanging="720"/>
        <w:jc w:val="both"/>
        <w:rPr>
          <w:i/>
        </w:rPr>
      </w:pPr>
      <w:r>
        <w:rPr>
          <w:i/>
        </w:rPr>
        <w:t>1.</w:t>
      </w:r>
      <w:r>
        <w:rPr>
          <w:i/>
        </w:rPr>
        <w:tab/>
      </w:r>
      <w:r>
        <w:t>the employee is disabled within the meaning of the</w:t>
      </w:r>
      <w:r>
        <w:rPr>
          <w:i/>
        </w:rPr>
        <w:t xml:space="preserve"> ADA;</w:t>
      </w:r>
    </w:p>
    <w:p>
      <w:pPr>
        <w:ind w:left="1440" w:right="720" w:hanging="720"/>
        <w:jc w:val="both"/>
        <w:rPr>
          <w:i/>
        </w:rPr>
      </w:pPr>
      <w:r>
        <w:rPr>
          <w:i/>
        </w:rPr>
        <w:t>2.</w:t>
      </w:r>
      <w:r>
        <w:rPr>
          <w:i/>
        </w:rPr>
        <w:tab/>
      </w:r>
      <w:r>
        <w:t>she is otherwise qualified for the position, with or without reasonable accommodation;</w:t>
      </w:r>
    </w:p>
    <w:p>
      <w:pPr>
        <w:ind w:left="1440" w:right="720" w:hanging="720"/>
        <w:jc w:val="both"/>
        <w:rPr>
          <w:i/>
        </w:rPr>
      </w:pPr>
      <w:r>
        <w:rPr>
          <w:i/>
        </w:rPr>
        <w:t>3.</w:t>
      </w:r>
      <w:r>
        <w:rPr>
          <w:i/>
        </w:rPr>
        <w:tab/>
      </w:r>
      <w:r>
        <w:t>her employer knew or had reason to know about her disability;</w:t>
      </w:r>
    </w:p>
    <w:p>
      <w:pPr>
        <w:ind w:left="1440" w:right="720" w:hanging="720"/>
        <w:jc w:val="both"/>
        <w:rPr>
          <w:i/>
        </w:rPr>
      </w:pPr>
      <w:r>
        <w:rPr>
          <w:i/>
        </w:rPr>
        <w:t>4.</w:t>
      </w:r>
      <w:r>
        <w:rPr>
          <w:i/>
        </w:rPr>
        <w:tab/>
      </w:r>
      <w:r>
        <w:t>she requested an accommodation; and</w:t>
      </w:r>
    </w:p>
    <w:p>
      <w:pPr>
        <w:ind w:left="1440" w:right="720" w:hanging="720"/>
        <w:jc w:val="both"/>
      </w:pPr>
      <w:r>
        <w:rPr>
          <w:i/>
        </w:rPr>
        <w:t>5.</w:t>
      </w:r>
      <w:r>
        <w:rPr>
          <w:i/>
        </w:rPr>
        <w:tab/>
      </w:r>
      <w:r>
        <w:t>the employer failed to provide the requested accommodation.</w:t>
      </w:r>
      <w:r>
        <w:rPr>
          <w:rStyle w:val="EndnoteReference"/>
        </w:rPr>
        <w:endnoteReference w:id="674"/>
      </w:r>
    </w:p>
    <w:p>
      <w:pPr>
        <w:pStyle w:val="BodyTextFirstIndent"/>
      </w:pPr>
      <w:r>
        <w:t>In ruling against the EEOC and Harris in this case, the court agreed with Ford that Harris was not “otherwise qualified” because of her performance problems and excessive absenteeism, and that Harris’ request to telecommute was not a reasonable accommodation.</w:t>
      </w:r>
      <w:r>
        <w:rPr>
          <w:rStyle w:val="EndnoteReference"/>
        </w:rPr>
        <w:endnoteReference w:id="675"/>
      </w:r>
      <w:r>
        <w:t xml:space="preserve">  The Court reasoned that because regular attendance is an essential job requirement, Harris was not a qualified individual with a disability as a result of her frequent absences.</w:t>
      </w:r>
      <w:r>
        <w:rPr>
          <w:rStyle w:val="EndnoteReference"/>
        </w:rPr>
        <w:endnoteReference w:id="676"/>
      </w:r>
      <w:r>
        <w:t xml:space="preserve">  The court also reasoned that Harris’ essential job functions could not be performed at home up to four days a week as she requested.</w:t>
      </w:r>
      <w:r>
        <w:rPr>
          <w:rStyle w:val="EndnoteReference"/>
        </w:rPr>
        <w:endnoteReference w:id="677"/>
      </w:r>
    </w:p>
    <w:p>
      <w:pPr>
        <w:pStyle w:val="BodyTextFirstIndent"/>
      </w:pPr>
      <w:r>
        <w:lastRenderedPageBreak/>
        <w:t xml:space="preserve">During the past year, employers have won ADA accommodation suits, one of which was </w:t>
      </w:r>
      <w:r>
        <w:rPr>
          <w:i/>
        </w:rPr>
        <w:t>Wulff v. Sentara Healthcare, Inc</w:t>
      </w:r>
      <w:r>
        <w:t>.</w:t>
      </w:r>
      <w:r>
        <w:rPr>
          <w:rStyle w:val="EndnoteReference"/>
        </w:rPr>
        <w:endnoteReference w:id="678"/>
      </w:r>
      <w:r>
        <w:t xml:space="preserve">  In that case, the United States Court of Appeals for the Fourth Circuit in Virginia affirmed summary judgment in favor of a hospital that removed a nurse from its schedule after it was unable to accommodate restrictions imposed by the nurse’s physician.</w:t>
      </w:r>
      <w:r>
        <w:rPr>
          <w:rStyle w:val="EndnoteReference"/>
        </w:rPr>
        <w:endnoteReference w:id="679"/>
      </w:r>
      <w:r>
        <w:t xml:space="preserve">  The court ruled that the plaintiff could not perform the essential functions of her job as an emergency department nurse with the restrictions imposed by her physician.</w:t>
      </w:r>
      <w:r>
        <w:rPr>
          <w:rStyle w:val="EndnoteReference"/>
        </w:rPr>
        <w:endnoteReference w:id="680"/>
      </w:r>
    </w:p>
    <w:p>
      <w:pPr>
        <w:pStyle w:val="BodyTextFirstIndent"/>
      </w:pPr>
      <w:r>
        <w:t>The plaintiff had originally presented a doctor’s note stating that she was restricted from lifting more than 10 pounds with her left arm, and the hospital was able to accommodate that restriction.</w:t>
      </w:r>
      <w:r>
        <w:rPr>
          <w:rStyle w:val="EndnoteReference"/>
        </w:rPr>
        <w:endnoteReference w:id="681"/>
      </w:r>
      <w:r>
        <w:t xml:space="preserve">  Subsequently, the hospital asked the plaintiff to update her restrictions and gave her a form to be filled out by the doctor.</w:t>
      </w:r>
      <w:r>
        <w:rPr>
          <w:rStyle w:val="EndnoteReference"/>
        </w:rPr>
        <w:endnoteReference w:id="682"/>
      </w:r>
      <w:r>
        <w:t xml:space="preserve">  The doctor’s assistant completed the form and the plaintiff gave it to the hospital.</w:t>
      </w:r>
      <w:r>
        <w:rPr>
          <w:rStyle w:val="EndnoteReference"/>
        </w:rPr>
        <w:endnoteReference w:id="683"/>
      </w:r>
      <w:r>
        <w:t xml:space="preserve">  The form placed significantly more restrictions on the plaintiff, including that she could not lift or carry up to 20 pounds, could not push or pull, could not climb ladders, and could not stretch her arm above shoulder level.</w:t>
      </w:r>
      <w:r>
        <w:rPr>
          <w:rStyle w:val="EndnoteReference"/>
        </w:rPr>
        <w:endnoteReference w:id="684"/>
      </w:r>
      <w:r>
        <w:t xml:space="preserve"> Based upon those restrictions, the hospital determined that it could not accommodate the plaintiff and she was removed from the schedule.</w:t>
      </w:r>
      <w:r>
        <w:rPr>
          <w:rStyle w:val="EndnoteReference"/>
        </w:rPr>
        <w:endnoteReference w:id="685"/>
      </w:r>
      <w:r>
        <w:t xml:space="preserve">  She filed suit under the ADA.</w:t>
      </w:r>
      <w:r>
        <w:rPr>
          <w:rStyle w:val="EndnoteReference"/>
        </w:rPr>
        <w:endnoteReference w:id="686"/>
      </w:r>
      <w:r>
        <w:t xml:space="preserve"> In defending the suit, the hospital </w:t>
      </w:r>
      <w:r>
        <w:lastRenderedPageBreak/>
        <w:t>demonstrated that the plaintiff could not perform several essential functions of an emergency room nurse because of her doctor’s restrictions.</w:t>
      </w:r>
      <w:r>
        <w:rPr>
          <w:rStyle w:val="EndnoteReference"/>
        </w:rPr>
        <w:endnoteReference w:id="687"/>
      </w:r>
      <w:r>
        <w:t xml:space="preserve"> The plaintiff tried to avoid this conclusion by arguing that the doctor’s form was incorrect or misleading and that the hospital should not have relied on it.</w:t>
      </w:r>
      <w:r>
        <w:rPr>
          <w:rStyle w:val="EndnoteReference"/>
        </w:rPr>
        <w:endnoteReference w:id="688"/>
      </w:r>
      <w:r>
        <w:t xml:space="preserve">  In what was the most important part of this case, the court ruled that the employer had the right to accept and rely on restrictions imposed by the plaintiff’s doctor and to make a determination whether she could perform the essential job functions based on those restrictions.</w:t>
      </w:r>
      <w:r>
        <w:rPr>
          <w:rStyle w:val="EndnoteReference"/>
        </w:rPr>
        <w:endnoteReference w:id="689"/>
      </w:r>
      <w:r>
        <w:t xml:space="preserve">  The court said that the plaintiff could have asked the doctor’s assistant to correct the form if she felt it was inaccurate, but that she did not; therefore, the employer was permitted to rely on the form in making its determination.</w:t>
      </w:r>
      <w:r>
        <w:rPr>
          <w:rStyle w:val="EndnoteReference"/>
        </w:rPr>
        <w:endnoteReference w:id="690"/>
      </w:r>
      <w:r>
        <w:t xml:space="preserve">  </w:t>
      </w:r>
    </w:p>
    <w:p>
      <w:pPr>
        <w:pStyle w:val="BodyTextFirstIndent"/>
      </w:pPr>
      <w:r>
        <w:t xml:space="preserve">Another issue that arose this past year was whether an employer violates the ADA by denying a request for an accommodation when the requested accommodation is unrelated to the employee’s essential job functions and unnecessary for the employee to perform the essential functions of the job.  </w:t>
      </w:r>
    </w:p>
    <w:p>
      <w:pPr>
        <w:pStyle w:val="BodyTextFirstIndent"/>
      </w:pPr>
      <w:r>
        <w:t xml:space="preserve">A federal judge in Louisiana granted summary judgment in an ADA suit regarding an accommodation request by a former assistant attorney general for free on-site parking because the former employee could not explain how the request assisted her in the performance of her essential job </w:t>
      </w:r>
      <w:r>
        <w:lastRenderedPageBreak/>
        <w:t xml:space="preserve">functions. However, the district court decision was overturned by the Fifth Circuit Court of Appeals in New Orleans in </w:t>
      </w:r>
      <w:r>
        <w:rPr>
          <w:i/>
        </w:rPr>
        <w:t>Feist v. Louisiana</w:t>
      </w:r>
      <w:r>
        <w:t>.</w:t>
      </w:r>
      <w:r>
        <w:rPr>
          <w:rStyle w:val="EndnoteReference"/>
        </w:rPr>
        <w:endnoteReference w:id="691"/>
      </w:r>
      <w:r>
        <w:t xml:space="preserve">  The Fifth Circuit ruled that a request for an ADA accommodation does not need to relate to the performance of essential job functions.</w:t>
      </w:r>
      <w:r>
        <w:rPr>
          <w:rStyle w:val="EndnoteReference"/>
        </w:rPr>
        <w:endnoteReference w:id="692"/>
      </w:r>
      <w:r>
        <w:t xml:space="preserve">  In support of its decision, the court focused on an EEOC regulation under the ADA that discusses accommodations to allow an employee with a disability to enjoy equal benefits and privileges of employment as are enjoyed by other similarly situated employees without disabilities.</w:t>
      </w:r>
      <w:r>
        <w:rPr>
          <w:rStyle w:val="EndnoteReference"/>
        </w:rPr>
        <w:endnoteReference w:id="693"/>
      </w:r>
      <w:r>
        <w:t xml:space="preserve"> The Fifth Circuit decision presents real questions for employers as to how far they must go to accommodate a disability.</w:t>
      </w:r>
    </w:p>
    <w:p>
      <w:pPr>
        <w:pStyle w:val="BodyTextFirstIndent"/>
      </w:pPr>
      <w:r>
        <w:t xml:space="preserve">Now that an accommodation request must be tied to an essential job function in order to be protected under the ADA, it begs the question - what is an essential job function?  More specifically, is a job function an essential job function if it is only performed rarely? This question was addressed by the Eighth Circuit Court of Appeals in </w:t>
      </w:r>
      <w:r>
        <w:rPr>
          <w:i/>
        </w:rPr>
        <w:t>Knutson v. Schwan’s Home Service, Inc</w:t>
      </w:r>
      <w:r>
        <w:t>.</w:t>
      </w:r>
      <w:r>
        <w:rPr>
          <w:rStyle w:val="EndnoteReference"/>
        </w:rPr>
        <w:endnoteReference w:id="694"/>
      </w:r>
      <w:r>
        <w:t xml:space="preserve"> Knutson was the manager of a frozen food delivery depot.</w:t>
      </w:r>
      <w:r>
        <w:rPr>
          <w:rStyle w:val="EndnoteReference"/>
        </w:rPr>
        <w:endnoteReference w:id="695"/>
      </w:r>
      <w:r>
        <w:t xml:space="preserve">  Driving a delivery truck was listed as an essential function in his job description, but Knutson rarely needed to do so.</w:t>
      </w:r>
      <w:r>
        <w:rPr>
          <w:rStyle w:val="EndnoteReference"/>
        </w:rPr>
        <w:endnoteReference w:id="696"/>
      </w:r>
      <w:r>
        <w:t xml:space="preserve"> He suffered an eye injury, after which he was not required to drive a truck for several months.</w:t>
      </w:r>
      <w:r>
        <w:rPr>
          <w:rStyle w:val="EndnoteReference"/>
        </w:rPr>
        <w:endnoteReference w:id="697"/>
      </w:r>
      <w:r>
        <w:t xml:space="preserve">  However, he failed his next Department of Transportation physical because of the eye injury </w:t>
      </w:r>
      <w:r>
        <w:lastRenderedPageBreak/>
        <w:t>and could not be certified as capable of driving a truck.</w:t>
      </w:r>
      <w:r>
        <w:rPr>
          <w:rStyle w:val="EndnoteReference"/>
        </w:rPr>
        <w:endnoteReference w:id="698"/>
      </w:r>
      <w:r>
        <w:t xml:space="preserve">  The employer attempted to accommodate Knutson by giving him 30 days to find a job that did not require a DOT driving certification, but he was unable to do so and was ultimately terminated.</w:t>
      </w:r>
      <w:r>
        <w:rPr>
          <w:rStyle w:val="EndnoteReference"/>
        </w:rPr>
        <w:endnoteReference w:id="699"/>
      </w:r>
      <w:r>
        <w:t xml:space="preserve">  The Eighth Circuit affirmed the lower court determination that there was no ADA violation because the company was not required to eliminate the driving requirement, which was an essential job duty, even though rarely performed by the employee.</w:t>
      </w:r>
      <w:r>
        <w:rPr>
          <w:rStyle w:val="EndnoteReference"/>
        </w:rPr>
        <w:endnoteReference w:id="700"/>
      </w:r>
      <w:r>
        <w:t xml:space="preserve">  The court specifically rejected the employee’s argument that driving was not an essential job function because he did not perform the function frequently.</w:t>
      </w:r>
      <w:r>
        <w:rPr>
          <w:rStyle w:val="EndnoteReference"/>
        </w:rPr>
        <w:endnoteReference w:id="701"/>
      </w:r>
    </w:p>
    <w:p>
      <w:pPr>
        <w:pStyle w:val="BodyTextFirstIndent"/>
      </w:pPr>
      <w:r>
        <w:t xml:space="preserve">Like other employment laws, the ADA prohibits retaliation for engaging in a protected activity under that statute.  In </w:t>
      </w:r>
      <w:r>
        <w:rPr>
          <w:i/>
        </w:rPr>
        <w:t>Bordonaro v. Johnston County Board of Education</w:t>
      </w:r>
      <w:r>
        <w:t>,</w:t>
      </w:r>
      <w:r>
        <w:rPr>
          <w:rStyle w:val="EndnoteReference"/>
        </w:rPr>
        <w:endnoteReference w:id="702"/>
      </w:r>
      <w:r>
        <w:t xml:space="preserve"> a federal court in North Carolina ruled that a request for an ADA accommodation is protected activity and that an employer violates the ADA by retaliating against an employee for requesting an accommodation.</w:t>
      </w:r>
      <w:r>
        <w:rPr>
          <w:rStyle w:val="EndnoteReference"/>
        </w:rPr>
        <w:endnoteReference w:id="703"/>
      </w:r>
    </w:p>
    <w:p>
      <w:pPr>
        <w:pStyle w:val="BodyTextFirstIndent"/>
      </w:pPr>
      <w:r>
        <w:t xml:space="preserve">In </w:t>
      </w:r>
      <w:r>
        <w:rPr>
          <w:i/>
        </w:rPr>
        <w:t>Bordonaro</w:t>
      </w:r>
      <w:r>
        <w:t>, the plaintiff was hired as a teaching assistant.</w:t>
      </w:r>
      <w:r>
        <w:rPr>
          <w:rStyle w:val="EndnoteReference"/>
        </w:rPr>
        <w:endnoteReference w:id="704"/>
      </w:r>
      <w:r>
        <w:t xml:space="preserve">  At the time of her hire, she was informed that teaching assistants and certain other employees had to be licensed and willing to drive a school bus in addition to their other duties.</w:t>
      </w:r>
      <w:r>
        <w:rPr>
          <w:rStyle w:val="EndnoteReference"/>
        </w:rPr>
        <w:endnoteReference w:id="705"/>
      </w:r>
      <w:r>
        <w:t xml:space="preserve">  Bordonaro drove a school bus on a few occasions, but during her </w:t>
      </w:r>
      <w:r>
        <w:lastRenderedPageBreak/>
        <w:t>employment began experiencing vision loss resulting in the loss of peripheral vision in one eye.</w:t>
      </w:r>
      <w:r>
        <w:rPr>
          <w:rStyle w:val="EndnoteReference"/>
        </w:rPr>
        <w:endnoteReference w:id="706"/>
      </w:r>
      <w:r>
        <w:t xml:space="preserve">  She requested an accommodation in the form of an exemption from the bus driving duties, but her request was denied and she was ultimately terminated.</w:t>
      </w:r>
      <w:r>
        <w:rPr>
          <w:rStyle w:val="EndnoteReference"/>
        </w:rPr>
        <w:endnoteReference w:id="707"/>
      </w:r>
      <w:r>
        <w:t xml:space="preserve">  She filed an ADA suit and the school board filed a motion to dismiss.</w:t>
      </w:r>
      <w:r>
        <w:rPr>
          <w:rStyle w:val="EndnoteReference"/>
        </w:rPr>
        <w:endnoteReference w:id="708"/>
      </w:r>
      <w:r>
        <w:t xml:space="preserve">  The court denied the motion, ruling that the manner of the plaintiff’s discharge raised a reasonable inference of retaliation for requesting the accommodation because she was fired within weeks of requesting an accommodation.</w:t>
      </w:r>
      <w:r>
        <w:rPr>
          <w:rStyle w:val="EndnoteReference"/>
        </w:rPr>
        <w:endnoteReference w:id="709"/>
      </w:r>
      <w:r>
        <w:t xml:space="preserve">  The court specifically found that requesting an ADA accommodation was protected activity under that statute.</w:t>
      </w:r>
      <w:r>
        <w:rPr>
          <w:rStyle w:val="EndnoteReference"/>
        </w:rPr>
        <w:endnoteReference w:id="710"/>
      </w:r>
      <w:bookmarkStart w:id="148" w:name="_Toc378246993"/>
      <w:bookmarkStart w:id="149" w:name="_Toc378256363"/>
      <w:bookmarkStart w:id="150" w:name="_Toc378597524"/>
      <w:bookmarkStart w:id="151" w:name="_Toc378843476"/>
      <w:bookmarkStart w:id="152" w:name="_Toc379183217"/>
      <w:bookmarkStart w:id="153" w:name="_Toc379184101"/>
      <w:bookmarkStart w:id="154" w:name="_Toc379349869"/>
      <w:bookmarkStart w:id="155" w:name="_Toc379349984"/>
      <w:bookmarkStart w:id="156" w:name="_Toc379351145"/>
    </w:p>
    <w:p>
      <w:pPr>
        <w:pStyle w:val="BodyTextFirstIndent"/>
        <w:ind w:firstLine="0"/>
        <w:jc w:val="center"/>
        <w:rPr>
          <w:b/>
        </w:rPr>
      </w:pPr>
      <w:r>
        <w:rPr>
          <w:b/>
        </w:rPr>
        <w:t>B.</w:t>
      </w:r>
      <w:r>
        <w:rPr>
          <w:b/>
        </w:rPr>
        <w:tab/>
        <w:t>What Is a Disability?</w:t>
      </w:r>
      <w:bookmarkEnd w:id="148"/>
      <w:bookmarkEnd w:id="149"/>
      <w:bookmarkEnd w:id="150"/>
      <w:bookmarkEnd w:id="151"/>
      <w:bookmarkEnd w:id="152"/>
      <w:bookmarkEnd w:id="153"/>
      <w:bookmarkEnd w:id="154"/>
      <w:bookmarkEnd w:id="155"/>
      <w:bookmarkEnd w:id="156"/>
    </w:p>
    <w:p>
      <w:pPr>
        <w:pStyle w:val="BodyTextFirstIndent"/>
      </w:pPr>
      <w:r>
        <w:t xml:space="preserve">The ADA Amendments Act was enacted, in part, in response to numerous court decisions ruling against employees in ADA cases on the basis that the employees did not suffer a disability within the meaning of the statute.  The ADA Amendments Act broadened the definition of a disability considerably and, as discussed above, resulted in much greater emphasis on accommodation and discrimination issues.  However, in order to prevail in an ADA discrimination case, a plaintiff still has to prove that he or she has a disability within the meaning of the statute.  In a few cases, courts have ruled that plaintiffs have failed to make this showing.  </w:t>
      </w:r>
    </w:p>
    <w:p>
      <w:pPr>
        <w:pStyle w:val="FirmBodyPleading"/>
        <w:spacing w:line="240" w:lineRule="auto"/>
        <w:rPr>
          <w:rFonts w:ascii="Century Schoolbook" w:hAnsi="Century Schoolbook"/>
        </w:rPr>
      </w:pPr>
      <w:r>
        <w:rPr>
          <w:rFonts w:ascii="Century Schoolbook" w:hAnsi="Century Schoolbook"/>
        </w:rPr>
        <w:lastRenderedPageBreak/>
        <w:t xml:space="preserve">In the first of these cases, </w:t>
      </w:r>
      <w:r>
        <w:rPr>
          <w:rFonts w:ascii="Century Schoolbook" w:hAnsi="Century Schoolbook"/>
          <w:i/>
        </w:rPr>
        <w:t>Neely v. PSEG Tex., L.P.</w:t>
      </w:r>
      <w:r>
        <w:rPr>
          <w:rFonts w:ascii="Century Schoolbook" w:hAnsi="Century Schoolbook"/>
        </w:rPr>
        <w:t>,</w:t>
      </w:r>
      <w:r>
        <w:rPr>
          <w:rStyle w:val="EndnoteReference"/>
          <w:rFonts w:ascii="Century Schoolbook" w:hAnsi="Century Schoolbook"/>
        </w:rPr>
        <w:endnoteReference w:id="711"/>
      </w:r>
      <w:r>
        <w:rPr>
          <w:rFonts w:ascii="Century Schoolbook" w:hAnsi="Century Schoolbook"/>
        </w:rPr>
        <w:t xml:space="preserve"> the plaintiff attempted to extend the ADA Amendments Act to its extreme, arguing that he should not have to prove that he has a disability in order to prevail in an ADA lawsuit.</w:t>
      </w:r>
      <w:r>
        <w:rPr>
          <w:rStyle w:val="EndnoteReference"/>
          <w:rFonts w:ascii="Century Schoolbook" w:hAnsi="Century Schoolbook"/>
        </w:rPr>
        <w:endnoteReference w:id="712"/>
      </w:r>
      <w:r>
        <w:rPr>
          <w:rFonts w:ascii="Century Schoolbook" w:hAnsi="Century Schoolbook"/>
        </w:rPr>
        <w:t xml:space="preserve">  Fortunately, the Fifth Circuit Court of Appeals disagreed and upheld a jury verdict against the employee on his disability bias claim.</w:t>
      </w:r>
      <w:r>
        <w:rPr>
          <w:rStyle w:val="EndnoteReference"/>
          <w:rFonts w:ascii="Century Schoolbook" w:hAnsi="Century Schoolbook"/>
        </w:rPr>
        <w:endnoteReference w:id="713"/>
      </w:r>
    </w:p>
    <w:p>
      <w:pPr>
        <w:pStyle w:val="BodyTextFirstIndent"/>
      </w:pPr>
      <w:r>
        <w:t>On appeal, the plaintiff argued that the submission to the jury of a question whether the plaintiff was a “qualified individual with a disability” was improper because he should not have to prove that he had a disability under the ADA Amendments Act.</w:t>
      </w:r>
      <w:r>
        <w:rPr>
          <w:rStyle w:val="EndnoteReference"/>
          <w:rFonts w:ascii="Century Schoolbook" w:hAnsi="Century Schoolbook"/>
        </w:rPr>
        <w:endnoteReference w:id="714"/>
      </w:r>
      <w:r>
        <w:t xml:space="preserve">  The plaintiff argued that inclusion of the words “with a disability” in the jury interrogatory was contrary to the primary purpose of the ADAAA, i.e., to simplify the analysis of whether a worker was disabled for purposes of the statute and instead focus on whether this was evidence of discrimination.</w:t>
      </w:r>
      <w:r>
        <w:rPr>
          <w:rStyle w:val="EndnoteReference"/>
          <w:rFonts w:ascii="Century Schoolbook" w:hAnsi="Century Schoolbook"/>
        </w:rPr>
        <w:endnoteReference w:id="715"/>
      </w:r>
    </w:p>
    <w:p>
      <w:pPr>
        <w:pStyle w:val="BodyTextFirstIndent"/>
      </w:pPr>
      <w:r>
        <w:t>While the Fifth Circuit did agree that the primary objective of the ADA Amendments Act was to get to the question of whether discrimination or unreasonable lack of accommodation existed, the court of appeals held that the question of whether an individual’s impairment is a disability under the ADA is still something that the plaintiff must prove under the statute.</w:t>
      </w:r>
      <w:r>
        <w:rPr>
          <w:rStyle w:val="EndnoteReference"/>
          <w:rFonts w:ascii="Century Schoolbook" w:hAnsi="Century Schoolbook"/>
        </w:rPr>
        <w:endnoteReference w:id="716"/>
      </w:r>
    </w:p>
    <w:p>
      <w:pPr>
        <w:pStyle w:val="BodyTextFirstIndent"/>
      </w:pPr>
      <w:r>
        <w:t xml:space="preserve">In </w:t>
      </w:r>
      <w:r>
        <w:rPr>
          <w:i/>
        </w:rPr>
        <w:t>Anderson v. Discovery Communications, LLC</w:t>
      </w:r>
      <w:r>
        <w:t>,</w:t>
      </w:r>
      <w:r>
        <w:rPr>
          <w:rStyle w:val="EndnoteReference"/>
          <w:rFonts w:ascii="Century Schoolbook" w:hAnsi="Century Schoolbook"/>
        </w:rPr>
        <w:endnoteReference w:id="717"/>
      </w:r>
      <w:r>
        <w:t xml:space="preserve"> the Fourth Circuit in Virginia ruled </w:t>
      </w:r>
      <w:r>
        <w:lastRenderedPageBreak/>
        <w:t>that an employee suffering from insomnia had failed to prove that she was substantially impaired and therefore failed to prove that she had a disability within the meaning of the ADA Amendments Act.</w:t>
      </w:r>
      <w:r>
        <w:rPr>
          <w:rStyle w:val="EndnoteReference"/>
          <w:rFonts w:ascii="Century Schoolbook" w:hAnsi="Century Schoolbook"/>
        </w:rPr>
        <w:endnoteReference w:id="718"/>
      </w:r>
      <w:r>
        <w:t xml:space="preserve">  The court affirmed summary judgment dismissing her ADA claim against Discovery Channel. </w:t>
      </w:r>
      <w:r>
        <w:rPr>
          <w:rStyle w:val="EndnoteReference"/>
          <w:rFonts w:ascii="Century Schoolbook" w:hAnsi="Century Schoolbook"/>
        </w:rPr>
        <w:endnoteReference w:id="719"/>
      </w:r>
    </w:p>
    <w:p>
      <w:pPr>
        <w:pStyle w:val="BodyTextFirstIndent"/>
      </w:pPr>
      <w:r>
        <w:t>In that case, the plaintiff was an attorney in the legal department of the Discovery Channel.</w:t>
      </w:r>
      <w:r>
        <w:rPr>
          <w:rStyle w:val="EndnoteReference"/>
          <w:rFonts w:ascii="Century Schoolbook" w:hAnsi="Century Schoolbook"/>
        </w:rPr>
        <w:endnoteReference w:id="720"/>
      </w:r>
      <w:r>
        <w:t xml:space="preserve">  She became ill and was told that she suffered from fatigue, sleep deprivation, and insomnia, and was given prescription sleep medication and advice on staying asleep.</w:t>
      </w:r>
      <w:r>
        <w:rPr>
          <w:rStyle w:val="EndnoteReference"/>
          <w:rFonts w:ascii="Century Schoolbook" w:hAnsi="Century Schoolbook"/>
        </w:rPr>
        <w:endnoteReference w:id="721"/>
      </w:r>
      <w:r>
        <w:t xml:space="preserve">  After being cleared by her doctor to return to full-duty without restrictions, the plaintiff requested five-hour work days; however, her request was denied because she could not perform her full responsibilities in a five-hour day.</w:t>
      </w:r>
      <w:r>
        <w:rPr>
          <w:rStyle w:val="EndnoteReference"/>
          <w:rFonts w:ascii="Century Schoolbook" w:hAnsi="Century Schoolbook"/>
        </w:rPr>
        <w:endnoteReference w:id="722"/>
      </w:r>
      <w:r>
        <w:t xml:space="preserve">  When the plaintiff was subsequently terminated, she filed suit, citing her insomnia as evidence of her status as an individual with a disability.</w:t>
      </w:r>
      <w:r>
        <w:rPr>
          <w:rStyle w:val="EndnoteReference"/>
          <w:rFonts w:ascii="Century Schoolbook" w:hAnsi="Century Schoolbook"/>
        </w:rPr>
        <w:endnoteReference w:id="723"/>
      </w:r>
      <w:r>
        <w:t xml:space="preserve">  The district court granted summary judgment and the court of appeals affirmed, ruling that the evidence did not support the conclusion that the plaintiff was substantially impaired at the time that her employment was terminated.</w:t>
      </w:r>
      <w:r>
        <w:rPr>
          <w:rStyle w:val="EndnoteReference"/>
          <w:rFonts w:ascii="Century Schoolbook" w:hAnsi="Century Schoolbook"/>
        </w:rPr>
        <w:endnoteReference w:id="724"/>
      </w:r>
    </w:p>
    <w:p>
      <w:pPr>
        <w:pStyle w:val="BodyTextFirstIndent"/>
      </w:pPr>
      <w:r>
        <w:t xml:space="preserve">Similarly, a federal district court in Louisiana found in </w:t>
      </w:r>
      <w:r>
        <w:rPr>
          <w:i/>
        </w:rPr>
        <w:t>Blackard v. Livingston Parish Sewer District</w:t>
      </w:r>
      <w:r>
        <w:t>,</w:t>
      </w:r>
      <w:r>
        <w:rPr>
          <w:rStyle w:val="EndnoteReference"/>
          <w:rFonts w:ascii="Century Schoolbook" w:hAnsi="Century Schoolbook"/>
        </w:rPr>
        <w:endnoteReference w:id="725"/>
      </w:r>
      <w:r>
        <w:t xml:space="preserve"> that an employee did not have a disability under the ADA even though he suffered from </w:t>
      </w:r>
      <w:r>
        <w:lastRenderedPageBreak/>
        <w:t>bi-polar disorder, depression, anxiety, and attention deficit hyperactivity disorder because he could not demonstrate that those impairments substantially limited him in the major life activities of sleeping or working.</w:t>
      </w:r>
      <w:r>
        <w:rPr>
          <w:rStyle w:val="EndnoteReference"/>
          <w:rFonts w:ascii="Century Schoolbook" w:hAnsi="Century Schoolbook"/>
        </w:rPr>
        <w:endnoteReference w:id="726"/>
      </w:r>
      <w:r>
        <w:t xml:space="preserve">  However, on the motion for a new trial, the court gave deference to the EEOC regulations and determined that the plaintiff did in fact have a disability.</w:t>
      </w:r>
      <w:r>
        <w:rPr>
          <w:rStyle w:val="EndnoteReference"/>
          <w:rFonts w:ascii="Century Schoolbook" w:hAnsi="Century Schoolbook"/>
        </w:rPr>
        <w:endnoteReference w:id="727"/>
      </w:r>
      <w:r>
        <w:t xml:space="preserve"> </w:t>
      </w:r>
    </w:p>
    <w:p>
      <w:pPr>
        <w:pStyle w:val="BodyTextFirstIndent"/>
      </w:pPr>
      <w:r>
        <w:t xml:space="preserve">On January 23, 2014, the Fourth Circuit decided </w:t>
      </w:r>
      <w:r>
        <w:rPr>
          <w:i/>
          <w:iCs/>
        </w:rPr>
        <w:t>Summers v. Altarum Institute Corp.,</w:t>
      </w:r>
      <w:r>
        <w:rPr>
          <w:rStyle w:val="EndnoteReference"/>
          <w:rFonts w:ascii="Century Schoolbook" w:hAnsi="Century Schoolbook"/>
          <w:iCs/>
        </w:rPr>
        <w:endnoteReference w:id="728"/>
      </w:r>
      <w:r>
        <w:rPr>
          <w:i/>
          <w:iCs/>
        </w:rPr>
        <w:t xml:space="preserve"> </w:t>
      </w:r>
      <w:r>
        <w:rPr>
          <w:iCs/>
        </w:rPr>
        <w:t xml:space="preserve">finding that </w:t>
      </w:r>
      <w:r>
        <w:t>even a temporary impairment caused by an injury can constitute a disability under the ADA.</w:t>
      </w:r>
      <w:r>
        <w:rPr>
          <w:rStyle w:val="EndnoteReference"/>
          <w:rFonts w:ascii="Century Schoolbook" w:hAnsi="Century Schoolbook"/>
        </w:rPr>
        <w:endnoteReference w:id="729"/>
      </w:r>
      <w:r>
        <w:t xml:space="preserve">  In that case, the employee fractured his left leg, tore the meniscus tendon in his left knee, fractured his right ankle, and ruptured the quadriceps-patellar tendon in his right leg.</w:t>
      </w:r>
      <w:r>
        <w:rPr>
          <w:rStyle w:val="EndnoteReference"/>
          <w:rFonts w:ascii="Century Schoolbook" w:hAnsi="Century Schoolbook"/>
        </w:rPr>
        <w:endnoteReference w:id="730"/>
      </w:r>
      <w:r>
        <w:t xml:space="preserve"> His doctors forbade him from putting any weight on his left leg for six weeks and estimated that he would not be able to walk normally for seven months at the earliest.</w:t>
      </w:r>
      <w:r>
        <w:rPr>
          <w:rStyle w:val="EndnoteReference"/>
          <w:rFonts w:ascii="Century Schoolbook" w:hAnsi="Century Schoolbook"/>
        </w:rPr>
        <w:endnoteReference w:id="731"/>
      </w:r>
      <w:r>
        <w:t xml:space="preserve">  After placing him on short term disability, the company terminated the employee, and he filed an ADA suit.</w:t>
      </w:r>
      <w:r>
        <w:rPr>
          <w:rStyle w:val="EndnoteReference"/>
          <w:rFonts w:ascii="Century Schoolbook" w:hAnsi="Century Schoolbook"/>
        </w:rPr>
        <w:endnoteReference w:id="732"/>
      </w:r>
      <w:r>
        <w:t xml:space="preserve">  The federal district court dismissed the suit because the employee’s disability was temporary, and not the type of chronic or permanent medical problem that would constitute a disability.</w:t>
      </w:r>
      <w:r>
        <w:rPr>
          <w:rStyle w:val="EndnoteReference"/>
          <w:rFonts w:ascii="Century Schoolbook" w:hAnsi="Century Schoolbook"/>
        </w:rPr>
        <w:endnoteReference w:id="733"/>
      </w:r>
      <w:r>
        <w:t xml:space="preserve">  The court of appeals reversed, relying on EEOC regulations issued after the ADA Amendments Act expanded the definition of a disability.</w:t>
      </w:r>
      <w:r>
        <w:rPr>
          <w:rStyle w:val="EndnoteReference"/>
          <w:rFonts w:ascii="Century Schoolbook" w:hAnsi="Century Schoolbook"/>
        </w:rPr>
        <w:endnoteReference w:id="734"/>
      </w:r>
      <w:r>
        <w:t xml:space="preserve">  According to the appendix to the EEOC regulations, the "duration of </w:t>
      </w:r>
      <w:r>
        <w:lastRenderedPageBreak/>
        <w:t>an impairment is one factor that is relevant in determining whether the impairment substantially limits a major life activity."</w:t>
      </w:r>
      <w:r>
        <w:rPr>
          <w:rStyle w:val="EndnoteReference"/>
          <w:rFonts w:ascii="Century Schoolbook" w:hAnsi="Century Schoolbook"/>
        </w:rPr>
        <w:endnoteReference w:id="735"/>
      </w:r>
      <w:r>
        <w:t xml:space="preserve"> Although "[i]mpairments that last only for a short period of time are typically not covered," they </w:t>
      </w:r>
      <w:r>
        <w:rPr>
          <w:i/>
          <w:iCs/>
        </w:rPr>
        <w:t>may be</w:t>
      </w:r>
      <w:r>
        <w:t xml:space="preserve"> covered "if sufficiently severe."</w:t>
      </w:r>
      <w:r>
        <w:rPr>
          <w:rStyle w:val="EndnoteReference"/>
          <w:rFonts w:ascii="Century Schoolbook" w:hAnsi="Century Schoolbook"/>
        </w:rPr>
        <w:endnoteReference w:id="736"/>
      </w:r>
      <w:r>
        <w:t xml:space="preserve"> The EEOC appendix further states: "[I]f an individual has a back impairment that results in a 20–pound lifting restriction that lasts for several months, he is substantially limited in the major life activity of lifting, and therefore covered under the first prong of the definition of disability."</w:t>
      </w:r>
      <w:r>
        <w:rPr>
          <w:rStyle w:val="EndnoteReference"/>
          <w:rFonts w:ascii="Century Schoolbook" w:hAnsi="Century Schoolbook"/>
        </w:rPr>
        <w:endnoteReference w:id="737"/>
      </w:r>
      <w:bookmarkStart w:id="157" w:name="_Toc378246994"/>
      <w:bookmarkStart w:id="158" w:name="_Toc378256364"/>
      <w:bookmarkStart w:id="159" w:name="_Toc378597525"/>
      <w:bookmarkStart w:id="160" w:name="_Toc378843477"/>
      <w:bookmarkStart w:id="161" w:name="_Toc379183218"/>
      <w:bookmarkStart w:id="162" w:name="_Toc379184102"/>
      <w:bookmarkStart w:id="163" w:name="_Toc379349870"/>
      <w:bookmarkStart w:id="164" w:name="_Toc379349985"/>
      <w:bookmarkStart w:id="165" w:name="_Toc379351146"/>
    </w:p>
    <w:p>
      <w:pPr>
        <w:pStyle w:val="BodyTextFirstIndent"/>
        <w:ind w:firstLine="0"/>
        <w:jc w:val="center"/>
        <w:rPr>
          <w:b/>
          <w:szCs w:val="22"/>
        </w:rPr>
      </w:pPr>
      <w:r>
        <w:rPr>
          <w:b/>
        </w:rPr>
        <w:t>C.</w:t>
      </w:r>
      <w:r>
        <w:rPr>
          <w:b/>
        </w:rPr>
        <w:tab/>
      </w:r>
      <w:r>
        <w:rPr>
          <w:b/>
          <w:szCs w:val="22"/>
        </w:rPr>
        <w:t>Standard of Proof in ADA Discrimination Suit</w:t>
      </w:r>
      <w:bookmarkEnd w:id="157"/>
      <w:bookmarkEnd w:id="158"/>
      <w:bookmarkEnd w:id="159"/>
      <w:bookmarkEnd w:id="160"/>
      <w:bookmarkEnd w:id="161"/>
      <w:bookmarkEnd w:id="162"/>
      <w:r>
        <w:rPr>
          <w:b/>
          <w:szCs w:val="22"/>
        </w:rPr>
        <w:t>s</w:t>
      </w:r>
      <w:bookmarkEnd w:id="163"/>
      <w:bookmarkEnd w:id="164"/>
      <w:bookmarkEnd w:id="165"/>
    </w:p>
    <w:p>
      <w:pPr>
        <w:pStyle w:val="BodyTextFirstIndent"/>
      </w:pPr>
      <w:r>
        <w:t xml:space="preserve">As discussed in the Title VII section of this article, the United States Supreme Court issued a major decision regarding Title VII retaliation claims in </w:t>
      </w:r>
      <w:r>
        <w:rPr>
          <w:i/>
        </w:rPr>
        <w:t>University of Texas Southwestern Medical Center v. Nassar</w:t>
      </w:r>
      <w:r>
        <w:t>.  In that case, the Supreme Court ruled that in a Title VII retaliation claim, a plaintiff must demonstrate that retaliatory motive was the “but for” cause of the employment decision.</w:t>
      </w:r>
      <w:r>
        <w:rPr>
          <w:rStyle w:val="EndnoteReference"/>
          <w:rFonts w:ascii="Century Schoolbook" w:hAnsi="Century Schoolbook"/>
        </w:rPr>
        <w:endnoteReference w:id="738"/>
      </w:r>
      <w:r>
        <w:t xml:space="preserve">  </w:t>
      </w:r>
    </w:p>
    <w:p>
      <w:pPr>
        <w:pStyle w:val="BodyTextFirstIndent"/>
      </w:pPr>
      <w:r>
        <w:t xml:space="preserve">However, in what is believed to be the first case to consider whether the </w:t>
      </w:r>
      <w:r>
        <w:rPr>
          <w:i/>
        </w:rPr>
        <w:t>Nassar</w:t>
      </w:r>
      <w:r>
        <w:t xml:space="preserve"> decision should apply to ADA lawsuits, a federal judge in Oregon ruled in </w:t>
      </w:r>
      <w:r>
        <w:rPr>
          <w:i/>
        </w:rPr>
        <w:t>Siring v. Oregon State Board of Higher Education</w:t>
      </w:r>
      <w:r>
        <w:rPr>
          <w:rStyle w:val="EndnoteReference"/>
          <w:rFonts w:ascii="Century Schoolbook" w:hAnsi="Century Schoolbook"/>
          <w:i/>
        </w:rPr>
        <w:endnoteReference w:id="739"/>
      </w:r>
      <w:r>
        <w:t xml:space="preserve"> that the Supreme Court decision in </w:t>
      </w:r>
      <w:r>
        <w:rPr>
          <w:i/>
        </w:rPr>
        <w:t>Nassar</w:t>
      </w:r>
      <w:r>
        <w:t xml:space="preserve"> does not extend to discrimination claims under the Americans with Disabilities Act.</w:t>
      </w:r>
      <w:r>
        <w:rPr>
          <w:rStyle w:val="EndnoteReference"/>
          <w:rFonts w:ascii="Century Schoolbook" w:hAnsi="Century Schoolbook"/>
        </w:rPr>
        <w:endnoteReference w:id="740"/>
      </w:r>
      <w:r>
        <w:t xml:space="preserve">  In </w:t>
      </w:r>
      <w:r>
        <w:rPr>
          <w:i/>
        </w:rPr>
        <w:t>Siring</w:t>
      </w:r>
      <w:r>
        <w:t xml:space="preserve">, the </w:t>
      </w:r>
      <w:r>
        <w:lastRenderedPageBreak/>
        <w:t>federal court found that the applicable standard of proof in an ADA discrimination claim is whether the plaintiff’s disability or perceived disability was a “motivating factor” in the employment decision - a significantly lower standard of proof than the “but for” standard.</w:t>
      </w:r>
      <w:r>
        <w:rPr>
          <w:rStyle w:val="EndnoteReference"/>
          <w:rFonts w:ascii="Century Schoolbook" w:hAnsi="Century Schoolbook"/>
        </w:rPr>
        <w:endnoteReference w:id="741"/>
      </w:r>
      <w:r>
        <w:t xml:space="preserve">  In </w:t>
      </w:r>
      <w:r>
        <w:rPr>
          <w:i/>
        </w:rPr>
        <w:t>Siring</w:t>
      </w:r>
      <w:r>
        <w:t>, the federal court reasoned that the statutory language and legislative history of the ADA discrimination provision is substantially more similar to Title VII’s status-based discrimination provision than to Title VII’s retaliation provision.</w:t>
      </w:r>
      <w:r>
        <w:rPr>
          <w:rStyle w:val="EndnoteReference"/>
          <w:rFonts w:ascii="Century Schoolbook" w:hAnsi="Century Schoolbook"/>
        </w:rPr>
        <w:endnoteReference w:id="742"/>
      </w:r>
      <w:bookmarkStart w:id="166" w:name="_Toc378246995"/>
      <w:bookmarkStart w:id="167" w:name="_Toc378256365"/>
      <w:bookmarkStart w:id="168" w:name="_Toc378597526"/>
      <w:bookmarkStart w:id="169" w:name="_Toc378843478"/>
      <w:bookmarkStart w:id="170" w:name="_Toc379183219"/>
      <w:bookmarkStart w:id="171" w:name="_Toc379184103"/>
      <w:bookmarkStart w:id="172" w:name="_Toc379349871"/>
      <w:bookmarkStart w:id="173" w:name="_Toc379349986"/>
      <w:bookmarkStart w:id="174" w:name="_Toc379351147"/>
    </w:p>
    <w:p>
      <w:pPr>
        <w:pStyle w:val="BodyTextFirstIndent"/>
        <w:ind w:left="720" w:hanging="720"/>
        <w:jc w:val="left"/>
        <w:rPr>
          <w:b/>
        </w:rPr>
      </w:pPr>
      <w:r>
        <w:rPr>
          <w:b/>
        </w:rPr>
        <w:t>IV.</w:t>
      </w:r>
      <w:r>
        <w:rPr>
          <w:b/>
        </w:rPr>
        <w:tab/>
        <w:t>Age Discrimination in Employment Act</w:t>
      </w:r>
      <w:bookmarkStart w:id="175" w:name="_Toc378246996"/>
      <w:bookmarkStart w:id="176" w:name="_Toc378256366"/>
      <w:bookmarkStart w:id="177" w:name="_Toc378597527"/>
      <w:bookmarkStart w:id="178" w:name="_Toc378843479"/>
      <w:bookmarkStart w:id="179" w:name="_Toc379183220"/>
      <w:bookmarkStart w:id="180" w:name="_Toc379184104"/>
      <w:bookmarkStart w:id="181" w:name="_Toc379349872"/>
      <w:bookmarkStart w:id="182" w:name="_Toc379349987"/>
      <w:bookmarkStart w:id="183" w:name="_Toc379351148"/>
      <w:bookmarkEnd w:id="166"/>
      <w:bookmarkEnd w:id="167"/>
      <w:bookmarkEnd w:id="168"/>
      <w:bookmarkEnd w:id="169"/>
      <w:bookmarkEnd w:id="170"/>
      <w:bookmarkEnd w:id="171"/>
      <w:bookmarkEnd w:id="172"/>
      <w:bookmarkEnd w:id="173"/>
      <w:bookmarkEnd w:id="174"/>
    </w:p>
    <w:p>
      <w:pPr>
        <w:pStyle w:val="BodyTextFirstIndent"/>
        <w:ind w:firstLine="0"/>
        <w:jc w:val="center"/>
        <w:rPr>
          <w:b/>
        </w:rPr>
      </w:pPr>
      <w:r>
        <w:rPr>
          <w:b/>
        </w:rPr>
        <w:t>A.</w:t>
      </w:r>
      <w:r>
        <w:rPr>
          <w:b/>
        </w:rPr>
        <w:tab/>
        <w:t>Enforcement</w:t>
      </w:r>
      <w:bookmarkEnd w:id="175"/>
      <w:bookmarkEnd w:id="176"/>
      <w:bookmarkEnd w:id="177"/>
      <w:bookmarkEnd w:id="178"/>
      <w:bookmarkEnd w:id="179"/>
      <w:bookmarkEnd w:id="180"/>
      <w:bookmarkEnd w:id="181"/>
      <w:bookmarkEnd w:id="182"/>
      <w:bookmarkEnd w:id="183"/>
    </w:p>
    <w:p>
      <w:pPr>
        <w:pStyle w:val="BodyTextFirstIndent"/>
      </w:pPr>
      <w:r>
        <w:t>Age discrimination in employment is a focus in the EEOC’s 2013 Strategic Enforcement Plan.</w:t>
      </w:r>
      <w:r>
        <w:rPr>
          <w:rStyle w:val="EndnoteReference"/>
          <w:rFonts w:ascii="Century Schoolbook" w:hAnsi="Century Schoolbook"/>
        </w:rPr>
        <w:endnoteReference w:id="743"/>
      </w:r>
      <w:r>
        <w:t xml:space="preserve"> </w:t>
      </w:r>
      <w:bookmarkStart w:id="184" w:name="_Toc378246997"/>
      <w:bookmarkStart w:id="185" w:name="_Toc378256367"/>
      <w:bookmarkStart w:id="186" w:name="_Toc378597528"/>
      <w:bookmarkStart w:id="187" w:name="_Toc378843480"/>
      <w:bookmarkStart w:id="188" w:name="_Toc379183221"/>
      <w:bookmarkStart w:id="189" w:name="_Toc379184105"/>
      <w:bookmarkStart w:id="190" w:name="_Toc379349873"/>
      <w:bookmarkStart w:id="191" w:name="_Toc379349988"/>
      <w:bookmarkStart w:id="192" w:name="_Toc379351149"/>
    </w:p>
    <w:p>
      <w:pPr>
        <w:pStyle w:val="BodyTextFirstIndent"/>
        <w:ind w:firstLine="0"/>
        <w:jc w:val="center"/>
        <w:rPr>
          <w:b/>
          <w:szCs w:val="22"/>
        </w:rPr>
      </w:pPr>
      <w:r>
        <w:rPr>
          <w:b/>
        </w:rPr>
        <w:t>B.</w:t>
      </w:r>
      <w:r>
        <w:rPr>
          <w:b/>
        </w:rPr>
        <w:tab/>
      </w:r>
      <w:r>
        <w:rPr>
          <w:b/>
          <w:szCs w:val="22"/>
        </w:rPr>
        <w:t>Age Comments</w:t>
      </w:r>
      <w:bookmarkEnd w:id="184"/>
      <w:bookmarkEnd w:id="185"/>
      <w:bookmarkEnd w:id="186"/>
      <w:bookmarkEnd w:id="187"/>
      <w:bookmarkEnd w:id="188"/>
      <w:bookmarkEnd w:id="189"/>
      <w:bookmarkEnd w:id="190"/>
      <w:bookmarkEnd w:id="191"/>
      <w:bookmarkEnd w:id="192"/>
    </w:p>
    <w:p>
      <w:pPr>
        <w:pStyle w:val="BodyTextFirstIndent"/>
      </w:pPr>
      <w:r>
        <w:t>Age-related comments continue to haunt employers and cause liability.  Several cases from the past year discuss this issue.</w:t>
      </w:r>
    </w:p>
    <w:p>
      <w:pPr>
        <w:pStyle w:val="BodyTextFirstIndent"/>
      </w:pPr>
      <w:r>
        <w:t xml:space="preserve">In </w:t>
      </w:r>
      <w:r>
        <w:rPr>
          <w:i/>
        </w:rPr>
        <w:t>Sesso v. Mercy Suburban Hospital</w:t>
      </w:r>
      <w:r>
        <w:t>,</w:t>
      </w:r>
      <w:r>
        <w:rPr>
          <w:rStyle w:val="EndnoteReference"/>
          <w:rFonts w:ascii="Century Schoolbook" w:hAnsi="Century Schoolbook"/>
        </w:rPr>
        <w:endnoteReference w:id="744"/>
      </w:r>
      <w:r>
        <w:rPr>
          <w:i/>
        </w:rPr>
        <w:t xml:space="preserve"> </w:t>
      </w:r>
      <w:r>
        <w:t>a federal court in Pennsylvania found that remarks made by management officials of the hospital indicating that a physician was expected to retire constituted sufficient evidence to defeat a summary judgment motion by the hospital and submit the plaintiff’s case to a jury trial.</w:t>
      </w:r>
      <w:r>
        <w:rPr>
          <w:rStyle w:val="EndnoteReference"/>
          <w:rFonts w:ascii="Century Schoolbook" w:hAnsi="Century Schoolbook"/>
        </w:rPr>
        <w:endnoteReference w:id="745"/>
      </w:r>
      <w:r>
        <w:t xml:space="preserve"> In order to defeat summary judgment in an ADEA suit, a plaintiff must submit evidence </w:t>
      </w:r>
      <w:r>
        <w:lastRenderedPageBreak/>
        <w:t>from which a fact-finder could conclude that age was the “but for” cause of an adverse employment decision.</w:t>
      </w:r>
      <w:r>
        <w:rPr>
          <w:rStyle w:val="EndnoteReference"/>
          <w:rFonts w:ascii="Century Schoolbook" w:hAnsi="Century Schoolbook"/>
        </w:rPr>
        <w:endnoteReference w:id="746"/>
      </w:r>
      <w:r>
        <w:t xml:space="preserve">  In denying the hospital’s summary judgment motion in this case, the court reasoned that the hospital management officials’ retirement-related remarks were sufficient evidence for a fact-finder to conclude that age was the reason for the termination of a doctor’s employment with the hospital.</w:t>
      </w:r>
      <w:r>
        <w:rPr>
          <w:rStyle w:val="EndnoteReference"/>
          <w:rFonts w:ascii="Century Schoolbook" w:hAnsi="Century Schoolbook"/>
        </w:rPr>
        <w:endnoteReference w:id="747"/>
      </w:r>
    </w:p>
    <w:p>
      <w:pPr>
        <w:pStyle w:val="BodyTextFirstIndent"/>
      </w:pPr>
      <w:r>
        <w:t xml:space="preserve">When employees reach typical retirement age, their employers sometimes wonder about their future plans, but are reluctant to raise the issue with older employers out of concerns that they will be accused of age discrimination.  A recent decision of the Fourth Circuit in Virginia illustrated this problem. In </w:t>
      </w:r>
      <w:r>
        <w:rPr>
          <w:i/>
        </w:rPr>
        <w:t>Harris v. Powhatan County School Board</w:t>
      </w:r>
      <w:r>
        <w:t>,</w:t>
      </w:r>
      <w:r>
        <w:rPr>
          <w:rStyle w:val="EndnoteReference"/>
          <w:rFonts w:ascii="Century Schoolbook" w:hAnsi="Century Schoolbook"/>
        </w:rPr>
        <w:endnoteReference w:id="748"/>
      </w:r>
      <w:r>
        <w:t xml:space="preserve"> a 72 year old school custodian discussed a willingness to retire with supervisors, but only on the condition that he receive certain accrued paid benefits.</w:t>
      </w:r>
      <w:r>
        <w:rPr>
          <w:rStyle w:val="EndnoteReference"/>
          <w:rFonts w:ascii="Century Schoolbook" w:hAnsi="Century Schoolbook"/>
        </w:rPr>
        <w:endnoteReference w:id="749"/>
      </w:r>
      <w:r>
        <w:t xml:space="preserve">  Subsequently, he notified the school district of his intent to return the following school year unless he received his benefits.</w:t>
      </w:r>
      <w:r>
        <w:rPr>
          <w:rStyle w:val="EndnoteReference"/>
          <w:rFonts w:ascii="Century Schoolbook" w:hAnsi="Century Schoolbook"/>
        </w:rPr>
        <w:endnoteReference w:id="750"/>
      </w:r>
      <w:r>
        <w:t xml:space="preserve">  Based on his discussion about the possible retirement, the school board had already made a decision to eliminate his position.  As a result, the custodian filed suit, claiming age discrimination.</w:t>
      </w:r>
      <w:r>
        <w:rPr>
          <w:rStyle w:val="EndnoteReference"/>
          <w:rFonts w:ascii="Century Schoolbook" w:hAnsi="Century Schoolbook"/>
        </w:rPr>
        <w:endnoteReference w:id="751"/>
      </w:r>
      <w:r>
        <w:t xml:space="preserve">  The federal district court granted summary judgment to the school board; however, the Fourth Circuit Court of Appeals reversed that decision and sent the case back for </w:t>
      </w:r>
      <w:r>
        <w:lastRenderedPageBreak/>
        <w:t>a jury trial.</w:t>
      </w:r>
      <w:r>
        <w:rPr>
          <w:rStyle w:val="EndnoteReference"/>
          <w:rFonts w:ascii="Century Schoolbook" w:hAnsi="Century Schoolbook"/>
        </w:rPr>
        <w:endnoteReference w:id="752"/>
      </w:r>
      <w:r>
        <w:t xml:space="preserve">  The court of appeals reasoned that the decision to eliminate the plaintiff’s job may have been motivated by his discussion about retirement, and that was sufficient to defeat the school board’s summary judgment motion.</w:t>
      </w:r>
      <w:r>
        <w:rPr>
          <w:rStyle w:val="EndnoteReference"/>
          <w:rFonts w:ascii="Century Schoolbook" w:hAnsi="Century Schoolbook"/>
        </w:rPr>
        <w:endnoteReference w:id="753"/>
      </w:r>
    </w:p>
    <w:p>
      <w:pPr>
        <w:pStyle w:val="BodyTextFirstIndent"/>
      </w:pPr>
      <w:r>
        <w:t>This case points out the risks of discussing future plans with older employees.  While a mere inquiry about future plans is not evidence of age discrimination, pressuring an employee to retire or threatening termination if he does not retire certainly could be evidence of age discrimination if the employee is subsequently terminated.</w:t>
      </w:r>
    </w:p>
    <w:p>
      <w:pPr>
        <w:pStyle w:val="BodyTextFirstIndent"/>
      </w:pPr>
      <w:r>
        <w:t xml:space="preserve">Finally, comments do not have to be verbal to be troublesome.  In </w:t>
      </w:r>
      <w:r>
        <w:rPr>
          <w:i/>
        </w:rPr>
        <w:t>Chlystek v. Donovan</w:t>
      </w:r>
      <w:r>
        <w:t>,</w:t>
      </w:r>
      <w:r>
        <w:rPr>
          <w:rStyle w:val="EndnoteReference"/>
          <w:rFonts w:ascii="Century Schoolbook" w:hAnsi="Century Schoolbook"/>
        </w:rPr>
        <w:endnoteReference w:id="754"/>
      </w:r>
      <w:r>
        <w:t xml:space="preserve"> a federal district court in Michigan denied the employer’s motion for summary judgment in an age discrimination case filed by a 51 year old employee who was passed over for a promotion to a senior project manager position.</w:t>
      </w:r>
      <w:r>
        <w:rPr>
          <w:rStyle w:val="EndnoteReference"/>
          <w:rFonts w:ascii="Century Schoolbook" w:hAnsi="Century Schoolbook"/>
        </w:rPr>
        <w:endnoteReference w:id="755"/>
      </w:r>
      <w:r>
        <w:t xml:space="preserve">  The plaintiff had 13 years of experience as a project manager; the employee who received the promotion was in his mid-20’s and had two years of experience.</w:t>
      </w:r>
      <w:r>
        <w:rPr>
          <w:rStyle w:val="EndnoteReference"/>
          <w:rFonts w:ascii="Century Schoolbook" w:hAnsi="Century Schoolbook"/>
        </w:rPr>
        <w:endnoteReference w:id="756"/>
      </w:r>
      <w:r>
        <w:t xml:space="preserve">  In defending the decision, the employer argued that the plaintiff was not promoted because he had a history of being argumentative and did not follow directives from supervisors.</w:t>
      </w:r>
      <w:r>
        <w:rPr>
          <w:rStyle w:val="EndnoteReference"/>
          <w:rFonts w:ascii="Century Schoolbook" w:hAnsi="Century Schoolbook"/>
        </w:rPr>
        <w:endnoteReference w:id="757"/>
      </w:r>
      <w:r>
        <w:t xml:space="preserve">  However, in the plaintiff’s performance reviews for several years prior to the promotion decision, the plaintiff was rated as “highly successful” </w:t>
      </w:r>
      <w:r>
        <w:lastRenderedPageBreak/>
        <w:t>and “outstanding,” and there were no negative comments in his reviews.</w:t>
      </w:r>
      <w:r>
        <w:rPr>
          <w:rStyle w:val="EndnoteReference"/>
          <w:rFonts w:ascii="Century Schoolbook" w:hAnsi="Century Schoolbook"/>
        </w:rPr>
        <w:endnoteReference w:id="758"/>
      </w:r>
      <w:r>
        <w:t xml:space="preserve">  The court found that the performance reviews were sufficient evidence that the employer’s reason for failing to promote was a pretext for age discrimination and sent the case to a jury trial.</w:t>
      </w:r>
      <w:r>
        <w:rPr>
          <w:rStyle w:val="EndnoteReference"/>
          <w:rFonts w:ascii="Century Schoolbook" w:hAnsi="Century Schoolbook"/>
        </w:rPr>
        <w:endnoteReference w:id="759"/>
      </w:r>
      <w:bookmarkStart w:id="193" w:name="_Toc378247010"/>
      <w:bookmarkStart w:id="194" w:name="_Toc378256380"/>
      <w:bookmarkStart w:id="195" w:name="_Toc378597541"/>
      <w:bookmarkStart w:id="196" w:name="_Toc378843493"/>
      <w:bookmarkStart w:id="197" w:name="_Toc379183228"/>
      <w:bookmarkStart w:id="198" w:name="_Toc379184112"/>
      <w:bookmarkStart w:id="199" w:name="_Toc379349880"/>
      <w:bookmarkStart w:id="200" w:name="_Toc379349995"/>
      <w:bookmarkStart w:id="201" w:name="_Toc379351156"/>
    </w:p>
    <w:p>
      <w:pPr>
        <w:pStyle w:val="BodyTextFirstIndent"/>
        <w:keepNext/>
        <w:keepLines/>
        <w:ind w:left="720" w:hanging="720"/>
        <w:jc w:val="left"/>
        <w:rPr>
          <w:b/>
        </w:rPr>
      </w:pPr>
      <w:r>
        <w:rPr>
          <w:b/>
        </w:rPr>
        <w:t>V.</w:t>
      </w:r>
      <w:r>
        <w:rPr>
          <w:b/>
        </w:rPr>
        <w:tab/>
        <w:t>Fair Labor Standards Act (FLSA)</w:t>
      </w:r>
      <w:bookmarkStart w:id="202" w:name="_Toc378247011"/>
      <w:bookmarkStart w:id="203" w:name="_Toc378256381"/>
      <w:bookmarkStart w:id="204" w:name="_Toc378597542"/>
      <w:bookmarkStart w:id="205" w:name="_Toc378843494"/>
      <w:bookmarkStart w:id="206" w:name="_Toc379183229"/>
      <w:bookmarkStart w:id="207" w:name="_Toc379184113"/>
      <w:bookmarkStart w:id="208" w:name="_Toc379349881"/>
      <w:bookmarkStart w:id="209" w:name="_Toc379349996"/>
      <w:bookmarkStart w:id="210" w:name="_Toc379351157"/>
      <w:bookmarkEnd w:id="193"/>
      <w:bookmarkEnd w:id="194"/>
      <w:bookmarkEnd w:id="195"/>
      <w:bookmarkEnd w:id="196"/>
      <w:bookmarkEnd w:id="197"/>
      <w:bookmarkEnd w:id="198"/>
      <w:bookmarkEnd w:id="199"/>
      <w:bookmarkEnd w:id="200"/>
      <w:bookmarkEnd w:id="201"/>
    </w:p>
    <w:p>
      <w:pPr>
        <w:pStyle w:val="BodyTextFirstIndent"/>
        <w:keepNext/>
        <w:keepLines/>
        <w:ind w:firstLine="0"/>
        <w:jc w:val="center"/>
        <w:rPr>
          <w:b/>
        </w:rPr>
      </w:pPr>
      <w:r>
        <w:rPr>
          <w:b/>
        </w:rPr>
        <w:t>A.</w:t>
      </w:r>
      <w:r>
        <w:rPr>
          <w:b/>
        </w:rPr>
        <w:tab/>
        <w:t>Supreme Court Decisions</w:t>
      </w:r>
      <w:bookmarkEnd w:id="202"/>
      <w:bookmarkEnd w:id="203"/>
      <w:bookmarkEnd w:id="204"/>
      <w:bookmarkEnd w:id="205"/>
      <w:bookmarkEnd w:id="206"/>
      <w:bookmarkEnd w:id="207"/>
      <w:bookmarkEnd w:id="208"/>
      <w:bookmarkEnd w:id="209"/>
      <w:bookmarkEnd w:id="210"/>
    </w:p>
    <w:p>
      <w:pPr>
        <w:pStyle w:val="BodyTextFirstIndent"/>
        <w:rPr>
          <w:rFonts w:eastAsia="MS Mincho"/>
          <w:lang w:eastAsia="ja-JP"/>
        </w:rPr>
      </w:pPr>
      <w:r>
        <w:rPr>
          <w:rFonts w:eastAsia="MS Mincho"/>
          <w:lang w:eastAsia="ja-JP"/>
        </w:rPr>
        <w:t xml:space="preserve">The Supreme Court recently held that a named plaintiff in a collective action under the FLSA cannot represent similarly situated employees if her own claim is moot. In </w:t>
      </w:r>
      <w:r>
        <w:rPr>
          <w:rFonts w:eastAsia="MS Mincho"/>
          <w:bCs/>
          <w:i/>
          <w:iCs/>
          <w:lang w:eastAsia="ja-JP"/>
        </w:rPr>
        <w:t>Genesis HealthCare Corp. v. Symczyk</w:t>
      </w:r>
      <w:r>
        <w:rPr>
          <w:rFonts w:eastAsia="MS Mincho"/>
          <w:bCs/>
          <w:iCs/>
          <w:lang w:eastAsia="ja-JP"/>
        </w:rPr>
        <w:t>,</w:t>
      </w:r>
      <w:r>
        <w:rPr>
          <w:rStyle w:val="EndnoteReference"/>
          <w:rFonts w:ascii="Century Schoolbook" w:eastAsia="MS Mincho" w:hAnsi="Century Schoolbook"/>
          <w:bCs/>
          <w:iCs/>
          <w:lang w:eastAsia="ja-JP"/>
        </w:rPr>
        <w:endnoteReference w:id="760"/>
      </w:r>
      <w:r>
        <w:rPr>
          <w:rFonts w:eastAsia="MS Mincho"/>
          <w:bCs/>
          <w:iCs/>
          <w:lang w:eastAsia="ja-JP"/>
        </w:rPr>
        <w:t xml:space="preserve"> </w:t>
      </w:r>
      <w:r>
        <w:rPr>
          <w:rFonts w:eastAsia="MS Mincho"/>
          <w:lang w:eastAsia="ja-JP"/>
        </w:rPr>
        <w:t>the plaintiff received an offer of judgment for full relief, which she did not accept.</w:t>
      </w:r>
      <w:r>
        <w:rPr>
          <w:rStyle w:val="EndnoteReference"/>
          <w:rFonts w:ascii="Century Schoolbook" w:eastAsia="MS Mincho" w:hAnsi="Century Schoolbook"/>
          <w:lang w:eastAsia="ja-JP"/>
        </w:rPr>
        <w:endnoteReference w:id="761"/>
      </w:r>
      <w:r>
        <w:rPr>
          <w:rFonts w:eastAsia="MS Mincho"/>
          <w:lang w:eastAsia="ja-JP"/>
        </w:rPr>
        <w:t xml:space="preserve">  The trial court ruled that her FLSA claim was moot, and she had not perfected her appeal of the court’s rulings on the mootness issue.</w:t>
      </w:r>
      <w:r>
        <w:rPr>
          <w:rStyle w:val="EndnoteReference"/>
          <w:rFonts w:ascii="Century Schoolbook" w:eastAsia="MS Mincho" w:hAnsi="Century Schoolbook"/>
          <w:lang w:eastAsia="ja-JP"/>
        </w:rPr>
        <w:endnoteReference w:id="762"/>
      </w:r>
      <w:r>
        <w:rPr>
          <w:rFonts w:eastAsia="MS Mincho"/>
          <w:lang w:eastAsia="ja-JP"/>
        </w:rPr>
        <w:t xml:space="preserve"> Without deciding that her claim was moot, the majority held that she could not continue as the representative in the collective action because she no longer had a sufficient personal stake in the lawsuit.</w:t>
      </w:r>
      <w:r>
        <w:rPr>
          <w:rStyle w:val="EndnoteReference"/>
          <w:rFonts w:ascii="Century Schoolbook" w:eastAsia="MS Mincho" w:hAnsi="Century Schoolbook"/>
          <w:lang w:eastAsia="ja-JP"/>
        </w:rPr>
        <w:endnoteReference w:id="763"/>
      </w:r>
    </w:p>
    <w:p>
      <w:pPr>
        <w:pStyle w:val="BodyTextFirstIndent"/>
        <w:rPr>
          <w:rFonts w:eastAsia="MS Mincho"/>
          <w:lang w:eastAsia="ja-JP"/>
        </w:rPr>
      </w:pPr>
      <w:r>
        <w:rPr>
          <w:rFonts w:eastAsia="MS Mincho"/>
          <w:lang w:eastAsia="ja-JP"/>
        </w:rPr>
        <w:t>The plaintiff was a nurse formerly employed by a nursing home operator.</w:t>
      </w:r>
      <w:r>
        <w:rPr>
          <w:rStyle w:val="EndnoteReference"/>
          <w:rFonts w:ascii="Century Schoolbook" w:eastAsia="MS Mincho" w:hAnsi="Century Schoolbook"/>
          <w:lang w:eastAsia="ja-JP"/>
        </w:rPr>
        <w:endnoteReference w:id="764"/>
      </w:r>
      <w:r>
        <w:rPr>
          <w:rFonts w:eastAsia="MS Mincho"/>
          <w:lang w:eastAsia="ja-JP"/>
        </w:rPr>
        <w:t xml:space="preserve"> She contended that the nursing home automatically deducted for a half-hour lunch break, but that frequently, the lunch breaks were not actually taken and employees were required to work.</w:t>
      </w:r>
      <w:r>
        <w:rPr>
          <w:rStyle w:val="EndnoteReference"/>
          <w:rFonts w:ascii="Century Schoolbook" w:eastAsia="MS Mincho" w:hAnsi="Century Schoolbook"/>
          <w:lang w:eastAsia="ja-JP"/>
        </w:rPr>
        <w:endnoteReference w:id="765"/>
      </w:r>
      <w:r>
        <w:rPr>
          <w:rFonts w:eastAsia="MS Mincho"/>
          <w:lang w:eastAsia="ja-JP"/>
        </w:rPr>
        <w:t xml:space="preserve"> She sued under the FLSA for unpaid wages, including overtime, on behalf of </w:t>
      </w:r>
      <w:r>
        <w:rPr>
          <w:rFonts w:eastAsia="MS Mincho"/>
          <w:lang w:eastAsia="ja-JP"/>
        </w:rPr>
        <w:lastRenderedPageBreak/>
        <w:t>herself and others “similarly situated.”</w:t>
      </w:r>
      <w:r>
        <w:rPr>
          <w:rStyle w:val="EndnoteReference"/>
          <w:rFonts w:ascii="Century Schoolbook" w:eastAsia="MS Mincho" w:hAnsi="Century Schoolbook"/>
          <w:lang w:eastAsia="ja-JP"/>
        </w:rPr>
        <w:endnoteReference w:id="766"/>
      </w:r>
      <w:r>
        <w:rPr>
          <w:rFonts w:eastAsia="MS Mincho"/>
          <w:lang w:eastAsia="ja-JP"/>
        </w:rPr>
        <w:t xml:space="preserve"> This “collective action” is authorized under Section 16(b) of the FLSA and is similar to a class action, although with some important differences.</w:t>
      </w:r>
      <w:r>
        <w:rPr>
          <w:rStyle w:val="EndnoteReference"/>
          <w:rFonts w:ascii="Century Schoolbook" w:eastAsia="MS Mincho" w:hAnsi="Century Schoolbook"/>
          <w:lang w:eastAsia="ja-JP"/>
        </w:rPr>
        <w:endnoteReference w:id="767"/>
      </w:r>
    </w:p>
    <w:p>
      <w:pPr>
        <w:pStyle w:val="BodyTextFirstIndent"/>
        <w:rPr>
          <w:rFonts w:eastAsia="MS Mincho"/>
          <w:bCs/>
          <w:iCs/>
          <w:lang w:eastAsia="ja-JP"/>
        </w:rPr>
      </w:pPr>
      <w:r>
        <w:rPr>
          <w:rFonts w:eastAsia="MS Mincho"/>
          <w:bCs/>
          <w:iCs/>
          <w:lang w:eastAsia="ja-JP"/>
        </w:rPr>
        <w:t>Class actions are governed by Rule of Civil Procedure 23 and many state-law equivalents.</w:t>
      </w:r>
      <w:r>
        <w:rPr>
          <w:rStyle w:val="EndnoteReference"/>
          <w:rFonts w:ascii="Century Schoolbook" w:eastAsia="MS Mincho" w:hAnsi="Century Schoolbook"/>
          <w:bCs/>
          <w:iCs/>
          <w:lang w:eastAsia="ja-JP"/>
        </w:rPr>
        <w:endnoteReference w:id="768"/>
      </w:r>
      <w:r>
        <w:rPr>
          <w:rFonts w:eastAsia="MS Mincho"/>
          <w:bCs/>
          <w:iCs/>
          <w:lang w:eastAsia="ja-JP"/>
        </w:rPr>
        <w:t xml:space="preserve"> If a Rule 23 class is certified by the court, then all class members automatically become part of the lawsuit by default.</w:t>
      </w:r>
      <w:r>
        <w:rPr>
          <w:rStyle w:val="EndnoteReference"/>
          <w:rFonts w:ascii="Century Schoolbook" w:eastAsia="MS Mincho" w:hAnsi="Century Schoolbook"/>
          <w:bCs/>
          <w:iCs/>
          <w:lang w:eastAsia="ja-JP"/>
        </w:rPr>
        <w:endnoteReference w:id="769"/>
      </w:r>
      <w:r>
        <w:rPr>
          <w:rFonts w:eastAsia="MS Mincho"/>
          <w:bCs/>
          <w:iCs/>
          <w:lang w:eastAsia="ja-JP"/>
        </w:rPr>
        <w:t xml:space="preserve"> The only way to be excluded is to “opt out,” which requires the individual to take some affirmative steps to be excluded.</w:t>
      </w:r>
      <w:r>
        <w:rPr>
          <w:rStyle w:val="EndnoteReference"/>
          <w:rFonts w:ascii="Century Schoolbook" w:eastAsia="MS Mincho" w:hAnsi="Century Schoolbook"/>
          <w:bCs/>
          <w:iCs/>
          <w:lang w:eastAsia="ja-JP"/>
        </w:rPr>
        <w:endnoteReference w:id="770"/>
      </w:r>
      <w:r>
        <w:rPr>
          <w:rFonts w:eastAsia="MS Mincho"/>
          <w:bCs/>
          <w:iCs/>
          <w:lang w:eastAsia="ja-JP"/>
        </w:rPr>
        <w:t xml:space="preserve"> By contrast, in a collective action brought under the FLSA, the “default” is that the other employees </w:t>
      </w:r>
      <w:r>
        <w:rPr>
          <w:rFonts w:eastAsia="MS Mincho"/>
          <w:lang w:eastAsia="ja-JP"/>
        </w:rPr>
        <w:t>are</w:t>
      </w:r>
      <w:r>
        <w:rPr>
          <w:rFonts w:eastAsia="MS Mincho"/>
          <w:bCs/>
          <w:iCs/>
          <w:lang w:eastAsia="ja-JP"/>
        </w:rPr>
        <w:t xml:space="preserve"> not part of the lawsuit unless they affirmatively “opt in.”</w:t>
      </w:r>
      <w:r>
        <w:rPr>
          <w:rStyle w:val="EndnoteReference"/>
          <w:rFonts w:ascii="Century Schoolbook" w:eastAsia="MS Mincho" w:hAnsi="Century Schoolbook"/>
          <w:bCs/>
          <w:iCs/>
          <w:lang w:eastAsia="ja-JP"/>
        </w:rPr>
        <w:endnoteReference w:id="771"/>
      </w:r>
      <w:r>
        <w:rPr>
          <w:rFonts w:eastAsia="MS Mincho"/>
          <w:bCs/>
          <w:iCs/>
          <w:lang w:eastAsia="ja-JP"/>
        </w:rPr>
        <w:t xml:space="preserve"> This distinction was important to the Supreme Court majority decision, as will be discussed below.</w:t>
      </w:r>
    </w:p>
    <w:p>
      <w:pPr>
        <w:pStyle w:val="BodyTextFirstIndent"/>
        <w:rPr>
          <w:rFonts w:eastAsia="MS Mincho"/>
          <w:lang w:eastAsia="ja-JP"/>
        </w:rPr>
      </w:pPr>
      <w:r>
        <w:rPr>
          <w:rFonts w:eastAsia="MS Mincho"/>
          <w:lang w:eastAsia="ja-JP"/>
        </w:rPr>
        <w:t>At the outset of the litigation, before any other plaintiff had “opted in” or the collective action was certified, the employer made an offer of judgment to the plaintiff for full relief ($7,500), plus her attorneys’ fees and costs.</w:t>
      </w:r>
      <w:r>
        <w:rPr>
          <w:rStyle w:val="EndnoteReference"/>
          <w:rFonts w:ascii="Century Schoolbook" w:eastAsia="MS Mincho" w:hAnsi="Century Schoolbook"/>
          <w:lang w:eastAsia="ja-JP"/>
        </w:rPr>
        <w:endnoteReference w:id="772"/>
      </w:r>
      <w:r>
        <w:rPr>
          <w:rFonts w:eastAsia="MS Mincho"/>
          <w:lang w:eastAsia="ja-JP"/>
        </w:rPr>
        <w:t xml:space="preserve"> An offer of judgment is authorized under Federal Rule of Civil Procedure 68.</w:t>
      </w:r>
      <w:r>
        <w:rPr>
          <w:rStyle w:val="EndnoteReference"/>
          <w:rFonts w:ascii="Century Schoolbook" w:eastAsia="MS Mincho" w:hAnsi="Century Schoolbook"/>
          <w:lang w:eastAsia="ja-JP"/>
        </w:rPr>
        <w:endnoteReference w:id="773"/>
      </w:r>
      <w:r>
        <w:rPr>
          <w:rFonts w:eastAsia="MS Mincho"/>
          <w:lang w:eastAsia="ja-JP"/>
        </w:rPr>
        <w:t xml:space="preserve"> If the offer is accepted, the court enters judgment in favor of the plaintiff for the amount offered.</w:t>
      </w:r>
      <w:r>
        <w:rPr>
          <w:rStyle w:val="EndnoteReference"/>
          <w:rFonts w:ascii="Century Schoolbook" w:eastAsia="MS Mincho" w:hAnsi="Century Schoolbook"/>
          <w:lang w:eastAsia="ja-JP"/>
        </w:rPr>
        <w:endnoteReference w:id="774"/>
      </w:r>
      <w:r>
        <w:rPr>
          <w:rFonts w:eastAsia="MS Mincho"/>
          <w:lang w:eastAsia="ja-JP"/>
        </w:rPr>
        <w:t xml:space="preserve"> If the offer is either rejected or not timely accepted, and if the plaintiff does not recover more than the amount offered, then the plaintiff must pay the defendant’s costs incurred after the offer was made.</w:t>
      </w:r>
      <w:r>
        <w:rPr>
          <w:rStyle w:val="EndnoteReference"/>
          <w:rFonts w:ascii="Century Schoolbook" w:eastAsia="MS Mincho" w:hAnsi="Century Schoolbook"/>
          <w:lang w:eastAsia="ja-JP"/>
        </w:rPr>
        <w:endnoteReference w:id="775"/>
      </w:r>
      <w:r>
        <w:rPr>
          <w:rFonts w:eastAsia="MS Mincho"/>
          <w:lang w:eastAsia="ja-JP"/>
        </w:rPr>
        <w:t xml:space="preserve"> Thus, the </w:t>
      </w:r>
      <w:r>
        <w:rPr>
          <w:rFonts w:eastAsia="MS Mincho"/>
          <w:lang w:eastAsia="ja-JP"/>
        </w:rPr>
        <w:lastRenderedPageBreak/>
        <w:t>offer of judgment is frequently used in an attempt to pressure the opposing party to settle the case.</w:t>
      </w:r>
    </w:p>
    <w:p>
      <w:pPr>
        <w:pStyle w:val="BodyTextFirstIndent"/>
        <w:rPr>
          <w:rFonts w:eastAsia="MS Mincho"/>
          <w:lang w:eastAsia="ja-JP"/>
        </w:rPr>
      </w:pPr>
      <w:r>
        <w:rPr>
          <w:rFonts w:eastAsia="MS Mincho"/>
          <w:lang w:eastAsia="ja-JP"/>
        </w:rPr>
        <w:t>In this case, the plaintiff did not accept the offer within the time limit that applied, and the nursing home moved to dismiss on grounds of mootness because it had already offered her full relief.</w:t>
      </w:r>
      <w:r>
        <w:rPr>
          <w:rStyle w:val="EndnoteReference"/>
          <w:rFonts w:ascii="Century Schoolbook" w:eastAsia="MS Mincho" w:hAnsi="Century Schoolbook"/>
          <w:lang w:eastAsia="ja-JP"/>
        </w:rPr>
        <w:endnoteReference w:id="776"/>
      </w:r>
      <w:r>
        <w:rPr>
          <w:rFonts w:eastAsia="MS Mincho"/>
          <w:lang w:eastAsia="ja-JP"/>
        </w:rPr>
        <w:t xml:space="preserve"> Inexplicably, the plaintiff conceded that her own claim was moot but contended that she could still represent the “similarly situated” employees.</w:t>
      </w:r>
      <w:r>
        <w:rPr>
          <w:rStyle w:val="EndnoteReference"/>
          <w:rFonts w:ascii="Century Schoolbook" w:eastAsia="MS Mincho" w:hAnsi="Century Schoolbook"/>
          <w:lang w:eastAsia="ja-JP"/>
        </w:rPr>
        <w:endnoteReference w:id="777"/>
      </w:r>
      <w:r>
        <w:rPr>
          <w:rFonts w:eastAsia="MS Mincho"/>
          <w:lang w:eastAsia="ja-JP"/>
        </w:rPr>
        <w:t xml:space="preserve"> A federal district court in Pennsylvania disagreed, and dismissed the case for lack of subject matter jurisdiction on the ground that there was no longer a real case or controversy between the plaintiff and the defendant.</w:t>
      </w:r>
      <w:r>
        <w:rPr>
          <w:rStyle w:val="EndnoteReference"/>
          <w:rFonts w:ascii="Century Schoolbook" w:eastAsia="MS Mincho" w:hAnsi="Century Schoolbook"/>
          <w:lang w:eastAsia="ja-JP"/>
        </w:rPr>
        <w:endnoteReference w:id="778"/>
      </w:r>
      <w:r>
        <w:rPr>
          <w:rFonts w:eastAsia="MS Mincho"/>
          <w:lang w:eastAsia="ja-JP"/>
        </w:rPr>
        <w:t xml:space="preserve"> The plaintiff then appealed to the U.S. Court of Appeals for the Third Circuit, where she again conceded that her own claim was moot and argued only that she could still serve as a representative in the collective action.</w:t>
      </w:r>
      <w:r>
        <w:rPr>
          <w:rStyle w:val="EndnoteReference"/>
          <w:rFonts w:ascii="Century Schoolbook" w:eastAsia="MS Mincho" w:hAnsi="Century Schoolbook"/>
          <w:lang w:eastAsia="ja-JP"/>
        </w:rPr>
        <w:endnoteReference w:id="779"/>
      </w:r>
      <w:r>
        <w:rPr>
          <w:rFonts w:eastAsia="MS Mincho"/>
          <w:lang w:eastAsia="ja-JP"/>
        </w:rPr>
        <w:t xml:space="preserve"> A three-judge panel of the Third Circuit reversed the district court, agreeing with the plaintiff that her interest in representing others in the collective action prevented the case from being dismissed.</w:t>
      </w:r>
      <w:r>
        <w:rPr>
          <w:rStyle w:val="EndnoteReference"/>
          <w:rFonts w:ascii="Century Schoolbook" w:eastAsia="MS Mincho" w:hAnsi="Century Schoolbook"/>
          <w:lang w:eastAsia="ja-JP"/>
        </w:rPr>
        <w:endnoteReference w:id="780"/>
      </w:r>
      <w:r>
        <w:rPr>
          <w:rFonts w:eastAsia="MS Mincho"/>
          <w:lang w:eastAsia="ja-JP"/>
        </w:rPr>
        <w:t xml:space="preserve"> The nursing home then petitioned the United States Supreme Court to issue a writ of certiorari, which was granted.</w:t>
      </w:r>
      <w:r>
        <w:rPr>
          <w:rStyle w:val="EndnoteReference"/>
          <w:rFonts w:ascii="Century Schoolbook" w:eastAsia="MS Mincho" w:hAnsi="Century Schoolbook"/>
          <w:lang w:eastAsia="ja-JP"/>
        </w:rPr>
        <w:endnoteReference w:id="781"/>
      </w:r>
      <w:r>
        <w:rPr>
          <w:rFonts w:eastAsia="MS Mincho"/>
          <w:lang w:eastAsia="ja-JP"/>
        </w:rPr>
        <w:t xml:space="preserve"> The Supreme Court assumed, without deciding that the plaintiff’s individual claim was mooted by the unaccepted Rule 68 offer, that the entire lawsuit was moot because the plaintiff “lacked any personal interest in representing others in this </w:t>
      </w:r>
      <w:r>
        <w:rPr>
          <w:rFonts w:eastAsia="MS Mincho"/>
          <w:lang w:eastAsia="ja-JP"/>
        </w:rPr>
        <w:lastRenderedPageBreak/>
        <w:t>action.”</w:t>
      </w:r>
      <w:r>
        <w:rPr>
          <w:rStyle w:val="EndnoteReference"/>
          <w:rFonts w:ascii="Century Schoolbook" w:eastAsia="MS Mincho" w:hAnsi="Century Schoolbook"/>
          <w:lang w:eastAsia="ja-JP"/>
        </w:rPr>
        <w:endnoteReference w:id="782"/>
      </w:r>
      <w:r>
        <w:rPr>
          <w:rFonts w:eastAsia="MS Mincho"/>
          <w:lang w:eastAsia="ja-JP"/>
        </w:rPr>
        <w:t xml:space="preserve"> In short, the Court ruled that there was no justiciable case or controversy. </w:t>
      </w:r>
      <w:r>
        <w:rPr>
          <w:rStyle w:val="EndnoteReference"/>
          <w:rFonts w:ascii="Century Schoolbook" w:eastAsia="MS Mincho" w:hAnsi="Century Schoolbook"/>
          <w:lang w:eastAsia="ja-JP"/>
        </w:rPr>
        <w:endnoteReference w:id="783"/>
      </w:r>
    </w:p>
    <w:p>
      <w:pPr>
        <w:pStyle w:val="BodyTextFirstIndent"/>
        <w:rPr>
          <w:rFonts w:eastAsia="MS Mincho"/>
          <w:lang w:eastAsia="ja-JP"/>
        </w:rPr>
      </w:pPr>
      <w:r>
        <w:rPr>
          <w:rFonts w:eastAsia="MS Mincho"/>
          <w:lang w:eastAsia="ja-JP"/>
        </w:rPr>
        <w:t>Thus, the question whether an offer of full relief to the named plaintiff in a collective action moots her own claim, unfortunately, remains unresolved. The Court acknowledged that lower courts are divided on this issue, but noted that, contrary to the dissent’s assertion, “nothing in the nature of FLSA actions precludes satisfaction – and thus the mooting – of the individual’s claim before the collective action component of the suit has run its course.”</w:t>
      </w:r>
      <w:r>
        <w:rPr>
          <w:rStyle w:val="EndnoteReference"/>
          <w:rFonts w:ascii="Century Schoolbook" w:eastAsia="MS Mincho" w:hAnsi="Century Schoolbook"/>
          <w:lang w:eastAsia="ja-JP"/>
        </w:rPr>
        <w:endnoteReference w:id="784"/>
      </w:r>
    </w:p>
    <w:p>
      <w:pPr>
        <w:pStyle w:val="BodyTextFirstIndent"/>
        <w:rPr>
          <w:rFonts w:eastAsia="MS Mincho"/>
          <w:lang w:eastAsia="ja-JP"/>
        </w:rPr>
      </w:pPr>
      <w:r>
        <w:rPr>
          <w:rFonts w:eastAsia="MS Mincho"/>
          <w:lang w:eastAsia="ja-JP"/>
        </w:rPr>
        <w:t>In what may be one of the most significant parts of the decision, the majority at some length distinguished collective actions under the FLSA from class actions under Federal Rule of Civil Procedure 23.</w:t>
      </w:r>
      <w:r>
        <w:rPr>
          <w:rStyle w:val="EndnoteReference"/>
          <w:rFonts w:ascii="Century Schoolbook" w:eastAsia="MS Mincho" w:hAnsi="Century Schoolbook"/>
          <w:lang w:eastAsia="ja-JP"/>
        </w:rPr>
        <w:endnoteReference w:id="785"/>
      </w:r>
      <w:r>
        <w:rPr>
          <w:rFonts w:eastAsia="MS Mincho"/>
          <w:lang w:eastAsia="ja-JP"/>
        </w:rPr>
        <w:t xml:space="preserve"> According to the majority, in class actions, named plaintiffs have a representative role such that, in certain circumstances, the mootness of the named plaintiff’s individual claim does not end the class-based case or controversy.</w:t>
      </w:r>
      <w:r>
        <w:rPr>
          <w:rStyle w:val="EndnoteReference"/>
          <w:rFonts w:ascii="Century Schoolbook" w:eastAsia="MS Mincho" w:hAnsi="Century Schoolbook"/>
          <w:lang w:eastAsia="ja-JP"/>
        </w:rPr>
        <w:endnoteReference w:id="786"/>
      </w:r>
      <w:r>
        <w:rPr>
          <w:rFonts w:eastAsia="MS Mincho"/>
          <w:lang w:eastAsia="ja-JP"/>
        </w:rPr>
        <w:t xml:space="preserve"> The class action certification process produces “a class with an independent status” or joins parties to the action.</w:t>
      </w:r>
      <w:r>
        <w:rPr>
          <w:rStyle w:val="EndnoteReference"/>
          <w:rFonts w:ascii="Century Schoolbook" w:eastAsia="MS Mincho" w:hAnsi="Century Schoolbook"/>
          <w:lang w:eastAsia="ja-JP"/>
        </w:rPr>
        <w:endnoteReference w:id="787"/>
      </w:r>
      <w:r>
        <w:rPr>
          <w:rFonts w:eastAsia="MS Mincho"/>
          <w:lang w:eastAsia="ja-JP"/>
        </w:rPr>
        <w:t xml:space="preserve"> “By contrast, under the FLSA, conditional certification does not produce a class with an independent legal status, or join additional parties to the action.”</w:t>
      </w:r>
      <w:r>
        <w:rPr>
          <w:rStyle w:val="EndnoteReference"/>
          <w:rFonts w:ascii="Century Schoolbook" w:eastAsia="MS Mincho" w:hAnsi="Century Schoolbook"/>
          <w:lang w:eastAsia="ja-JP"/>
        </w:rPr>
        <w:endnoteReference w:id="788"/>
      </w:r>
    </w:p>
    <w:p>
      <w:pPr>
        <w:pStyle w:val="BodyTextFirstIndent"/>
        <w:rPr>
          <w:rFonts w:eastAsia="MS Mincho"/>
          <w:lang w:eastAsia="ja-JP"/>
        </w:rPr>
      </w:pPr>
      <w:r>
        <w:rPr>
          <w:rFonts w:eastAsia="MS Mincho"/>
          <w:lang w:eastAsia="ja-JP"/>
        </w:rPr>
        <w:t xml:space="preserve">The majority opinion in </w:t>
      </w:r>
      <w:r>
        <w:rPr>
          <w:rFonts w:eastAsia="MS Mincho"/>
          <w:i/>
          <w:iCs/>
          <w:lang w:eastAsia="ja-JP"/>
        </w:rPr>
        <w:t>Genesis HealthCare</w:t>
      </w:r>
      <w:r>
        <w:rPr>
          <w:rFonts w:eastAsia="MS Mincho"/>
          <w:lang w:eastAsia="ja-JP"/>
        </w:rPr>
        <w:t xml:space="preserve"> means that (1) the federal circuit courts’ rulings will control whether early </w:t>
      </w:r>
      <w:r>
        <w:rPr>
          <w:rFonts w:eastAsia="MS Mincho"/>
          <w:lang w:eastAsia="ja-JP"/>
        </w:rPr>
        <w:lastRenderedPageBreak/>
        <w:t>individual offers of judgment to named plaintiffs will moot the named plaintiffs’ FLSA claims; but, where the named plaintiffs’ claims are moot, (2) the collective action will always fail because there is no justiciable case or controversy.</w:t>
      </w:r>
    </w:p>
    <w:p>
      <w:pPr>
        <w:pStyle w:val="BodyTextFirstIndent"/>
        <w:rPr>
          <w:rFonts w:eastAsia="MS Mincho"/>
          <w:lang w:eastAsia="ja-JP"/>
        </w:rPr>
      </w:pPr>
      <w:r>
        <w:rPr>
          <w:rFonts w:eastAsia="MS Mincho"/>
          <w:lang w:eastAsia="ja-JP"/>
        </w:rPr>
        <w:t xml:space="preserve">Thus, the decision is expected to have an impact on the early stages of collective actions under the FLSA, including discovery, which may have individual and collective aspects. In many of these cases, the group discovery alone is so expensive that employers choose to settle, regardless of the merits of the case. Confining a case to a handful of individuals may help employers keep litigation costs in check. </w:t>
      </w:r>
    </w:p>
    <w:p>
      <w:pPr>
        <w:pStyle w:val="BodyTextFirstIndent"/>
        <w:rPr>
          <w:rFonts w:eastAsia="MS Mincho"/>
          <w:lang w:eastAsia="ja-JP"/>
        </w:rPr>
      </w:pPr>
      <w:r>
        <w:rPr>
          <w:rFonts w:eastAsia="MS Mincho"/>
          <w:lang w:eastAsia="ja-JP"/>
        </w:rPr>
        <w:t xml:space="preserve">Even so, employers should understand that offers of judgment are not a panacea for employers. First, many jurisdictions still hold that an unaccepted offer of judgment for full relief does not moot the plaintiff’s claim. If not, then the case can presumably proceed as a collective action, even after </w:t>
      </w:r>
      <w:r>
        <w:rPr>
          <w:rFonts w:eastAsia="MS Mincho"/>
          <w:i/>
          <w:iCs/>
          <w:lang w:eastAsia="ja-JP"/>
        </w:rPr>
        <w:t>Genesis HealthCare</w:t>
      </w:r>
      <w:r>
        <w:rPr>
          <w:rFonts w:eastAsia="MS Mincho"/>
          <w:lang w:eastAsia="ja-JP"/>
        </w:rPr>
        <w:t xml:space="preserve">. Second, there is no certainty that a full-value offer to a named plaintiff will prevent an industrious attorney from finding a host of other employees willing to step in and become new “named plaintiffs.” </w:t>
      </w:r>
    </w:p>
    <w:p>
      <w:pPr>
        <w:pStyle w:val="BodyTextFirstIndent"/>
        <w:rPr>
          <w:rFonts w:eastAsia="MS Mincho"/>
          <w:lang w:eastAsia="ja-JP"/>
        </w:rPr>
      </w:pPr>
      <w:r>
        <w:rPr>
          <w:rFonts w:eastAsia="MS Mincho"/>
          <w:lang w:eastAsia="ja-JP"/>
        </w:rPr>
        <w:t xml:space="preserve">Another employer strategy, to which the Court alluded, might be to attempt “satisfaction” of the FLSA claim. That is, instead of just tendering an </w:t>
      </w:r>
      <w:r>
        <w:rPr>
          <w:rFonts w:eastAsia="MS Mincho"/>
          <w:i/>
          <w:iCs/>
          <w:lang w:eastAsia="ja-JP"/>
        </w:rPr>
        <w:t>offer,</w:t>
      </w:r>
      <w:r>
        <w:rPr>
          <w:rFonts w:eastAsia="MS Mincho"/>
          <w:lang w:eastAsia="ja-JP"/>
        </w:rPr>
        <w:t xml:space="preserve"> tender </w:t>
      </w:r>
      <w:r>
        <w:rPr>
          <w:rFonts w:eastAsia="MS Mincho"/>
          <w:i/>
          <w:iCs/>
          <w:lang w:eastAsia="ja-JP"/>
        </w:rPr>
        <w:t xml:space="preserve">payment </w:t>
      </w:r>
      <w:r>
        <w:rPr>
          <w:rFonts w:eastAsia="MS Mincho"/>
          <w:lang w:eastAsia="ja-JP"/>
        </w:rPr>
        <w:t xml:space="preserve">for the full amount of the claim, including the liquidated damages, </w:t>
      </w:r>
      <w:r>
        <w:rPr>
          <w:rFonts w:eastAsia="MS Mincho"/>
          <w:lang w:eastAsia="ja-JP"/>
        </w:rPr>
        <w:lastRenderedPageBreak/>
        <w:t xml:space="preserve">attorneys’ fees, and costs. In this way, the constraints of Rule 68 might be avoided, but plaintiffs and their counsel have been known to refuse the payment. Additionally, the attorneys’ fee amount is potentially always growing, making it difficult to calculate the full relief necessary to satisfy a claim, even when a defendant wants to do so. </w:t>
      </w:r>
    </w:p>
    <w:p>
      <w:pPr>
        <w:pStyle w:val="BodyTextFirstIndent"/>
        <w:rPr>
          <w:rFonts w:eastAsia="MS Mincho"/>
          <w:lang w:eastAsia="ja-JP"/>
        </w:rPr>
      </w:pPr>
      <w:r>
        <w:rPr>
          <w:rFonts w:eastAsia="MS Mincho"/>
          <w:lang w:eastAsia="ja-JP"/>
        </w:rPr>
        <w:t xml:space="preserve">The Supreme Court’s decision may encourage plaintiffs to move promptly for conditional certification of collective actions. Currently, plaintiffs frequently delay seeking certification – sometimes for years after a lawsuit has been filed. Once the collective action is certified, others can begin opting in, which gives the named plaintiff some backup and makes it difficult, if not impossible, for the employer to begin picking off individual plaintiffs. Employers can also expect to see an increase in lawsuits that combine class, wage, and hour claims with collective FLSA claims. This is already fairly common because state wage and hour laws </w:t>
      </w:r>
      <w:r>
        <w:rPr>
          <w:i/>
        </w:rPr>
        <w:t>frequently</w:t>
      </w:r>
      <w:r>
        <w:rPr>
          <w:rFonts w:eastAsia="MS Mincho"/>
          <w:lang w:eastAsia="ja-JP"/>
        </w:rPr>
        <w:t xml:space="preserve"> have longer statutes of limitation, and, if certified, class members are in the lawsuit unless they affirmatively opt out. This approach is another way for plaintiffs to defend against a “pickoff” strategy. It also makes satisfaction through full relief far more difficult. </w:t>
      </w:r>
    </w:p>
    <w:p>
      <w:pPr>
        <w:pStyle w:val="BodyTextFirstIndent"/>
        <w:rPr>
          <w:rFonts w:eastAsia="MS Mincho"/>
          <w:lang w:eastAsia="ja-JP"/>
        </w:rPr>
      </w:pPr>
      <w:r>
        <w:rPr>
          <w:rFonts w:eastAsia="MS Mincho"/>
          <w:lang w:eastAsia="ja-JP"/>
        </w:rPr>
        <w:t xml:space="preserve">Finally, the Supreme Court’s explanation of the fundamental differences between collective and class actions may make it easier for </w:t>
      </w:r>
      <w:r>
        <w:rPr>
          <w:rFonts w:eastAsia="MS Mincho"/>
          <w:lang w:eastAsia="ja-JP"/>
        </w:rPr>
        <w:lastRenderedPageBreak/>
        <w:t>employers to bar FLSA collective actions based on arbitration agreements. Employees sometimes argue that arbitration agreements should not be enforced in connection with FLSA collective actions because of the policy interest in having the plaintiff pursue collective (as opposed to individual) FLSA rights. Given the majority’s holding that an FLSA collective action does not create a class with an independent legal status, arbitration arguably does not interfere with any substantive right of the plaintiff to pursue collective relief. The Supreme Court’s decision may keep some of these FLSA claims i</w:t>
      </w:r>
      <w:bookmarkStart w:id="211" w:name="_Toc378247012"/>
      <w:bookmarkStart w:id="212" w:name="_Toc378256382"/>
      <w:bookmarkStart w:id="213" w:name="_Toc378597543"/>
      <w:bookmarkStart w:id="214" w:name="_Toc378843495"/>
      <w:bookmarkStart w:id="215" w:name="_Toc379183230"/>
      <w:bookmarkStart w:id="216" w:name="_Toc379184114"/>
      <w:bookmarkStart w:id="217" w:name="_Toc379349882"/>
      <w:bookmarkStart w:id="218" w:name="_Toc379349997"/>
      <w:bookmarkStart w:id="219" w:name="_Toc379351158"/>
      <w:r>
        <w:rPr>
          <w:rFonts w:eastAsia="MS Mincho"/>
          <w:lang w:eastAsia="ja-JP"/>
        </w:rPr>
        <w:t>n arbitration and out of court.</w:t>
      </w:r>
    </w:p>
    <w:p>
      <w:pPr>
        <w:pStyle w:val="BodyTextFirstIndent"/>
        <w:ind w:firstLine="0"/>
        <w:jc w:val="center"/>
        <w:rPr>
          <w:b/>
          <w:szCs w:val="22"/>
        </w:rPr>
      </w:pPr>
      <w:r>
        <w:rPr>
          <w:rFonts w:eastAsia="MS Mincho"/>
          <w:b/>
          <w:lang w:eastAsia="ja-JP"/>
        </w:rPr>
        <w:t>C.</w:t>
      </w:r>
      <w:r>
        <w:rPr>
          <w:rFonts w:eastAsia="MS Mincho"/>
          <w:b/>
          <w:lang w:eastAsia="ja-JP"/>
        </w:rPr>
        <w:tab/>
      </w:r>
      <w:r>
        <w:rPr>
          <w:b/>
          <w:szCs w:val="22"/>
        </w:rPr>
        <w:t>Eleventh Circuit FLSA Decisions</w:t>
      </w:r>
      <w:bookmarkEnd w:id="211"/>
      <w:bookmarkEnd w:id="212"/>
      <w:bookmarkEnd w:id="213"/>
      <w:bookmarkEnd w:id="214"/>
      <w:bookmarkEnd w:id="215"/>
      <w:bookmarkEnd w:id="216"/>
      <w:bookmarkEnd w:id="217"/>
      <w:bookmarkEnd w:id="218"/>
      <w:bookmarkEnd w:id="219"/>
    </w:p>
    <w:p>
      <w:pPr>
        <w:pStyle w:val="BodyTextFirstIndent"/>
      </w:pPr>
      <w:r>
        <w:t>In the past year, the Eleventh Circuit Court of Appeals, which governs employers in Florida, Georgia, and Alabama, issued several significant decisions in FLSA cases.</w:t>
      </w:r>
    </w:p>
    <w:p>
      <w:pPr>
        <w:pStyle w:val="BodyTextFirstIndent"/>
      </w:pPr>
      <w:r>
        <w:t xml:space="preserve">The first of these decisions involves the settlement of FLSA lawsuits.  It has been well established law that there are only two ways to effectively settle an FLSA claim for back wages:  (1) with the supervision of the U.S. Department of Labor; or (2) by a stipulated judgment entered by a court after it has scrutinized the settlement for fairness.  This rule was established by the Eleventh Circuit in </w:t>
      </w:r>
      <w:r>
        <w:rPr>
          <w:i/>
        </w:rPr>
        <w:t>Lynn’s Food Stores, Inc. v. United States</w:t>
      </w:r>
      <w:r>
        <w:t>.</w:t>
      </w:r>
      <w:r>
        <w:rPr>
          <w:rStyle w:val="EndnoteReference"/>
          <w:rFonts w:ascii="Century Schoolbook" w:hAnsi="Century Schoolbook"/>
        </w:rPr>
        <w:endnoteReference w:id="789"/>
      </w:r>
    </w:p>
    <w:p>
      <w:pPr>
        <w:pStyle w:val="BodyTextFirstIndent"/>
      </w:pPr>
      <w:r>
        <w:lastRenderedPageBreak/>
        <w:t xml:space="preserve">In </w:t>
      </w:r>
      <w:r>
        <w:rPr>
          <w:i/>
        </w:rPr>
        <w:t>Nall v. Mal-Motels, Inc.</w:t>
      </w:r>
      <w:r>
        <w:t>,</w:t>
      </w:r>
      <w:r>
        <w:rPr>
          <w:rStyle w:val="EndnoteReference"/>
          <w:rFonts w:ascii="Century Schoolbook" w:hAnsi="Century Schoolbook"/>
        </w:rPr>
        <w:endnoteReference w:id="790"/>
      </w:r>
      <w:r>
        <w:t xml:space="preserve"> the Eleventh Circuit ruled that its </w:t>
      </w:r>
      <w:r>
        <w:rPr>
          <w:i/>
        </w:rPr>
        <w:t>Lynn’s Food Stores</w:t>
      </w:r>
      <w:r>
        <w:t xml:space="preserve"> rule applies even in cases where the employee no longer works for the employer.</w:t>
      </w:r>
      <w:r>
        <w:rPr>
          <w:rStyle w:val="EndnoteReference"/>
          <w:rFonts w:ascii="Century Schoolbook" w:hAnsi="Century Schoolbook"/>
        </w:rPr>
        <w:endnoteReference w:id="791"/>
      </w:r>
      <w:r>
        <w:t xml:space="preserve">  In </w:t>
      </w:r>
      <w:r>
        <w:rPr>
          <w:i/>
        </w:rPr>
        <w:t>Nall</w:t>
      </w:r>
      <w:r>
        <w:t>, the plaintiff quit her job at Mal-Motels because she was not being paid for overtime, and subsequently hired an attorney to file an FLSA suit.</w:t>
      </w:r>
      <w:r>
        <w:rPr>
          <w:rStyle w:val="EndnoteReference"/>
          <w:rFonts w:ascii="Century Schoolbook" w:hAnsi="Century Schoolbook"/>
        </w:rPr>
        <w:endnoteReference w:id="792"/>
      </w:r>
      <w:r>
        <w:t xml:space="preserve">  The motel’s owner, acting without an attorney, contacted Nall to discuss settlement and met with her without her attorney.</w:t>
      </w:r>
      <w:r>
        <w:rPr>
          <w:rStyle w:val="EndnoteReference"/>
          <w:rFonts w:ascii="Century Schoolbook" w:hAnsi="Century Schoolbook"/>
        </w:rPr>
        <w:endnoteReference w:id="793"/>
      </w:r>
      <w:r>
        <w:t xml:space="preserve">  At that meeting, the motel owner offered money in exchange for Nall dismissing the complaint.</w:t>
      </w:r>
      <w:r>
        <w:rPr>
          <w:rStyle w:val="EndnoteReference"/>
          <w:rFonts w:ascii="Century Schoolbook" w:hAnsi="Century Schoolbook"/>
        </w:rPr>
        <w:endnoteReference w:id="794"/>
      </w:r>
      <w:r>
        <w:t xml:space="preserve">  The federal district court approved the settlement over Nall’s objections, and on appeal, the Eleventh Circuit ruled that the lower court had erred in approving the settlement because it had not entered a stipulated judgment as required by </w:t>
      </w:r>
      <w:r>
        <w:rPr>
          <w:i/>
        </w:rPr>
        <w:t>Lynn’s Food Stores</w:t>
      </w:r>
      <w:r>
        <w:t>.</w:t>
      </w:r>
      <w:r>
        <w:rPr>
          <w:rStyle w:val="EndnoteReference"/>
          <w:rFonts w:ascii="Century Schoolbook" w:hAnsi="Century Schoolbook"/>
        </w:rPr>
        <w:endnoteReference w:id="795"/>
      </w:r>
      <w:r>
        <w:t xml:space="preserve">  The Eleventh Circuit reasoned that when a plaintiff’s attorney asks the district court to reject a settlement that was reached without the attorney’s knowledge or participation, it is not by definition a stipulated judgment within the meaning of </w:t>
      </w:r>
      <w:r>
        <w:rPr>
          <w:i/>
        </w:rPr>
        <w:t>Lynn’s Food Stores</w:t>
      </w:r>
      <w:r>
        <w:t>.</w:t>
      </w:r>
      <w:r>
        <w:rPr>
          <w:rStyle w:val="EndnoteReference"/>
          <w:rFonts w:ascii="Century Schoolbook" w:hAnsi="Century Schoolbook"/>
        </w:rPr>
        <w:endnoteReference w:id="796"/>
      </w:r>
    </w:p>
    <w:p>
      <w:pPr>
        <w:pStyle w:val="BodyTextFirstIndent"/>
      </w:pPr>
      <w:r>
        <w:t xml:space="preserve">In </w:t>
      </w:r>
      <w:r>
        <w:rPr>
          <w:i/>
        </w:rPr>
        <w:t>Moore v. Appliance Direct, Inc.</w:t>
      </w:r>
      <w:r>
        <w:t>,</w:t>
      </w:r>
      <w:r>
        <w:rPr>
          <w:rStyle w:val="EndnoteReference"/>
          <w:rFonts w:ascii="Century Schoolbook" w:hAnsi="Century Schoolbook"/>
        </w:rPr>
        <w:endnoteReference w:id="797"/>
      </w:r>
      <w:r>
        <w:t xml:space="preserve"> the issue before the Eleventh Circuit was whether liquidated damages should be awarded in an FLSA retaliation suit.</w:t>
      </w:r>
      <w:r>
        <w:rPr>
          <w:rStyle w:val="EndnoteReference"/>
          <w:rFonts w:ascii="Century Schoolbook" w:hAnsi="Century Schoolbook"/>
        </w:rPr>
        <w:endnoteReference w:id="798"/>
      </w:r>
      <w:r>
        <w:t xml:space="preserve">  In suits for minimum wage or overtime, liquidated damages equal to the back pay recovery of the plaintiff are mandatory, absent a showing of reasonable good faith by the employer. </w:t>
      </w:r>
      <w:r>
        <w:rPr>
          <w:rStyle w:val="EndnoteReference"/>
          <w:rFonts w:ascii="Century Schoolbook" w:hAnsi="Century Schoolbook"/>
        </w:rPr>
        <w:endnoteReference w:id="799"/>
      </w:r>
    </w:p>
    <w:p>
      <w:pPr>
        <w:pStyle w:val="BodyTextFirstIndent"/>
      </w:pPr>
      <w:r>
        <w:lastRenderedPageBreak/>
        <w:t xml:space="preserve">The issue in </w:t>
      </w:r>
      <w:r>
        <w:rPr>
          <w:i/>
        </w:rPr>
        <w:t>Moore</w:t>
      </w:r>
      <w:r>
        <w:t xml:space="preserve"> was whether the same rule should apply in an FLSA retaliation case.  In </w:t>
      </w:r>
      <w:r>
        <w:rPr>
          <w:i/>
        </w:rPr>
        <w:t>Moore</w:t>
      </w:r>
      <w:r>
        <w:t>, delivery truck drivers filed an overtime wage lawsuit.</w:t>
      </w:r>
      <w:r>
        <w:rPr>
          <w:rStyle w:val="EndnoteReference"/>
          <w:rFonts w:ascii="Century Schoolbook" w:hAnsi="Century Schoolbook"/>
        </w:rPr>
        <w:endnoteReference w:id="800"/>
      </w:r>
      <w:r>
        <w:t xml:space="preserve">  While that suit was pending, their employment was terminated and they then filed a second suit alleging that they were terminated in retaliation for their overtime claims.</w:t>
      </w:r>
      <w:r>
        <w:rPr>
          <w:rStyle w:val="EndnoteReference"/>
          <w:rFonts w:ascii="Century Schoolbook" w:hAnsi="Century Schoolbook"/>
        </w:rPr>
        <w:endnoteReference w:id="801"/>
      </w:r>
      <w:r>
        <w:t xml:space="preserve">  The truck drivers prevailed at trial on the retaliation suit but the federal district court declined to award liquidated damages.</w:t>
      </w:r>
      <w:r>
        <w:rPr>
          <w:rStyle w:val="EndnoteReference"/>
          <w:rFonts w:ascii="Century Schoolbook" w:hAnsi="Century Schoolbook"/>
        </w:rPr>
        <w:endnoteReference w:id="802"/>
      </w:r>
      <w:r>
        <w:t xml:space="preserve">  The drivers appealed, claiming that liquidated damages are mandatory in retaliation cases, absent a showing of reasonable good faith by the employer - just as in minimum wage and overtime suits.</w:t>
      </w:r>
    </w:p>
    <w:p>
      <w:pPr>
        <w:pStyle w:val="BodyTextFirstIndent"/>
      </w:pPr>
      <w:r>
        <w:t>The Eleventh Circuit affirmed the lower court decision, reasoning that the statutory provisions regarding minimum wage and overtime suits and retaliation suits are different.</w:t>
      </w:r>
      <w:r>
        <w:rPr>
          <w:rStyle w:val="EndnoteReference"/>
          <w:rFonts w:ascii="Century Schoolbook" w:hAnsi="Century Schoolbook"/>
        </w:rPr>
        <w:endnoteReference w:id="803"/>
      </w:r>
      <w:r>
        <w:t xml:space="preserve">  The section of the statute dealing with retaliation directs courts to impose such relief as may be appropriate to effectuate the purposes of the statute.</w:t>
      </w:r>
      <w:r>
        <w:rPr>
          <w:rStyle w:val="EndnoteReference"/>
          <w:rFonts w:ascii="Century Schoolbook" w:hAnsi="Century Schoolbook"/>
        </w:rPr>
        <w:endnoteReference w:id="804"/>
      </w:r>
      <w:r>
        <w:t xml:space="preserve">  However, in the minimum wage and overtime provisions of the FLSA, the statute provides that courts shall impose liquidated damages.</w:t>
      </w:r>
      <w:r>
        <w:rPr>
          <w:rStyle w:val="EndnoteReference"/>
          <w:rFonts w:ascii="Century Schoolbook" w:hAnsi="Century Schoolbook"/>
        </w:rPr>
        <w:endnoteReference w:id="805"/>
      </w:r>
      <w:r>
        <w:t xml:space="preserve">  As a result, the Eleventh Circuit concluded that whether or not liquidated damages should be imposed in a retaliation action is discretionary with the court, depending on the facts of each case.</w:t>
      </w:r>
      <w:r>
        <w:rPr>
          <w:rStyle w:val="EndnoteReference"/>
          <w:rFonts w:ascii="Century Schoolbook" w:hAnsi="Century Schoolbook"/>
        </w:rPr>
        <w:endnoteReference w:id="806"/>
      </w:r>
    </w:p>
    <w:p>
      <w:pPr>
        <w:pStyle w:val="BodyTextFirstIndent"/>
      </w:pPr>
      <w:r>
        <w:lastRenderedPageBreak/>
        <w:t xml:space="preserve">Since the decision in </w:t>
      </w:r>
      <w:r>
        <w:rPr>
          <w:i/>
        </w:rPr>
        <w:t>Moore</w:t>
      </w:r>
      <w:r>
        <w:t xml:space="preserve">, district courts in two suits, </w:t>
      </w:r>
      <w:r>
        <w:rPr>
          <w:i/>
        </w:rPr>
        <w:t>Stevenson v. Second Chance Jai-Alai, LLC</w:t>
      </w:r>
      <w:r>
        <w:rPr>
          <w:rStyle w:val="EndnoteReference"/>
          <w:rFonts w:ascii="Century Schoolbook" w:hAnsi="Century Schoolbook"/>
        </w:rPr>
        <w:endnoteReference w:id="807"/>
      </w:r>
      <w:r>
        <w:t xml:space="preserve"> and </w:t>
      </w:r>
      <w:r>
        <w:rPr>
          <w:i/>
        </w:rPr>
        <w:t>Leon v. M.I. Quality Lawn Maintenance, Inc.</w:t>
      </w:r>
      <w:r>
        <w:t>,</w:t>
      </w:r>
      <w:r>
        <w:rPr>
          <w:rStyle w:val="EndnoteReference"/>
          <w:rFonts w:ascii="Century Schoolbook" w:hAnsi="Century Schoolbook"/>
        </w:rPr>
        <w:endnoteReference w:id="808"/>
      </w:r>
      <w:r>
        <w:t xml:space="preserve"> applied the discretionary standard in </w:t>
      </w:r>
      <w:r>
        <w:rPr>
          <w:i/>
        </w:rPr>
        <w:t>Moore</w:t>
      </w:r>
      <w:r>
        <w:t>, concluding that the employers’ actions justified liquidated damages for retaliation.</w:t>
      </w:r>
    </w:p>
    <w:p>
      <w:pPr>
        <w:pStyle w:val="BodyTextFirstIndent"/>
      </w:pPr>
      <w:r>
        <w:t xml:space="preserve">The issue of whether interns are entitled to compensation under the Fair Labor Standards Act is one that has been the subject of attention and a great deal of litigation during the past year.  The Eleventh Circuit decided </w:t>
      </w:r>
      <w:r>
        <w:rPr>
          <w:i/>
        </w:rPr>
        <w:t>Kaplan v. Code Blue Billing &amp; Coding, Inc.</w:t>
      </w:r>
      <w:r>
        <w:t>,</w:t>
      </w:r>
      <w:r>
        <w:rPr>
          <w:rStyle w:val="EndnoteReference"/>
        </w:rPr>
        <w:endnoteReference w:id="809"/>
      </w:r>
      <w:r>
        <w:t xml:space="preserve"> which involved two separate cases that had been consolidated.</w:t>
      </w:r>
      <w:r>
        <w:rPr>
          <w:rStyle w:val="EndnoteReference"/>
        </w:rPr>
        <w:endnoteReference w:id="810"/>
      </w:r>
      <w:r>
        <w:t xml:space="preserve">  In both cases, the plaintiffs had worked as unpaid interns for health administration firms as part of an educational program leading to a degree.</w:t>
      </w:r>
      <w:r>
        <w:rPr>
          <w:rStyle w:val="EndnoteReference"/>
        </w:rPr>
        <w:endnoteReference w:id="811"/>
      </w:r>
      <w:r>
        <w:t xml:space="preserve">  They filed suits against both employers under the FLSA, claiming that they were entitled to minimum wage for hours worked as interns.</w:t>
      </w:r>
      <w:r>
        <w:rPr>
          <w:rStyle w:val="EndnoteReference"/>
        </w:rPr>
        <w:endnoteReference w:id="812"/>
      </w:r>
      <w:r>
        <w:t xml:space="preserve">  A federal judge in Florida granted summary judgment to both employer organizations, which was affirmed by the Eleventh Circuit in a consolidated appeal.</w:t>
      </w:r>
      <w:r>
        <w:rPr>
          <w:rStyle w:val="EndnoteReference"/>
        </w:rPr>
        <w:endnoteReference w:id="813"/>
      </w:r>
      <w:r>
        <w:t xml:space="preserve">  The Eleventh Circuit reasoned that the plaintiffs did not qualify as employees within the meaning of the FLS</w:t>
      </w:r>
      <w:r>
        <w:rPr>
          <w:caps/>
        </w:rPr>
        <w:t xml:space="preserve">A </w:t>
      </w:r>
      <w:r>
        <w:t xml:space="preserve">because the two companies’ staffs spent time away from their regular duties training the interns, and because the internship program satisfied the Department of Labor’s six-factor test for determining when unpaid </w:t>
      </w:r>
      <w:r>
        <w:lastRenderedPageBreak/>
        <w:t>interns are trainees rather than FLSA employees.</w:t>
      </w:r>
      <w:r>
        <w:rPr>
          <w:rStyle w:val="EndnoteReference"/>
        </w:rPr>
        <w:endnoteReference w:id="814"/>
      </w:r>
      <w:r>
        <w:t xml:space="preserve">  In rejecting the plaintiffs’ arguments, the Eleventh Circuit relied upon two facts: that the defendants received little, if any, economic benefit from the work of the two interns, and that the interns received academic credit for their internship.</w:t>
      </w:r>
      <w:r>
        <w:rPr>
          <w:rStyle w:val="EndnoteReference"/>
        </w:rPr>
        <w:endnoteReference w:id="815"/>
      </w:r>
      <w:r>
        <w:t xml:space="preserve"> The two plaintiffs filed a petition for certiorari with the United States Supreme Court in August 2013, and on November 12, 2013, the Supreme Court declined to review the Eleventh Circuit decision.</w:t>
      </w:r>
      <w:r>
        <w:rPr>
          <w:rStyle w:val="EndnoteReference"/>
        </w:rPr>
        <w:endnoteReference w:id="816"/>
      </w:r>
      <w:r>
        <w:t xml:space="preserve"> </w:t>
      </w:r>
    </w:p>
    <w:p>
      <w:pPr>
        <w:pStyle w:val="BodyTextFirstIndent"/>
      </w:pPr>
      <w:r>
        <w:t>The U.S. Department of Labor has issued a regulation indicating that interns who receive training for their own educational benefit may not be considered employees under the FLSA, and are therefore not entitled to receive minimum wage for their work as interns if the training meets certain criteria.</w:t>
      </w:r>
      <w:r>
        <w:rPr>
          <w:rStyle w:val="EndnoteReference"/>
        </w:rPr>
        <w:endnoteReference w:id="817"/>
      </w:r>
      <w:r>
        <w:t xml:space="preserve">  The six-factor test applied by the Department of Labor is as follows:</w:t>
      </w:r>
    </w:p>
    <w:p>
      <w:pPr>
        <w:ind w:left="1440" w:right="720" w:hanging="720"/>
        <w:jc w:val="both"/>
        <w:rPr>
          <w:sz w:val="24"/>
          <w:szCs w:val="24"/>
        </w:rPr>
      </w:pPr>
      <w:r>
        <w:rPr>
          <w:sz w:val="24"/>
          <w:szCs w:val="24"/>
        </w:rPr>
        <w:t>1.</w:t>
      </w:r>
      <w:r>
        <w:rPr>
          <w:i/>
          <w:sz w:val="24"/>
          <w:szCs w:val="24"/>
        </w:rPr>
        <w:tab/>
      </w:r>
      <w:r>
        <w:rPr>
          <w:sz w:val="24"/>
          <w:szCs w:val="24"/>
        </w:rPr>
        <w:t>The internship, even though it includes actual operation of the facilities of the employer, is similar to training which would be given in an educational environment;</w:t>
      </w:r>
    </w:p>
    <w:p>
      <w:pPr>
        <w:ind w:left="1440" w:right="720" w:hanging="720"/>
        <w:jc w:val="both"/>
        <w:rPr>
          <w:sz w:val="24"/>
          <w:szCs w:val="24"/>
        </w:rPr>
      </w:pPr>
      <w:r>
        <w:rPr>
          <w:sz w:val="24"/>
          <w:szCs w:val="24"/>
        </w:rPr>
        <w:t>2.</w:t>
      </w:r>
      <w:r>
        <w:rPr>
          <w:sz w:val="24"/>
          <w:szCs w:val="24"/>
        </w:rPr>
        <w:tab/>
        <w:t>The internship experience is for the benefit of the intern;</w:t>
      </w:r>
    </w:p>
    <w:p>
      <w:pPr>
        <w:ind w:left="1440" w:right="720" w:hanging="720"/>
        <w:jc w:val="both"/>
        <w:rPr>
          <w:sz w:val="24"/>
          <w:szCs w:val="24"/>
        </w:rPr>
      </w:pPr>
      <w:r>
        <w:rPr>
          <w:sz w:val="24"/>
          <w:szCs w:val="24"/>
        </w:rPr>
        <w:lastRenderedPageBreak/>
        <w:t>3.</w:t>
      </w:r>
      <w:r>
        <w:rPr>
          <w:sz w:val="24"/>
          <w:szCs w:val="24"/>
        </w:rPr>
        <w:tab/>
        <w:t>The intern does not displace regular employees, but works under close supervision of existing staff;</w:t>
      </w:r>
    </w:p>
    <w:p>
      <w:pPr>
        <w:ind w:left="1440" w:right="720" w:hanging="720"/>
        <w:jc w:val="both"/>
        <w:rPr>
          <w:sz w:val="24"/>
          <w:szCs w:val="24"/>
        </w:rPr>
      </w:pPr>
      <w:r>
        <w:rPr>
          <w:sz w:val="24"/>
          <w:szCs w:val="24"/>
        </w:rPr>
        <w:t>4.</w:t>
      </w:r>
      <w:r>
        <w:rPr>
          <w:sz w:val="24"/>
          <w:szCs w:val="24"/>
        </w:rPr>
        <w:tab/>
        <w:t>The employer that provides the training derives no immediate advantage from the activities of the intern, and on occasion its operations may actually be impeded;</w:t>
      </w:r>
    </w:p>
    <w:p>
      <w:pPr>
        <w:ind w:left="1440" w:right="720" w:hanging="720"/>
        <w:jc w:val="both"/>
        <w:rPr>
          <w:sz w:val="24"/>
          <w:szCs w:val="24"/>
        </w:rPr>
      </w:pPr>
      <w:r>
        <w:rPr>
          <w:sz w:val="24"/>
          <w:szCs w:val="24"/>
        </w:rPr>
        <w:t>5.</w:t>
      </w:r>
      <w:r>
        <w:rPr>
          <w:sz w:val="24"/>
          <w:szCs w:val="24"/>
        </w:rPr>
        <w:tab/>
        <w:t>The intern is not necessarily entitled to a job at the conclusion of the internship; and</w:t>
      </w:r>
    </w:p>
    <w:p>
      <w:pPr>
        <w:ind w:left="1440" w:right="720" w:hanging="720"/>
        <w:jc w:val="both"/>
        <w:rPr>
          <w:sz w:val="24"/>
          <w:szCs w:val="24"/>
        </w:rPr>
      </w:pPr>
      <w:r>
        <w:rPr>
          <w:sz w:val="24"/>
          <w:szCs w:val="24"/>
        </w:rPr>
        <w:t>6.</w:t>
      </w:r>
      <w:r>
        <w:rPr>
          <w:sz w:val="24"/>
          <w:szCs w:val="24"/>
        </w:rPr>
        <w:tab/>
        <w:t>The employer and the intern understand that the intern is not entitled to wages for the time spent in the internship.</w:t>
      </w:r>
      <w:r>
        <w:rPr>
          <w:rStyle w:val="EndnoteReference"/>
          <w:sz w:val="24"/>
          <w:szCs w:val="24"/>
        </w:rPr>
        <w:endnoteReference w:id="818"/>
      </w:r>
    </w:p>
    <w:p>
      <w:pPr>
        <w:pStyle w:val="BodyTextFirstIndent"/>
      </w:pPr>
      <w:r>
        <w:t xml:space="preserve">In a number of cases, federal courts have applied the Department of Labor’s six-factor test and determined that interns were entitled to wages as FLSA employees.  Such was the decision reached by a federal court judge in </w:t>
      </w:r>
      <w:r>
        <w:lastRenderedPageBreak/>
        <w:t xml:space="preserve">New York in June 2013 in </w:t>
      </w:r>
      <w:r>
        <w:rPr>
          <w:i/>
        </w:rPr>
        <w:t>Glatt v. Fox Searchlight Pictures</w:t>
      </w:r>
      <w:r>
        <w:t>.</w:t>
      </w:r>
      <w:r>
        <w:rPr>
          <w:rStyle w:val="EndnoteReference"/>
        </w:rPr>
        <w:endnoteReference w:id="819"/>
      </w:r>
      <w:r>
        <w:t xml:space="preserve">  In that case, the federal judge found that the interns did not fall within the unpaid trainee exception because they did not receive training similar to that of an educational environment; they instead performed routine tasks that otherwise would have been performed by paid employees, and Fox Search Light Pictures was the primary beneficiary of the internship rather than the interns.</w:t>
      </w:r>
      <w:r>
        <w:rPr>
          <w:rStyle w:val="EndnoteReference"/>
        </w:rPr>
        <w:endnoteReference w:id="820"/>
      </w:r>
      <w:r>
        <w:t xml:space="preserve"> Employers who use or permit interns to work on their staff need to carefully review the Department of Labor’s six-factor test to ensure that their relationship with their interns brings them into compliance with that test.</w:t>
      </w:r>
      <w:bookmarkStart w:id="220" w:name="_Toc378247013"/>
      <w:bookmarkStart w:id="221" w:name="_Toc378256383"/>
      <w:bookmarkStart w:id="222" w:name="_Toc378597544"/>
      <w:bookmarkStart w:id="223" w:name="_Toc378843496"/>
      <w:bookmarkStart w:id="224" w:name="_Toc379183231"/>
      <w:bookmarkStart w:id="225" w:name="_Toc379184115"/>
      <w:bookmarkStart w:id="226" w:name="_Toc379349883"/>
      <w:bookmarkStart w:id="227" w:name="_Toc379349998"/>
      <w:bookmarkStart w:id="228" w:name="_Toc379351159"/>
    </w:p>
    <w:p>
      <w:pPr>
        <w:pStyle w:val="BodyTextFirstIndent"/>
        <w:ind w:left="720" w:hanging="720"/>
        <w:jc w:val="left"/>
        <w:rPr>
          <w:b/>
        </w:rPr>
      </w:pPr>
      <w:r>
        <w:rPr>
          <w:b/>
        </w:rPr>
        <w:t>VI.</w:t>
      </w:r>
      <w:r>
        <w:rPr>
          <w:b/>
        </w:rPr>
        <w:tab/>
        <w:t>Family and Medical Leave Act (FMLA)</w:t>
      </w:r>
      <w:bookmarkStart w:id="229" w:name="_Toc379349999"/>
      <w:bookmarkStart w:id="230" w:name="_Toc379351160"/>
      <w:bookmarkEnd w:id="220"/>
      <w:bookmarkEnd w:id="221"/>
      <w:bookmarkEnd w:id="222"/>
      <w:bookmarkEnd w:id="223"/>
      <w:bookmarkEnd w:id="224"/>
      <w:bookmarkEnd w:id="225"/>
      <w:bookmarkEnd w:id="226"/>
      <w:bookmarkEnd w:id="227"/>
      <w:bookmarkEnd w:id="228"/>
    </w:p>
    <w:p>
      <w:pPr>
        <w:pStyle w:val="BodyTextFirstIndent"/>
        <w:ind w:firstLine="0"/>
        <w:jc w:val="center"/>
        <w:rPr>
          <w:b/>
          <w:szCs w:val="22"/>
        </w:rPr>
      </w:pPr>
      <w:r>
        <w:rPr>
          <w:b/>
        </w:rPr>
        <w:t>A.</w:t>
      </w:r>
      <w:r>
        <w:rPr>
          <w:b/>
        </w:rPr>
        <w:tab/>
      </w:r>
      <w:r>
        <w:rPr>
          <w:b/>
          <w:szCs w:val="22"/>
        </w:rPr>
        <w:t>New FMLA Regulation Effective March 2013</w:t>
      </w:r>
      <w:bookmarkEnd w:id="229"/>
      <w:bookmarkEnd w:id="230"/>
    </w:p>
    <w:p>
      <w:pPr>
        <w:pStyle w:val="BodyTextFirstIndent"/>
      </w:pPr>
      <w:r>
        <w:t xml:space="preserve">On February 5, 2013, the Department of Labor issued a new final regulation implementing the Family and Medical Leave Act.  This Final Rule implements amendments to the military leave provisions of the FMLA made by the National Defense Authorization Act for Fiscal Year 2010. Specifically, the Final Rule implements amendments to the requirements of service hours made by the Airline Flight Crew Technical Corrections Act, adds new leave calculation regulations for flight crew employees, and clarifies existing regulatory </w:t>
      </w:r>
      <w:r>
        <w:lastRenderedPageBreak/>
        <w:t>provisions related to intermittent leave.</w:t>
      </w:r>
      <w:r>
        <w:rPr>
          <w:rStyle w:val="EndnoteReference"/>
        </w:rPr>
        <w:endnoteReference w:id="821"/>
      </w:r>
    </w:p>
    <w:p>
      <w:pPr>
        <w:pStyle w:val="BodyTextFirstIndent"/>
      </w:pPr>
      <w:r>
        <w:t xml:space="preserve">In addressing qualified exigency leave, the new rule makes it clear that members of the regular armed forces, the National Guard, and Reserves are included under the FMLA. The new rule also adds a new type of "qualifying exigency" for care of a </w:t>
      </w:r>
      <w:r>
        <w:rPr>
          <w:rStyle w:val="Emphasis"/>
          <w:b/>
          <w:i w:val="0"/>
        </w:rPr>
        <w:t>parent</w:t>
      </w:r>
      <w:r>
        <w:t xml:space="preserve"> related to active duty or the call or impending call to active duty in support of a contingency operation.</w:t>
      </w:r>
      <w:r>
        <w:rPr>
          <w:rStyle w:val="EndnoteReference"/>
        </w:rPr>
        <w:endnoteReference w:id="822"/>
      </w:r>
      <w:r>
        <w:t xml:space="preserve"> The </w:t>
      </w:r>
      <w:r>
        <w:rPr>
          <w:rStyle w:val="Emphasis"/>
          <w:b/>
          <w:i w:val="0"/>
        </w:rPr>
        <w:t>parent</w:t>
      </w:r>
      <w:r>
        <w:t xml:space="preserve"> must be the parent of the </w:t>
      </w:r>
      <w:r>
        <w:rPr>
          <w:rStyle w:val="Emphasis"/>
          <w:b/>
          <w:i w:val="0"/>
        </w:rPr>
        <w:t>military</w:t>
      </w:r>
      <w:r>
        <w:rPr>
          <w:rStyle w:val="Emphasis"/>
          <w:b/>
        </w:rPr>
        <w:t xml:space="preserve"> </w:t>
      </w:r>
      <w:r>
        <w:rPr>
          <w:rStyle w:val="Emphasis"/>
          <w:b/>
          <w:i w:val="0"/>
        </w:rPr>
        <w:t>member</w:t>
      </w:r>
      <w:r>
        <w:rPr>
          <w:rStyle w:val="Emphasis"/>
          <w:i w:val="0"/>
        </w:rPr>
        <w:t xml:space="preserve"> </w:t>
      </w:r>
      <w:r>
        <w:t>- not necessarily the employee - and must be incapable of self-care. The military member must be the spouse, parent, or child of the employee. The allowable leave for "Rest and Recuperation" has been increased from 5 to 15 calendar days per “R&amp;R” period.</w:t>
      </w:r>
      <w:r>
        <w:rPr>
          <w:rStyle w:val="EndnoteReference"/>
        </w:rPr>
        <w:endnoteReference w:id="823"/>
      </w:r>
    </w:p>
    <w:p>
      <w:pPr>
        <w:pStyle w:val="BodyTextFirstIndent"/>
      </w:pPr>
      <w:r>
        <w:t>In addressing military caregiver leave, the new rule provides that a covered service member includes "covered veterans." A covered veteran is one who was discharged or released for reasons other than "dishonorable" within the five years preceding the day that the employee's FMLA leave for the veteran's serious injury or illness would begin.</w:t>
      </w:r>
      <w:r>
        <w:rPr>
          <w:rStyle w:val="EndnoteReference"/>
        </w:rPr>
        <w:endnoteReference w:id="824"/>
      </w:r>
      <w:r>
        <w:t xml:space="preserve"> "Serious injury or illness" for current service members and covered veterans now includes preexisting injuries or illnesses that were </w:t>
      </w:r>
      <w:r>
        <w:rPr>
          <w:iCs/>
        </w:rPr>
        <w:t>aggravated</w:t>
      </w:r>
      <w:r>
        <w:t xml:space="preserve"> during the course of military service. For covered veterans, "serious injury or illness" also includes (1) a VA Service Related Disability Rating </w:t>
      </w:r>
      <w:r>
        <w:lastRenderedPageBreak/>
        <w:t>of fifty percent or greater, (2) a disability that "substantially impairs" the veteran's ability to get "substantial gainful employment" or would if untreated, and (3) injuries or illnesses that have been the basis for the veteran's enrollment in the Department of Veterans Affairs Program of Comprehensive Assistance for Family Caregivers.</w:t>
      </w:r>
      <w:r>
        <w:rPr>
          <w:rStyle w:val="EndnoteReference"/>
        </w:rPr>
        <w:endnoteReference w:id="825"/>
      </w:r>
    </w:p>
    <w:p>
      <w:pPr>
        <w:pStyle w:val="BodyTextFirstIndent"/>
      </w:pPr>
      <w:r>
        <w:t>In calculating FMLA leave under the Uniformed Services Employment and Reemployment Rights Act, the 2009 rule provided that the employer was required to consider all periods of employment unless interrupted by a break of seven years or more when determining whether an employee met the twelve months employment requirement.</w:t>
      </w:r>
      <w:r>
        <w:rPr>
          <w:rStyle w:val="EndnoteReference"/>
        </w:rPr>
        <w:endnoteReference w:id="826"/>
      </w:r>
      <w:r>
        <w:t xml:space="preserve"> There was an exception for employees whose employment was interrupted because of military service within the meaning of the Uniformed Services Employment and Reemployment Rights Act – for those employees, the interruptions for military service were not counted against the employee. In calculating whether an employee who had served in the military met the 1,250-hour requirement, the employer was required to consider the number of hours that the employee </w:t>
      </w:r>
      <w:r>
        <w:rPr>
          <w:iCs/>
        </w:rPr>
        <w:t>would have worked</w:t>
      </w:r>
      <w:r>
        <w:t xml:space="preserve"> absent military service.</w:t>
      </w:r>
      <w:r>
        <w:rPr>
          <w:rStyle w:val="EndnoteReference"/>
        </w:rPr>
        <w:endnoteReference w:id="827"/>
      </w:r>
      <w:r>
        <w:t xml:space="preserve"> The new rule makes it clear that these exceptions to the eligibility requirements for members of the military apply to all types of military service, including service in the regular Armed Forces, the </w:t>
      </w:r>
      <w:r>
        <w:lastRenderedPageBreak/>
        <w:t>National Guard, the Reserves, and to members of airline flight crews.</w:t>
      </w:r>
      <w:r>
        <w:rPr>
          <w:rStyle w:val="EndnoteReference"/>
        </w:rPr>
        <w:endnoteReference w:id="828"/>
      </w:r>
    </w:p>
    <w:p>
      <w:pPr>
        <w:pStyle w:val="BodyTextFirstIndent"/>
      </w:pPr>
      <w:r>
        <w:t>Under the new rule, consistent with the Airline Flight Crew Technical Corrections Act, a member of a flight crew is eligible for FMLA leave if he or she has worked or been paid for at least sixty percent of his or her applicable monthly guarantee and has worked or been paid for at least 504 hours.</w:t>
      </w:r>
      <w:r>
        <w:rPr>
          <w:rStyle w:val="EndnoteReference"/>
        </w:rPr>
        <w:endnoteReference w:id="829"/>
      </w:r>
      <w:r>
        <w:t xml:space="preserve"> An eligible flight crew member is entitled to seventy-two days per twelve month period for family/medical and "qualifying exigency" leave, and 156 days "in a single 12-month period" for military caregiver leave.</w:t>
      </w:r>
      <w:r>
        <w:rPr>
          <w:rStyle w:val="EndnoteReference"/>
        </w:rPr>
        <w:endnoteReference w:id="830"/>
      </w:r>
    </w:p>
    <w:p>
      <w:pPr>
        <w:pStyle w:val="BodyTextFirstIndent"/>
      </w:pPr>
      <w:r>
        <w:t>Additionally, in some changes that apply to all employers under the 2013 rule, employers must charge intermittent or reduced leave in the smallest timekeeping increment used for other types of leave, which cannot exceed one hour. Generally, the employer is not allowed to charge for more leave than the employee needs, except in the specific circumstance that it is physically impossible to interrupt their shift once it has started.</w:t>
      </w:r>
      <w:r>
        <w:rPr>
          <w:rStyle w:val="EndnoteReference"/>
        </w:rPr>
        <w:endnoteReference w:id="831"/>
      </w:r>
      <w:r>
        <w:t xml:space="preserve"> </w:t>
      </w:r>
    </w:p>
    <w:p>
      <w:pPr>
        <w:pStyle w:val="BodyTextFirstIndent"/>
      </w:pPr>
      <w:r>
        <w:t>Finally, new forms and certifications are available at the Department of Labor’s website.</w:t>
      </w:r>
      <w:r>
        <w:rPr>
          <w:rStyle w:val="EndnoteReference"/>
        </w:rPr>
        <w:endnoteReference w:id="832"/>
      </w:r>
      <w:bookmarkStart w:id="231" w:name="_Toc379349885"/>
      <w:bookmarkStart w:id="232" w:name="_Toc379350000"/>
      <w:bookmarkStart w:id="233" w:name="_Toc379351161"/>
      <w:bookmarkStart w:id="234" w:name="_Toc378247015"/>
      <w:bookmarkStart w:id="235" w:name="_Toc378256385"/>
      <w:bookmarkStart w:id="236" w:name="_Toc378597546"/>
      <w:bookmarkStart w:id="237" w:name="_Toc378843498"/>
      <w:bookmarkStart w:id="238" w:name="_Toc379183233"/>
      <w:bookmarkStart w:id="239" w:name="_Toc379184117"/>
    </w:p>
    <w:p>
      <w:pPr>
        <w:pStyle w:val="BodyTextFirstIndent"/>
        <w:ind w:firstLine="0"/>
        <w:jc w:val="center"/>
        <w:rPr>
          <w:b/>
          <w:szCs w:val="22"/>
        </w:rPr>
      </w:pPr>
      <w:r>
        <w:rPr>
          <w:b/>
        </w:rPr>
        <w:t>B.</w:t>
      </w:r>
      <w:r>
        <w:rPr>
          <w:b/>
        </w:rPr>
        <w:tab/>
      </w:r>
      <w:r>
        <w:rPr>
          <w:b/>
          <w:szCs w:val="22"/>
        </w:rPr>
        <w:t>Worker Fired for Absences Exceeding FMLA Certification</w:t>
      </w:r>
      <w:bookmarkEnd w:id="231"/>
      <w:bookmarkEnd w:id="232"/>
      <w:bookmarkEnd w:id="233"/>
      <w:r>
        <w:rPr>
          <w:b/>
          <w:szCs w:val="22"/>
        </w:rPr>
        <w:t xml:space="preserve"> </w:t>
      </w:r>
      <w:bookmarkEnd w:id="234"/>
      <w:bookmarkEnd w:id="235"/>
      <w:bookmarkEnd w:id="236"/>
      <w:bookmarkEnd w:id="237"/>
      <w:bookmarkEnd w:id="238"/>
      <w:bookmarkEnd w:id="239"/>
    </w:p>
    <w:p>
      <w:pPr>
        <w:pStyle w:val="BodyTextFirstIndent"/>
      </w:pPr>
      <w:r>
        <w:t xml:space="preserve">Some employers mistakenly believe that when an FMLA certification is returned by an </w:t>
      </w:r>
      <w:r>
        <w:lastRenderedPageBreak/>
        <w:t xml:space="preserve">employee stating that the employee’s physician anticipates a certain number of absences within a period of time, the employee is bound to that number of absences listed in the certification.  However, the certification is an estimate.  In </w:t>
      </w:r>
      <w:r>
        <w:rPr>
          <w:i/>
        </w:rPr>
        <w:t>Hansen v. Fincantieri Marine Group, LLC</w:t>
      </w:r>
      <w:r>
        <w:t>,</w:t>
      </w:r>
      <w:r>
        <w:rPr>
          <w:rStyle w:val="EndnoteReference"/>
        </w:rPr>
        <w:endnoteReference w:id="833"/>
      </w:r>
      <w:r>
        <w:t xml:space="preserve"> a federal court in Wisconsin was faced with an employee for a shipbuilding company who was fired after his absences exceeded the number of episodes of depression his doctor estimated he would have within a six month period.</w:t>
      </w:r>
      <w:r>
        <w:rPr>
          <w:rStyle w:val="EndnoteReference"/>
        </w:rPr>
        <w:endnoteReference w:id="834"/>
      </w:r>
      <w:r>
        <w:t xml:space="preserve">  In that case, the plaintiff submitted a certification stating that his condition would cause him to experience episodic flare-ups that would prevent him from working approximately four times every six months and that each episode would last two to five days each.</w:t>
      </w:r>
      <w:r>
        <w:rPr>
          <w:rStyle w:val="EndnoteReference"/>
        </w:rPr>
        <w:endnoteReference w:id="835"/>
      </w:r>
      <w:r>
        <w:t xml:space="preserve">  </w:t>
      </w:r>
    </w:p>
    <w:p>
      <w:pPr>
        <w:pStyle w:val="BodyTextFirstIndent"/>
      </w:pPr>
      <w:r>
        <w:t>When the plaintiff was absent for flare-ups of his condition more frequently than the certification predicted, the company denied FML</w:t>
      </w:r>
      <w:r>
        <w:rPr>
          <w:caps/>
        </w:rPr>
        <w:t xml:space="preserve">A </w:t>
      </w:r>
      <w:r>
        <w:t>leave for exceeding the frequency of FMLA leave certified by his doctor, and ultimately terminated him for attendance.</w:t>
      </w:r>
      <w:r>
        <w:rPr>
          <w:rStyle w:val="EndnoteReference"/>
        </w:rPr>
        <w:endnoteReference w:id="836"/>
      </w:r>
    </w:p>
    <w:p>
      <w:pPr>
        <w:pStyle w:val="BodyTextFirstIndent"/>
      </w:pPr>
      <w:r>
        <w:t>The employee filed suit, claiming interference with his rights under the FMLA, and the company filed a motion for summary judgment.</w:t>
      </w:r>
      <w:r>
        <w:rPr>
          <w:rStyle w:val="EndnoteReference"/>
        </w:rPr>
        <w:endnoteReference w:id="837"/>
      </w:r>
      <w:r>
        <w:t xml:space="preserve">  The federal court denied the summary judgment motion.</w:t>
      </w:r>
      <w:r>
        <w:rPr>
          <w:rStyle w:val="EndnoteReference"/>
        </w:rPr>
        <w:endnoteReference w:id="838"/>
      </w:r>
      <w:r>
        <w:t xml:space="preserve"> Although the court acknowledged that the employee’s absences were substantially greater than the estimate from his doctor in the </w:t>
      </w:r>
      <w:r>
        <w:lastRenderedPageBreak/>
        <w:t>FMLA certification, the court reasoned that this alone does not mean that the employee was not entitled to additional FMLA leave.</w:t>
      </w:r>
      <w:r>
        <w:rPr>
          <w:rStyle w:val="EndnoteReference"/>
        </w:rPr>
        <w:endnoteReference w:id="839"/>
      </w:r>
      <w:r>
        <w:t xml:space="preserve">  The court concluded that section 29 C.F.R. § 825.308(c)(3) of the Department of Labor Regulations permits an employer to request a recertification when there is a significant change in circumstances, such as the duration or frequency of an employee’s absences.</w:t>
      </w:r>
      <w:r>
        <w:rPr>
          <w:rStyle w:val="EndnoteReference"/>
        </w:rPr>
        <w:endnoteReference w:id="840"/>
      </w:r>
      <w:r>
        <w:t xml:space="preserve">  The court reasoned that regulation contemplates the situation raised in this case where the employee was absent more frequently than predicted in the initial doctor certification.</w:t>
      </w:r>
      <w:r>
        <w:rPr>
          <w:rStyle w:val="EndnoteReference"/>
        </w:rPr>
        <w:endnoteReference w:id="841"/>
      </w:r>
      <w:r>
        <w:t xml:space="preserve">  The court concluded that the company’s only remedy in that situation was to request recertification, which the company failed to do, and that the company was not entitled to conclude on its own that the employee was not eligible for FMLA leave simply because his occurrences exceeded the estimate of his absences in the certification.</w:t>
      </w:r>
      <w:r>
        <w:rPr>
          <w:rStyle w:val="EndnoteReference"/>
        </w:rPr>
        <w:endnoteReference w:id="842"/>
      </w:r>
      <w:bookmarkStart w:id="240" w:name="_Toc378247016"/>
      <w:bookmarkStart w:id="241" w:name="_Toc378256386"/>
      <w:bookmarkStart w:id="242" w:name="_Toc378597547"/>
      <w:bookmarkStart w:id="243" w:name="_Toc378843499"/>
      <w:bookmarkStart w:id="244" w:name="_Toc379183234"/>
      <w:bookmarkStart w:id="245" w:name="_Toc379184118"/>
      <w:bookmarkStart w:id="246" w:name="_Toc379349886"/>
      <w:bookmarkStart w:id="247" w:name="_Toc379350001"/>
      <w:bookmarkStart w:id="248" w:name="_Toc379351162"/>
    </w:p>
    <w:p>
      <w:pPr>
        <w:pStyle w:val="BodyTextFirstIndent"/>
        <w:ind w:firstLine="0"/>
        <w:jc w:val="center"/>
        <w:rPr>
          <w:b/>
          <w:szCs w:val="22"/>
        </w:rPr>
      </w:pPr>
      <w:r>
        <w:rPr>
          <w:b/>
        </w:rPr>
        <w:t>C.</w:t>
      </w:r>
      <w:r>
        <w:rPr>
          <w:b/>
        </w:rPr>
        <w:tab/>
      </w:r>
      <w:r>
        <w:rPr>
          <w:b/>
          <w:szCs w:val="22"/>
        </w:rPr>
        <w:t>Employee’s Failure to Follow Policies Dooms FMLA Claims</w:t>
      </w:r>
      <w:bookmarkEnd w:id="240"/>
      <w:bookmarkEnd w:id="241"/>
      <w:bookmarkEnd w:id="242"/>
      <w:bookmarkEnd w:id="243"/>
      <w:bookmarkEnd w:id="244"/>
      <w:bookmarkEnd w:id="245"/>
      <w:bookmarkEnd w:id="246"/>
      <w:bookmarkEnd w:id="247"/>
      <w:bookmarkEnd w:id="248"/>
    </w:p>
    <w:p>
      <w:pPr>
        <w:pStyle w:val="BodyTextFirstIndent"/>
      </w:pPr>
      <w:r>
        <w:t>During 2013, in two courts of appeals cases in two different circuits, employees failed to follow employer policies regarding FMLA absences, and their FMLA lawsuits were defeated.</w:t>
      </w:r>
    </w:p>
    <w:p>
      <w:pPr>
        <w:pStyle w:val="BodyTextFirstIndent"/>
      </w:pPr>
      <w:r>
        <w:t xml:space="preserve">In January 2009, the Department of Labor revised the FMLA regulations.  One section of those regulations, 29 C.F.R. § </w:t>
      </w:r>
      <w:r>
        <w:lastRenderedPageBreak/>
        <w:t>825.302(d), provides that “when an employee does not comply with the employer’s usual notice and procedural requirements, and no unusual circumstances justify the failure to comply, FMLA-protected leave may be delayed or denied.”  That 2009 regulation substantially changed the prior version, which reached the opposite conclusion, that an employee’s failure to follow internal company procedures would not permit an employer to disallow FMLA leave.</w:t>
      </w:r>
    </w:p>
    <w:p>
      <w:pPr>
        <w:pStyle w:val="BodyTextFirstIndent"/>
      </w:pPr>
      <w:r>
        <w:t xml:space="preserve">In </w:t>
      </w:r>
      <w:r>
        <w:rPr>
          <w:i/>
        </w:rPr>
        <w:t>Srouder v. Dana Light Axle Manufacturing, LLC</w:t>
      </w:r>
      <w:r>
        <w:t>,</w:t>
      </w:r>
      <w:r>
        <w:rPr>
          <w:rStyle w:val="EndnoteReference"/>
        </w:rPr>
        <w:endnoteReference w:id="843"/>
      </w:r>
      <w:r>
        <w:t xml:space="preserve"> an employee was fired after he failed to call in to work that he was going to be absent for four days prior to his hernia surgery.</w:t>
      </w:r>
      <w:r>
        <w:rPr>
          <w:rStyle w:val="EndnoteReference"/>
        </w:rPr>
        <w:endnoteReference w:id="844"/>
      </w:r>
      <w:r>
        <w:t xml:space="preserve">  The employee had advised the company’s human resources manager that he was going to have hernia surgery.</w:t>
      </w:r>
      <w:r>
        <w:rPr>
          <w:rStyle w:val="EndnoteReference"/>
        </w:rPr>
        <w:endnoteReference w:id="845"/>
      </w:r>
      <w:r>
        <w:t xml:space="preserve"> Because the company did not have a light-duty job for him to perform prior to the surgery, the employee did not attend work for four days preceding his surgery and assumed that he did not have to call in because his supervisor already knew that he was going to undergo surgery.</w:t>
      </w:r>
      <w:r>
        <w:rPr>
          <w:rStyle w:val="EndnoteReference"/>
        </w:rPr>
        <w:endnoteReference w:id="846"/>
      </w:r>
    </w:p>
    <w:p>
      <w:pPr>
        <w:pStyle w:val="BodyTextFirstIndent"/>
      </w:pPr>
      <w:r>
        <w:t>Under the company’s attendance policy, employees were required to call in each day and an employee who failed to call in to report an absence for two or more days was deemed to have voluntarily resigned.</w:t>
      </w:r>
      <w:r>
        <w:rPr>
          <w:rStyle w:val="EndnoteReference"/>
        </w:rPr>
        <w:endnoteReference w:id="847"/>
      </w:r>
      <w:r>
        <w:t xml:space="preserve">  After he was terminated, the employee filed an FMLA interference suit.</w:t>
      </w:r>
      <w:r>
        <w:rPr>
          <w:rStyle w:val="EndnoteReference"/>
        </w:rPr>
        <w:endnoteReference w:id="848"/>
      </w:r>
      <w:r>
        <w:t xml:space="preserve"> The federal district court granted summary judgment based on the </w:t>
      </w:r>
      <w:r>
        <w:lastRenderedPageBreak/>
        <w:t>employee’s failure to comply with the employer’s call-in requirements.</w:t>
      </w:r>
      <w:r>
        <w:rPr>
          <w:rStyle w:val="EndnoteReference"/>
        </w:rPr>
        <w:endnoteReference w:id="849"/>
      </w:r>
      <w:r>
        <w:t xml:space="preserve">  The Sixth Circuit Court of Appeals affirmed, reasoning that an employer is entitled to enforce its customary notice and procedural requirements against an employee claiming FMLA leave unless unusual circumstances justify the employee’s failure.</w:t>
      </w:r>
      <w:r>
        <w:rPr>
          <w:rStyle w:val="EndnoteReference"/>
        </w:rPr>
        <w:endnoteReference w:id="850"/>
      </w:r>
    </w:p>
    <w:p>
      <w:pPr>
        <w:pStyle w:val="BodyTextFirstIndent"/>
      </w:pPr>
      <w:r>
        <w:rPr>
          <w:i/>
        </w:rPr>
        <w:t>Paris v. Sanderson Farms, Inc.</w:t>
      </w:r>
      <w:r>
        <w:rPr>
          <w:rStyle w:val="EndnoteReference"/>
          <w:i/>
        </w:rPr>
        <w:endnoteReference w:id="851"/>
      </w:r>
      <w:r>
        <w:t xml:space="preserve"> is a similar case.  In </w:t>
      </w:r>
      <w:r>
        <w:rPr>
          <w:i/>
        </w:rPr>
        <w:t>Paris</w:t>
      </w:r>
      <w:r>
        <w:t>, the company had an FMLA policy requiring employees to periodically report their status and intent to return to work, and the policy also permitted extensions where requests were made reasonably in advance of the expiration of the leave.</w:t>
      </w:r>
      <w:r>
        <w:rPr>
          <w:rStyle w:val="EndnoteReference"/>
        </w:rPr>
        <w:endnoteReference w:id="852"/>
      </w:r>
      <w:r>
        <w:t xml:space="preserve">  </w:t>
      </w:r>
    </w:p>
    <w:p>
      <w:pPr>
        <w:pStyle w:val="BodyTextFirstIndent"/>
      </w:pPr>
      <w:r>
        <w:t>Employee Paris requested and received approval to take FMLA leave according to the company policy.</w:t>
      </w:r>
      <w:r>
        <w:rPr>
          <w:rStyle w:val="EndnoteReference"/>
        </w:rPr>
        <w:endnoteReference w:id="853"/>
      </w:r>
      <w:r>
        <w:t xml:space="preserve"> She also requested to extend her leave three times and sent updated FMLA certifications. </w:t>
      </w:r>
      <w:r>
        <w:rPr>
          <w:rStyle w:val="EndnoteReference"/>
        </w:rPr>
        <w:endnoteReference w:id="854"/>
      </w:r>
      <w:r>
        <w:t xml:space="preserve"> All of her requests for extension were approved by the company, even though she exceeded her FMLA entitlement.  When she did not report to work at the expiration of her third extension, the company sent a letter to Paris informing her that her leave had expired and that she would be terminated unless she reported to work or requested another leave extension by April 9.</w:t>
      </w:r>
      <w:r>
        <w:rPr>
          <w:rStyle w:val="EndnoteReference"/>
        </w:rPr>
        <w:endnoteReference w:id="855"/>
      </w:r>
      <w:r>
        <w:t xml:space="preserve">  Her physician faxed the company a certification form stating that Paris could return to work on April 9, but she did not report to work on that day and the </w:t>
      </w:r>
      <w:r>
        <w:lastRenderedPageBreak/>
        <w:t>company fired her several days later.</w:t>
      </w:r>
      <w:r>
        <w:rPr>
          <w:rStyle w:val="EndnoteReference"/>
        </w:rPr>
        <w:endnoteReference w:id="856"/>
      </w:r>
      <w:r>
        <w:t xml:space="preserve">  In response, Paris sued for FMLA retaliation.</w:t>
      </w:r>
      <w:r>
        <w:rPr>
          <w:rStyle w:val="EndnoteReference"/>
        </w:rPr>
        <w:endnoteReference w:id="857"/>
      </w:r>
      <w:r>
        <w:t xml:space="preserve">  The federal district judge in Texas granted summary judgment, which was affirmed by the Fifth Circuit.</w:t>
      </w:r>
      <w:r>
        <w:rPr>
          <w:rStyle w:val="EndnoteReference"/>
        </w:rPr>
        <w:endnoteReference w:id="858"/>
      </w:r>
      <w:r>
        <w:t xml:space="preserve">  The Fifth Circuit reasoned that Paris had failed to comply with the company’s FMLA policy, which requires submission of medical certifications and leave requests.</w:t>
      </w:r>
      <w:r>
        <w:rPr>
          <w:rStyle w:val="EndnoteReference"/>
        </w:rPr>
        <w:endnoteReference w:id="859"/>
      </w:r>
      <w:bookmarkStart w:id="249" w:name="_Toc378247017"/>
      <w:bookmarkStart w:id="250" w:name="_Toc378256387"/>
      <w:bookmarkStart w:id="251" w:name="_Toc378597548"/>
      <w:bookmarkStart w:id="252" w:name="_Toc378843500"/>
      <w:bookmarkStart w:id="253" w:name="_Toc379183235"/>
      <w:bookmarkStart w:id="254" w:name="_Toc379184119"/>
      <w:bookmarkStart w:id="255" w:name="_Toc379349887"/>
      <w:bookmarkStart w:id="256" w:name="_Toc379350002"/>
      <w:bookmarkStart w:id="257" w:name="_Toc379351163"/>
    </w:p>
    <w:p>
      <w:pPr>
        <w:pStyle w:val="BodyTextFirstIndent"/>
        <w:ind w:firstLine="0"/>
        <w:jc w:val="center"/>
        <w:rPr>
          <w:b/>
          <w:szCs w:val="22"/>
        </w:rPr>
      </w:pPr>
      <w:r>
        <w:rPr>
          <w:b/>
        </w:rPr>
        <w:t>D.</w:t>
      </w:r>
      <w:r>
        <w:rPr>
          <w:b/>
        </w:rPr>
        <w:tab/>
      </w:r>
      <w:r>
        <w:rPr>
          <w:b/>
          <w:szCs w:val="22"/>
        </w:rPr>
        <w:t>Inconsistent Company Reasons and Bad Timing Will Keep FMLA Suits Alive</w:t>
      </w:r>
      <w:bookmarkEnd w:id="249"/>
      <w:bookmarkEnd w:id="250"/>
      <w:bookmarkEnd w:id="251"/>
      <w:bookmarkEnd w:id="252"/>
      <w:bookmarkEnd w:id="253"/>
      <w:bookmarkEnd w:id="254"/>
      <w:bookmarkEnd w:id="255"/>
      <w:bookmarkEnd w:id="256"/>
      <w:bookmarkEnd w:id="257"/>
    </w:p>
    <w:p>
      <w:pPr>
        <w:pStyle w:val="BodyTextFirstIndent"/>
      </w:pPr>
      <w:r>
        <w:t xml:space="preserve">In </w:t>
      </w:r>
      <w:r>
        <w:rPr>
          <w:i/>
        </w:rPr>
        <w:t>Turner v. Florida Prepaid College Board</w:t>
      </w:r>
      <w:r>
        <w:t>,</w:t>
      </w:r>
      <w:r>
        <w:rPr>
          <w:rStyle w:val="EndnoteReference"/>
        </w:rPr>
        <w:endnoteReference w:id="860"/>
      </w:r>
      <w:r>
        <w:t xml:space="preserve"> the plaintiff’s supervisor recommended her termination during the same meeting in which the supervisor learned that the plaintiff had requested FMLA leave.</w:t>
      </w:r>
      <w:r>
        <w:rPr>
          <w:rStyle w:val="EndnoteReference"/>
        </w:rPr>
        <w:endnoteReference w:id="861"/>
      </w:r>
      <w:r>
        <w:t xml:space="preserve">  Although the supervisor had prepared a critical performance review the day before the plaintiff requested the FMLA leave, the performance review did not expressly recommend that the plaintiff’s employment be terminated.</w:t>
      </w:r>
      <w:r>
        <w:rPr>
          <w:rStyle w:val="EndnoteReference"/>
        </w:rPr>
        <w:endnoteReference w:id="862"/>
      </w:r>
      <w:r>
        <w:t xml:space="preserve">  Rather, the supervisor recommended termination only after learning that the plaintiff had requested FMLA leave.</w:t>
      </w:r>
      <w:r>
        <w:rPr>
          <w:rStyle w:val="EndnoteReference"/>
        </w:rPr>
        <w:endnoteReference w:id="863"/>
      </w:r>
      <w:r>
        <w:t xml:space="preserve">  The court concluded that the timing of the termination recommendation was as close as it could be to the request for FMLA leave, and that fact, along with inconsistent reasons for the criticisms of the plaintiff’s performance, justified overturning the lower court’s grant of summary judgment.</w:t>
      </w:r>
      <w:r>
        <w:rPr>
          <w:rStyle w:val="EndnoteReference"/>
        </w:rPr>
        <w:endnoteReference w:id="864"/>
      </w:r>
      <w:bookmarkStart w:id="258" w:name="_Toc379183255"/>
      <w:bookmarkStart w:id="259" w:name="_Toc379184139"/>
      <w:bookmarkStart w:id="260" w:name="_Toc379349907"/>
      <w:bookmarkStart w:id="261" w:name="_Toc379350022"/>
      <w:bookmarkStart w:id="262" w:name="_Toc379351183"/>
    </w:p>
    <w:p>
      <w:pPr>
        <w:pStyle w:val="BodyTextFirstIndent"/>
        <w:keepNext/>
        <w:ind w:left="720" w:hanging="720"/>
        <w:jc w:val="left"/>
        <w:rPr>
          <w:b/>
          <w:lang w:eastAsia="ja-JP"/>
        </w:rPr>
      </w:pPr>
      <w:r>
        <w:rPr>
          <w:b/>
        </w:rPr>
        <w:lastRenderedPageBreak/>
        <w:t>VII.</w:t>
      </w:r>
      <w:r>
        <w:rPr>
          <w:b/>
        </w:rPr>
        <w:tab/>
      </w:r>
      <w:r>
        <w:rPr>
          <w:b/>
          <w:lang w:eastAsia="ja-JP"/>
        </w:rPr>
        <w:t>On the H</w:t>
      </w:r>
      <w:bookmarkEnd w:id="258"/>
      <w:bookmarkEnd w:id="259"/>
      <w:bookmarkEnd w:id="260"/>
      <w:bookmarkEnd w:id="261"/>
      <w:bookmarkEnd w:id="262"/>
      <w:r>
        <w:rPr>
          <w:b/>
          <w:lang w:eastAsia="ja-JP"/>
        </w:rPr>
        <w:t>orizon</w:t>
      </w:r>
    </w:p>
    <w:p>
      <w:pPr>
        <w:pStyle w:val="BodyTextFirstIndent"/>
        <w:rPr>
          <w:rFonts w:eastAsia="MS Mincho"/>
          <w:lang w:eastAsia="ja-JP"/>
        </w:rPr>
      </w:pPr>
      <w:r>
        <w:rPr>
          <w:rFonts w:eastAsia="MS Mincho"/>
          <w:lang w:eastAsia="ja-JP"/>
        </w:rPr>
        <w:t xml:space="preserve">We can expect more of the same from the federal administrative agencies during the remainder of the Obama Administration. Two significant regulations expected from the United States Department of Labor during the coming year include new “Persuader” regulation- requiring financial disclosures by employers, labor attorneys, and consultants of fees paid by </w:t>
      </w:r>
      <w:r>
        <w:t>employers</w:t>
      </w:r>
      <w:r>
        <w:rPr>
          <w:rFonts w:eastAsia="MS Mincho"/>
          <w:lang w:eastAsia="ja-JP"/>
        </w:rPr>
        <w:t xml:space="preserve"> to persuade employees not to support unions.  In addition, there is a new regulation requiring employers to notify employees who are being </w:t>
      </w:r>
      <w:r>
        <w:t>classified</w:t>
      </w:r>
      <w:r>
        <w:rPr>
          <w:rFonts w:eastAsia="MS Mincho"/>
          <w:lang w:eastAsia="ja-JP"/>
        </w:rPr>
        <w:t xml:space="preserve"> as exempt under the Fair Labor Standards Act, and the reasons for the exempt classification.  </w:t>
      </w:r>
    </w:p>
    <w:p>
      <w:pPr>
        <w:pStyle w:val="BodyTextFirstIndent"/>
        <w:rPr>
          <w:rFonts w:eastAsia="MS Mincho"/>
          <w:lang w:eastAsia="ja-JP"/>
        </w:rPr>
      </w:pPr>
      <w:r>
        <w:rPr>
          <w:rFonts w:eastAsia="MS Mincho"/>
          <w:lang w:eastAsia="ja-JP"/>
        </w:rPr>
        <w:t xml:space="preserve">The National Labor Relations Board, now that it has a full complement of five members, can be expected to continue its intrusion into the businesses of non-union </w:t>
      </w:r>
      <w:r>
        <w:t>employers</w:t>
      </w:r>
      <w:r>
        <w:rPr>
          <w:rFonts w:eastAsia="MS Mincho"/>
          <w:lang w:eastAsia="ja-JP"/>
        </w:rPr>
        <w:t>. In addition, it is likely to attempt new “quickie election” regulations, dramatically shortening the time between the filing by a union of a petition for a union election and the election itself.</w:t>
      </w:r>
    </w:p>
    <w:p>
      <w:pPr>
        <w:pStyle w:val="BodyTextFirstIndent"/>
      </w:pPr>
      <w:r>
        <w:t>In addition, there have been many changes in the implementation of the Affordable Care Act.  As such, its continued implementation will certainly have an impact on employers in the coming years.</w:t>
      </w:r>
    </w:p>
    <w:p>
      <w:pPr>
        <w:keepNext/>
        <w:spacing w:after="0"/>
        <w:jc w:val="center"/>
        <w:rPr>
          <w:b/>
          <w:sz w:val="21"/>
          <w:szCs w:val="21"/>
          <w:u w:val="single"/>
        </w:rPr>
      </w:pPr>
      <w:r>
        <w:rPr>
          <w:b/>
          <w:sz w:val="21"/>
          <w:szCs w:val="21"/>
          <w:u w:val="single"/>
        </w:rPr>
        <w:t>End Notes</w:t>
      </w:r>
    </w:p>
    <w:p>
      <w:pPr>
        <w:spacing w:after="0"/>
        <w:jc w:val="center"/>
        <w:rPr>
          <w:b/>
          <w:sz w:val="21"/>
          <w:szCs w:val="21"/>
          <w:u w:val="single"/>
        </w:rPr>
      </w:pPr>
    </w:p>
    <w:p>
      <w:pPr>
        <w:spacing w:after="0"/>
        <w:jc w:val="center"/>
        <w:rPr>
          <w:b/>
          <w:sz w:val="21"/>
          <w:szCs w:val="21"/>
          <w:u w:val="single"/>
        </w:rPr>
        <w:sectPr>
          <w:footnotePr>
            <w:numRestart w:val="eachSect"/>
          </w:footnotePr>
          <w:endnotePr>
            <w:numFmt w:val="decimal"/>
            <w:numRestart w:val="eachSect"/>
          </w:endnotePr>
          <w:type w:val="continuous"/>
          <w:pgSz w:w="12240" w:h="15840"/>
          <w:pgMar w:top="1440" w:right="1800" w:bottom="1440" w:left="1800" w:header="720" w:footer="720" w:gutter="0"/>
          <w:cols w:num="2" w:space="720"/>
          <w:docGrid w:linePitch="360"/>
        </w:sectPr>
      </w:pPr>
    </w:p>
    <w:p>
      <w:pPr>
        <w:pStyle w:val="Heading1"/>
      </w:pPr>
      <w:bookmarkStart w:id="263" w:name="_Toc387223617"/>
      <w:r>
        <w:lastRenderedPageBreak/>
        <w:t>Daubert and Medical Causation:  Wading Through the Metaphysical Swamp</w:t>
      </w:r>
      <w:bookmarkEnd w:id="263"/>
    </w:p>
    <w:p/>
    <w:p>
      <w:pPr>
        <w:pStyle w:val="Author"/>
      </w:pPr>
      <w:r>
        <w:t>By: Nathan A. Gaffney</w:t>
      </w:r>
    </w:p>
    <w:p>
      <w:pPr>
        <w:pStyle w:val="Author"/>
      </w:pPr>
      <w:r>
        <w:t>Hall, Booth Smith, P.C.</w:t>
      </w:r>
    </w:p>
    <w:p>
      <w:pPr>
        <w:spacing w:after="0"/>
        <w:jc w:val="both"/>
        <w:rPr>
          <w:sz w:val="21"/>
          <w:szCs w:val="21"/>
        </w:rPr>
      </w:pPr>
    </w:p>
    <w:p>
      <w:pPr>
        <w:pBdr>
          <w:top w:val="single" w:sz="4" w:space="1" w:color="auto"/>
          <w:left w:val="single" w:sz="4" w:space="4" w:color="auto"/>
          <w:bottom w:val="single" w:sz="4" w:space="1" w:color="auto"/>
          <w:right w:val="single" w:sz="4" w:space="4" w:color="auto"/>
        </w:pBdr>
        <w:shd w:val="clear" w:color="auto" w:fill="81BAC5"/>
        <w:spacing w:after="0"/>
        <w:jc w:val="both"/>
      </w:pPr>
      <w:r>
        <w:rPr>
          <w:noProof/>
        </w:rPr>
        <w:pict>
          <v:shape id="Picture 53" o:spid="_x0000_s1048" type="#_x0000_t75" alt="NathanGaffney" style="position:absolute;left:0;text-align:left;margin-left:.15pt;margin-top:1.6pt;width:93.3pt;height:93.3pt;z-index:251657728;visibility:visible" stroked="t" strokeweight="1.5pt">
            <v:imagedata r:id="rId42" o:title=""/>
            <w10:wrap type="square"/>
          </v:shape>
        </w:pict>
      </w:r>
      <w:r>
        <w:rPr>
          <w:b/>
        </w:rPr>
        <w:t xml:space="preserve">Nathan A. Gaffney </w:t>
      </w:r>
      <w:r>
        <w:t>is an associate with the Hall Booth Smith, P.C. His practice focuses on medical malpractice, appellate practice, and health care compliance. Nathan graduated magna cum laude from Georgia State University's College of Law. During law school, he served as the Executive Editor of the Georgia State University Law Review and as an extern for the Hon. Carol Hunstein of the Supreme Court of Georgia and the Hon. Marvin S. Shoob of the U.S. District Court for the Northern District of Georgia. After law school, Nathan served two years as a Staff Attorney to the Hon. Philip C. Smith in the State Court of Forsyth County. Nathan has become a regular speaker at Georgia Judicial Conferences where he teaches magistrate, state, and superior court judges about the law related to public access to records and courtrooms. He is also an integral member of Hall Booth Smith, P.C.’s appellate practice team, representing clients before the Georgia Supreme Court and Georgia Court of Appeals.</w:t>
      </w:r>
    </w:p>
    <w:p>
      <w:pPr>
        <w:spacing w:after="0"/>
        <w:jc w:val="center"/>
        <w:rPr>
          <w:b/>
          <w:sz w:val="21"/>
          <w:szCs w:val="21"/>
          <w:u w:val="single"/>
        </w:rPr>
      </w:pPr>
    </w:p>
    <w:p>
      <w:pPr>
        <w:spacing w:after="0"/>
        <w:rPr>
          <w:b/>
          <w:bCs/>
          <w:sz w:val="21"/>
          <w:szCs w:val="21"/>
          <w:u w:val="single"/>
        </w:rPr>
        <w:sectPr>
          <w:footnotePr>
            <w:numRestart w:val="eachSect"/>
          </w:footnotePr>
          <w:endnotePr>
            <w:numFmt w:val="decimal"/>
            <w:numRestart w:val="eachSect"/>
          </w:endnotePr>
          <w:pgSz w:w="12240" w:h="15840"/>
          <w:pgMar w:top="1440" w:right="1800" w:bottom="1440" w:left="1800" w:header="720" w:footer="720" w:gutter="0"/>
          <w:cols w:space="720"/>
          <w:rtlGutter/>
          <w:docGrid w:linePitch="360"/>
        </w:sectPr>
      </w:pPr>
    </w:p>
    <w:p>
      <w:pPr>
        <w:pStyle w:val="BodyTextFirstIndent"/>
      </w:pPr>
      <w:r>
        <w:lastRenderedPageBreak/>
        <w:t xml:space="preserve">Almost a decade has passed since Georgia’s adoption of the </w:t>
      </w:r>
      <w:r>
        <w:rPr>
          <w:i/>
        </w:rPr>
        <w:t>Daubert</w:t>
      </w:r>
      <w:r>
        <w:rPr>
          <w:rStyle w:val="EndnoteReference"/>
          <w:i/>
        </w:rPr>
        <w:endnoteReference w:id="865"/>
      </w:r>
      <w:r>
        <w:rPr>
          <w:i/>
        </w:rPr>
        <w:t xml:space="preserve"> </w:t>
      </w:r>
      <w:r>
        <w:t>standards for the admissibility of expert testimony.</w:t>
      </w:r>
      <w:r>
        <w:rPr>
          <w:rStyle w:val="EndnoteReference"/>
        </w:rPr>
        <w:endnoteReference w:id="866"/>
      </w:r>
      <w:r>
        <w:t xml:space="preserve"> Georgia appellate courts are slowly but surely developing a body of interpretive case law that is ironing out the wrinkles that one could expect with such an epic sea change in the rules of evidence. However, one of the wrinkles that has yet to be squarely addressed by Georgia courts concerns what the </w:t>
      </w:r>
      <w:r>
        <w:rPr>
          <w:i/>
        </w:rPr>
        <w:t xml:space="preserve">Daubert </w:t>
      </w:r>
      <w:r>
        <w:t>standards</w:t>
      </w:r>
      <w:r>
        <w:rPr>
          <w:i/>
        </w:rPr>
        <w:t xml:space="preserve"> </w:t>
      </w:r>
      <w:r>
        <w:t xml:space="preserve">require of medical causation experts.  Specifically, does the reliability of such testimony under O.C.G.A. § 24-7-702(b) depend on whether the expert can state the opinion in terms of reasonable medical certainty or probability? This article explores this issue and seeks to equip the practitioner with </w:t>
      </w:r>
      <w:r>
        <w:lastRenderedPageBreak/>
        <w:t xml:space="preserve">a thorough understanding of the relationship between </w:t>
      </w:r>
      <w:r>
        <w:rPr>
          <w:i/>
        </w:rPr>
        <w:t>Daubert</w:t>
      </w:r>
      <w:r>
        <w:t xml:space="preserve"> and causation in medical malpractice cases.</w:t>
      </w:r>
    </w:p>
    <w:p>
      <w:pPr>
        <w:pStyle w:val="BodyTextFirstIndent"/>
      </w:pPr>
      <w:r>
        <w:t xml:space="preserve">This article is divided into eleven sections. Section I discusses the difficulty inherent in discussion of the relationship between </w:t>
      </w:r>
      <w:r>
        <w:rPr>
          <w:i/>
        </w:rPr>
        <w:t>Daubert</w:t>
      </w:r>
      <w:r>
        <w:t xml:space="preserve"> and causation. Section II explains the dual meaning of the term burden of proof.  Section III discusses the Plaintiff's burden of proving medical causation. Section IV discusses the Defendants burden to prove an alternative theory of causation. Section V explains that a defendant does not bear the burden of proving an alternative theory of causation that is offered in rebuttal of the plaintiff's case. Section VI Discusses the majority rule among other states that a defendant does </w:t>
      </w:r>
      <w:r>
        <w:lastRenderedPageBreak/>
        <w:t xml:space="preserve">not bear the burden of proving causation evidence offered in rebuttal of the plaintiff’s case. Section VII explains what the burden of proof is under Federal Rule of Evidence 702(b) and </w:t>
      </w:r>
      <w:r>
        <w:rPr>
          <w:i/>
        </w:rPr>
        <w:t xml:space="preserve">Daubert </w:t>
      </w:r>
      <w:r>
        <w:t xml:space="preserve">criteria. Section VIII discusses the reliability component of Rule 702(b) and </w:t>
      </w:r>
      <w:r>
        <w:rPr>
          <w:i/>
        </w:rPr>
        <w:t>Daubert</w:t>
      </w:r>
      <w:r>
        <w:t xml:space="preserve">. Section IX explains the relevance or "fit" component of </w:t>
      </w:r>
      <w:r>
        <w:rPr>
          <w:i/>
        </w:rPr>
        <w:t>Daubert</w:t>
      </w:r>
      <w:r>
        <w:t>. Section X discusses the conflation of Daubert with sufficiency of the evidence standards. Section XI offers a conclusion and guidance as to what Georgia Courts should do when they are squarely confronted with the issue of what is required of defense experts who opine on medical causation.</w:t>
      </w:r>
    </w:p>
    <w:p>
      <w:pPr>
        <w:pStyle w:val="BodyText"/>
        <w:ind w:left="720" w:hanging="720"/>
        <w:rPr>
          <w:b/>
        </w:rPr>
      </w:pPr>
      <w:r>
        <w:rPr>
          <w:b/>
        </w:rPr>
        <w:t>I.</w:t>
      </w:r>
      <w:r>
        <w:rPr>
          <w:b/>
        </w:rPr>
        <w:tab/>
        <w:t xml:space="preserve">The Inherent Difficulty in Discussing </w:t>
      </w:r>
      <w:r>
        <w:rPr>
          <w:b/>
          <w:i/>
        </w:rPr>
        <w:t>Dauber</w:t>
      </w:r>
      <w:r>
        <w:rPr>
          <w:b/>
        </w:rPr>
        <w:t>t with Causation</w:t>
      </w:r>
    </w:p>
    <w:p>
      <w:pPr>
        <w:pStyle w:val="BodyTextFirstIndent"/>
      </w:pPr>
      <w:r>
        <w:t xml:space="preserve">From the outset, the difficulty built-in to such a discussion involving </w:t>
      </w:r>
      <w:r>
        <w:rPr>
          <w:i/>
        </w:rPr>
        <w:t>Daubert</w:t>
      </w:r>
      <w:r>
        <w:t xml:space="preserve"> and causation needs to be acknowledged. </w:t>
      </w:r>
      <w:r>
        <w:rPr>
          <w:i/>
        </w:rPr>
        <w:t>Daubert</w:t>
      </w:r>
      <w:r>
        <w:t xml:space="preserve"> and causation are, in and of themselves, very challenging topics. The Eleventh Circuit Court of Appeals, for example, was overruled no less than two times by the United States Supreme Court in precedent-setting the </w:t>
      </w:r>
      <w:r>
        <w:rPr>
          <w:i/>
        </w:rPr>
        <w:t xml:space="preserve">Daubert </w:t>
      </w:r>
      <w:r>
        <w:t>decisions before 2000.</w:t>
      </w:r>
      <w:r>
        <w:rPr>
          <w:vertAlign w:val="superscript"/>
        </w:rPr>
        <w:endnoteReference w:id="867"/>
      </w:r>
      <w:r>
        <w:t xml:space="preserve"> Meanwhile, the element of causation has been aptly described by the Georgia Court of Appeals as a "metaphysical thicket."</w:t>
      </w:r>
      <w:r>
        <w:rPr>
          <w:rStyle w:val="EndnoteReference"/>
        </w:rPr>
        <w:endnoteReference w:id="868"/>
      </w:r>
      <w:r>
        <w:t xml:space="preserve"> Causation has been universally maligned for its intricacies and subtleties "difficult of satisfactory application </w:t>
      </w:r>
      <w:r>
        <w:lastRenderedPageBreak/>
        <w:t>in the varied and practical affairs of life."</w:t>
      </w:r>
      <w:r>
        <w:rPr>
          <w:rStyle w:val="EndnoteReference"/>
        </w:rPr>
        <w:endnoteReference w:id="869"/>
      </w:r>
      <w:r>
        <w:t xml:space="preserve"> </w:t>
      </w:r>
    </w:p>
    <w:p>
      <w:pPr>
        <w:pStyle w:val="BodyTextFirstIndent"/>
      </w:pPr>
      <w:r>
        <w:t>Accordingly, an article discussing both topics might transform causation's metaphysical thicket into a metaphysical swamp of sorts. A major cause of confusion is that the "language appropriate to a discussion of one is carried over to cast a shadow upon the other."</w:t>
      </w:r>
      <w:r>
        <w:rPr>
          <w:rStyle w:val="EndnoteReference"/>
        </w:rPr>
        <w:endnoteReference w:id="870"/>
      </w:r>
      <w:r>
        <w:t xml:space="preserve"> Keeping legal terminology in its proper context is essential to understanding these concepts. For example, expert testimony that is "speculative" or "conjectural" for purposes of proving the element of proximate cause is not necessarily "speculative" or "conjectural"</w:t>
      </w:r>
      <w:r>
        <w:rPr>
          <w:rStyle w:val="EndnoteReference"/>
        </w:rPr>
        <w:endnoteReference w:id="871"/>
      </w:r>
      <w:r>
        <w:t xml:space="preserve">  under Rule 702(b).</w:t>
      </w:r>
      <w:r>
        <w:rPr>
          <w:rStyle w:val="EndnoteReference"/>
        </w:rPr>
        <w:endnoteReference w:id="872"/>
      </w:r>
      <w:r>
        <w:t xml:space="preserve"> Thus, the terminology used to describe these concepts must be read and interpreted in the context of the cases that use them. Otherwise, we run the risk of descending deep into the metaphysical swamp. </w:t>
      </w:r>
    </w:p>
    <w:p>
      <w:pPr>
        <w:pStyle w:val="BodyText"/>
        <w:ind w:left="720" w:hanging="720"/>
        <w:rPr>
          <w:b/>
        </w:rPr>
      </w:pPr>
      <w:r>
        <w:rPr>
          <w:b/>
        </w:rPr>
        <w:t>II.</w:t>
      </w:r>
      <w:r>
        <w:rPr>
          <w:b/>
        </w:rPr>
        <w:tab/>
        <w:t xml:space="preserve">Burden of Proof's Dual Meaning </w:t>
      </w:r>
    </w:p>
    <w:p>
      <w:pPr>
        <w:pStyle w:val="BodyTextFirstIndent"/>
      </w:pPr>
      <w:r>
        <w:t>Here is where things get confusing.  It is important to note that the term “burden of proof” has a dual meaning:</w:t>
      </w:r>
    </w:p>
    <w:p>
      <w:pPr>
        <w:pStyle w:val="BodyTextFirstIndent2"/>
        <w:ind w:left="720" w:right="720" w:firstLine="0"/>
        <w:jc w:val="both"/>
        <w:rPr>
          <w:sz w:val="24"/>
        </w:rPr>
      </w:pPr>
      <w:r>
        <w:rPr>
          <w:sz w:val="24"/>
        </w:rPr>
        <w:t xml:space="preserve">It has been stated that the term ‘burden of proof’ has a dual meaning. “First, the necessity of establishing the existence of a certain fact or set of facts by evidence which preponderates to a legally required extent . . . or second, the </w:t>
      </w:r>
      <w:r>
        <w:rPr>
          <w:sz w:val="24"/>
        </w:rPr>
        <w:lastRenderedPageBreak/>
        <w:t>necessity which rests on a party at any particular time during a trial to create a prima facie case in his own favor or to overthrow one when created against him.”</w:t>
      </w:r>
      <w:r>
        <w:rPr>
          <w:rStyle w:val="EndnoteReference"/>
          <w:sz w:val="24"/>
        </w:rPr>
        <w:endnoteReference w:id="873"/>
      </w:r>
      <w:r>
        <w:rPr>
          <w:sz w:val="24"/>
        </w:rPr>
        <w:t xml:space="preserve"> </w:t>
      </w:r>
    </w:p>
    <w:p>
      <w:pPr>
        <w:pStyle w:val="BodyText"/>
      </w:pPr>
      <w:r>
        <w:rPr>
          <w:i/>
        </w:rPr>
        <w:t>Green’s Georgia Law of Evidence</w:t>
      </w:r>
      <w:r>
        <w:t xml:space="preserve"> has more succinctly described the dual meaning as referring to (1) the burden of producing evidence and (2) the burden of persuasion of a fact.</w:t>
      </w:r>
      <w:r>
        <w:rPr>
          <w:rStyle w:val="EndnoteReference"/>
        </w:rPr>
        <w:endnoteReference w:id="874"/>
      </w:r>
      <w:r>
        <w:t xml:space="preserve"> At trial, the burden of persuasion never shifts.</w:t>
      </w:r>
      <w:r>
        <w:rPr>
          <w:rStyle w:val="EndnoteReference"/>
        </w:rPr>
        <w:endnoteReference w:id="875"/>
      </w:r>
      <w:r>
        <w:t xml:space="preserve"> The burden of persuasion specifies which party loses if the evidence presented is balanced.</w:t>
      </w:r>
      <w:r>
        <w:rPr>
          <w:rStyle w:val="EndnoteReference"/>
        </w:rPr>
        <w:endnoteReference w:id="876"/>
      </w:r>
      <w:r>
        <w:t xml:space="preserve"> The burden of production specifies which party must come forward with evidence at various stages in the litigation</w:t>
      </w:r>
      <w:r>
        <w:rPr>
          <w:rStyle w:val="EndnoteReference"/>
        </w:rPr>
        <w:endnoteReference w:id="877"/>
      </w:r>
      <w:r>
        <w:t xml:space="preserve"> and may shift multiple times in a civil trial.</w:t>
      </w:r>
      <w:r>
        <w:rPr>
          <w:rStyle w:val="EndnoteReference"/>
        </w:rPr>
        <w:endnoteReference w:id="878"/>
      </w:r>
      <w:r>
        <w:t xml:space="preserve"> Accordingly, the plaintiff bears the burden of producing evidence and the burden of persuasion with respect to all the elements of the plaintiff's case.</w:t>
      </w:r>
      <w:r>
        <w:rPr>
          <w:rStyle w:val="EndnoteReference"/>
        </w:rPr>
        <w:endnoteReference w:id="879"/>
      </w:r>
      <w:r>
        <w:t xml:space="preserve"> The defendant bears the burden of producing evidence and the burden of persuasion for affirmative defenses.</w:t>
      </w:r>
      <w:r>
        <w:rPr>
          <w:rStyle w:val="EndnoteReference"/>
        </w:rPr>
        <w:endnoteReference w:id="880"/>
      </w:r>
      <w:r>
        <w:t xml:space="preserve"> Understanding the dual meaning of the burden of proof is a key ingredient to understanding what is required of plaintiffs and defendants with respect to causation evidence and </w:t>
      </w:r>
      <w:r>
        <w:rPr>
          <w:i/>
        </w:rPr>
        <w:t>Daubert</w:t>
      </w:r>
      <w:r>
        <w:t xml:space="preserve"> requirements.</w:t>
      </w:r>
    </w:p>
    <w:p>
      <w:pPr>
        <w:pStyle w:val="BodyText"/>
        <w:ind w:left="720" w:hanging="720"/>
        <w:rPr>
          <w:b/>
        </w:rPr>
      </w:pPr>
      <w:r>
        <w:rPr>
          <w:b/>
        </w:rPr>
        <w:t>III.</w:t>
      </w:r>
      <w:r>
        <w:tab/>
      </w:r>
      <w:r>
        <w:rPr>
          <w:b/>
        </w:rPr>
        <w:t xml:space="preserve">The Plaintiff’s Burden to Prove Medical Causation </w:t>
      </w:r>
    </w:p>
    <w:p>
      <w:pPr>
        <w:pStyle w:val="BodyTextFirstIndent"/>
      </w:pPr>
      <w:r>
        <w:t xml:space="preserve">As with ordinary negligence, a plaintiff cannot recover for medical malpractice unless the </w:t>
      </w:r>
      <w:r>
        <w:lastRenderedPageBreak/>
        <w:t>plaintiff establishes by a preponderance of the evidence that the alleged malpractice proximately caused or contributed to plaintiff's injury.</w:t>
      </w:r>
      <w:r>
        <w:rPr>
          <w:rStyle w:val="EndnoteReference"/>
        </w:rPr>
        <w:endnoteReference w:id="881"/>
      </w:r>
      <w:r>
        <w:t xml:space="preserve">  Preponderance of the evidence is the standard of proof.</w:t>
      </w:r>
      <w:r>
        <w:rPr>
          <w:rStyle w:val="EndnoteReference"/>
        </w:rPr>
        <w:endnoteReference w:id="882"/>
      </w:r>
      <w:r>
        <w:t xml:space="preserve"> The plaintiff bears the burden of production and the burden of persuasion with respect to causation. In order to show the defendant's negligence was the proximate cause of the plaintiff's injury, the plaintiff must present expert medical testimony demonstrating that the defendant’s negligence caused the plaintiff’s injury to a reasonable medical probability or reasonable medical certainty.</w:t>
      </w:r>
      <w:r>
        <w:rPr>
          <w:rStyle w:val="EndnoteReference"/>
        </w:rPr>
        <w:endnoteReference w:id="883"/>
      </w:r>
      <w:r>
        <w:t xml:space="preserve"> For purposes of proving medical causation, when expert testimony is not stated to a reasonable degree of medical certainty, then it is considered to be speculative and does not meet the required standard of proof (preponderance of the evidence).</w:t>
      </w:r>
      <w:r>
        <w:rPr>
          <w:rStyle w:val="EndnoteReference"/>
        </w:rPr>
        <w:endnoteReference w:id="884"/>
      </w:r>
      <w:r>
        <w:t xml:space="preserve">  However, “[c]ausation may be established by linking the testimony of several different experts.”</w:t>
      </w:r>
      <w:r>
        <w:rPr>
          <w:rStyle w:val="EndnoteReference"/>
        </w:rPr>
        <w:endnoteReference w:id="885"/>
      </w:r>
      <w:r>
        <w:t xml:space="preserve"> When a plaintiff fails to present competent expert testimony on causation, then the plaintiff’s claim is subject to summary judgment</w:t>
      </w:r>
      <w:r>
        <w:rPr>
          <w:rStyle w:val="EndnoteReference"/>
        </w:rPr>
        <w:endnoteReference w:id="886"/>
      </w:r>
      <w:r>
        <w:t xml:space="preserve"> or directed verdict.</w:t>
      </w:r>
      <w:r>
        <w:rPr>
          <w:rStyle w:val="EndnoteReference"/>
        </w:rPr>
        <w:endnoteReference w:id="887"/>
      </w:r>
      <w:r>
        <w:t xml:space="preserve"> Thus, the medical causation standard is a sufficiency of the evidence standard. It provides a baseline of the quantum of evidence that must be present in order to meet the standard of proof and enable the plaintiff’s case to go to the jury.</w:t>
      </w:r>
    </w:p>
    <w:p>
      <w:pPr>
        <w:pStyle w:val="BodyText"/>
        <w:ind w:left="720" w:hanging="720"/>
        <w:rPr>
          <w:b/>
        </w:rPr>
      </w:pPr>
      <w:r>
        <w:rPr>
          <w:b/>
        </w:rPr>
        <w:lastRenderedPageBreak/>
        <w:t>IV.</w:t>
      </w:r>
      <w:r>
        <w:rPr>
          <w:b/>
        </w:rPr>
        <w:tab/>
        <w:t xml:space="preserve">The Defendant’s Burden to Prove an Alternative Theory of Causation Stated as an Affirmative Defense </w:t>
      </w:r>
    </w:p>
    <w:p>
      <w:pPr>
        <w:pStyle w:val="BodyTextFirstIndent"/>
      </w:pPr>
      <w:r>
        <w:t>The natural reaction from defense attorneys is that their clients never have the burden of persuasion with respect to causation.</w:t>
      </w:r>
      <w:r>
        <w:rPr>
          <w:rStyle w:val="EndnoteReference"/>
        </w:rPr>
        <w:endnoteReference w:id="888"/>
      </w:r>
      <w:r>
        <w:t xml:space="preserve"> While this is mostly a true statement, a defendant does have the burden of production and persuasion regarding an alternative theory of causation when it is pleaded as an affirmative defense.</w:t>
      </w:r>
      <w:r>
        <w:rPr>
          <w:rStyle w:val="EndnoteReference"/>
        </w:rPr>
        <w:endnoteReference w:id="889"/>
      </w:r>
      <w:r>
        <w:t xml:space="preserve"> This is because “[i]f a negation or negative affirmation is essential to a party's case or defense, the proof of such negation or negative affirmation shall lie on the party so affirming it.”</w:t>
      </w:r>
      <w:r>
        <w:rPr>
          <w:rStyle w:val="EndnoteReference"/>
        </w:rPr>
        <w:endnoteReference w:id="890"/>
      </w:r>
      <w:r>
        <w:t xml:space="preserve"> An affirmative defense "attacks the plaintiff's legal right to bring an action"</w:t>
      </w:r>
      <w:r>
        <w:rPr>
          <w:rStyle w:val="EndnoteReference"/>
        </w:rPr>
        <w:endnoteReference w:id="891"/>
      </w:r>
      <w:r>
        <w:t xml:space="preserve"> and "admits the doing of the act charged but seeks to justify, excuse, or mitigate it."</w:t>
      </w:r>
      <w:r>
        <w:rPr>
          <w:rStyle w:val="EndnoteReference"/>
        </w:rPr>
        <w:endnoteReference w:id="892"/>
      </w:r>
      <w:r>
        <w:t xml:space="preserve"> Here, an alternative theory of causation only becomes an affirmative defense “when [the defendant] admits the essential elements of a complaint against him and sets up other facts in justification or avoidance.”</w:t>
      </w:r>
      <w:r>
        <w:rPr>
          <w:vertAlign w:val="superscript"/>
        </w:rPr>
        <w:endnoteReference w:id="893"/>
      </w:r>
      <w:r>
        <w:t xml:space="preserve"> Thus, when a theory of alternative causation is presented as an affirmative defense, the defendant bears the burden of production and persuasion regarding the existence of the alternative cause.</w:t>
      </w:r>
      <w:r>
        <w:rPr>
          <w:rStyle w:val="EndnoteReference"/>
        </w:rPr>
        <w:endnoteReference w:id="894"/>
      </w:r>
      <w:r>
        <w:t xml:space="preserve">  </w:t>
      </w:r>
    </w:p>
    <w:p>
      <w:pPr>
        <w:pStyle w:val="BodyTextFirstIndent"/>
      </w:pPr>
      <w:r>
        <w:t xml:space="preserve">If the defendant has the burden of proving an alternative theory of causation, then the question is whether the alternative cause must be proven by expert </w:t>
      </w:r>
      <w:r>
        <w:lastRenderedPageBreak/>
        <w:t>testimony to a reasonable degree of medical certainty. Although there is no Georgia case law that expressly addresses this issue, cases from other jurisdictions dictate that the defendant who presents an alternative theory of causation has the burden of proving it to a reasonable degree of medical certainty.</w:t>
      </w:r>
      <w:r>
        <w:rPr>
          <w:rStyle w:val="EndnoteReference"/>
        </w:rPr>
        <w:endnoteReference w:id="895"/>
      </w:r>
      <w:r>
        <w:t xml:space="preserve"> This is consistent with the Georgia cases that expressly state that a plaintiff bears the burden of proving medical causation to a reasonable degree of medical certainty.</w:t>
      </w:r>
      <w:r>
        <w:rPr>
          <w:rStyle w:val="EndnoteReference"/>
        </w:rPr>
        <w:endnoteReference w:id="896"/>
      </w:r>
      <w:r>
        <w:t xml:space="preserve"> It makes sense that in those limited instances, where a defendant bears the burden of persuasion as to the issue of medical causation, that the burden can only be met through the presentation of expert testimony to a reasonable degree of medical certainty.</w:t>
      </w:r>
      <w:r>
        <w:rPr>
          <w:rStyle w:val="EndnoteReference"/>
        </w:rPr>
        <w:endnoteReference w:id="897"/>
      </w:r>
      <w:r>
        <w:t xml:space="preserve"> </w:t>
      </w:r>
    </w:p>
    <w:p>
      <w:pPr>
        <w:pStyle w:val="BodyTextFirstIndent"/>
      </w:pPr>
      <w:r>
        <w:t>However, an alternative theory of causation stated as an affirmative defense should not be confused with alternate causation evidence submitted in rebuttal of the plaintiff's case or introduced during the cross-examination of the plaintiff's experts.</w:t>
      </w:r>
    </w:p>
    <w:p>
      <w:pPr>
        <w:pStyle w:val="BodyText"/>
        <w:ind w:left="720" w:hanging="720"/>
        <w:rPr>
          <w:b/>
        </w:rPr>
      </w:pPr>
      <w:r>
        <w:rPr>
          <w:b/>
        </w:rPr>
        <w:t>V.</w:t>
      </w:r>
      <w:r>
        <w:rPr>
          <w:b/>
        </w:rPr>
        <w:tab/>
        <w:t xml:space="preserve">The Defendant Does Not Bear the Burden of Proving Alternative Cause Evidence Presented in Rebuttal or During Cross-Examination </w:t>
      </w:r>
    </w:p>
    <w:p>
      <w:pPr>
        <w:pStyle w:val="BodyTextFirstIndent"/>
      </w:pPr>
      <w:r>
        <w:t xml:space="preserve">As previously discussed, the plaintiff bears the burden of persuasion and the burden of production with respect to causation. Although the burden of </w:t>
      </w:r>
      <w:r>
        <w:lastRenderedPageBreak/>
        <w:t xml:space="preserve">production can shift to the defendant, the burden of persuasion never shifts to the defendant.  Accordingly, the defendant does not bear the burden of persuasion regarding alternative causation evidence that is presented in rebuttal of the plaintiff’s </w:t>
      </w:r>
      <w:r>
        <w:rPr>
          <w:i/>
        </w:rPr>
        <w:t>prima facie</w:t>
      </w:r>
      <w:r>
        <w:t xml:space="preserve"> case.</w:t>
      </w:r>
      <w:r>
        <w:rPr>
          <w:rStyle w:val="EndnoteReference"/>
        </w:rPr>
        <w:endnoteReference w:id="898"/>
      </w:r>
    </w:p>
    <w:p>
      <w:pPr>
        <w:pStyle w:val="BodyTextFirstIndent"/>
      </w:pPr>
      <w:r>
        <w:t xml:space="preserve">In </w:t>
      </w:r>
      <w:r>
        <w:rPr>
          <w:i/>
        </w:rPr>
        <w:t>Evans v. DeKalb Hospital Authority</w:t>
      </w:r>
      <w:r>
        <w:t>, the plaintiff argued that the trial court was required to charge the jury that the defendant had the burden of persuasion on the question of whether a patient died of epiglottis or a drug reaction—alternative causes proposed by the defendant’s expert witnesses. The court of appeals held that when the “[plaintiff] introduced evidence to the effect that the cause of death was suppurative tonsillitis . . . . [t]he burden then shifted to the defendant to introduce such evidence as would rebut the plaintiff’s contention as to the cause of death. Defendants met this burden by offering testimony to the effect that the cause of death could have been epiglottitis or a drug reaction."</w:t>
      </w:r>
      <w:r>
        <w:rPr>
          <w:rStyle w:val="EndnoteReference"/>
        </w:rPr>
        <w:endnoteReference w:id="899"/>
      </w:r>
      <w:r>
        <w:t xml:space="preserve"> However, the introduction of the defense expert testimony did not constitute an affirmative defense and apparently was not pled as such.</w:t>
      </w:r>
      <w:r>
        <w:rPr>
          <w:rStyle w:val="EndnoteReference"/>
        </w:rPr>
        <w:endnoteReference w:id="900"/>
      </w:r>
      <w:r>
        <w:t xml:space="preserve"> Therefore, the defendant did not have the burden of persuasion regarding the alternative causes, and the trial court properly instructed the jury.</w:t>
      </w:r>
      <w:r>
        <w:rPr>
          <w:rStyle w:val="EndnoteReference"/>
        </w:rPr>
        <w:endnoteReference w:id="901"/>
      </w:r>
    </w:p>
    <w:p>
      <w:pPr>
        <w:pStyle w:val="BodyTextFirstIndent"/>
      </w:pPr>
      <w:r>
        <w:t xml:space="preserve">Similarly, in </w:t>
      </w:r>
      <w:r>
        <w:rPr>
          <w:i/>
        </w:rPr>
        <w:t>Hick v. Maudlin</w:t>
      </w:r>
      <w:r>
        <w:rPr>
          <w:rStyle w:val="EndnoteReference"/>
          <w:i/>
        </w:rPr>
        <w:endnoteReference w:id="902"/>
      </w:r>
      <w:r>
        <w:t xml:space="preserve">, a defendant physician was entitled to </w:t>
      </w:r>
      <w:r>
        <w:rPr>
          <w:i/>
        </w:rPr>
        <w:t>attempt</w:t>
      </w:r>
      <w:r>
        <w:t xml:space="preserve"> to prove that a child died from sudden </w:t>
      </w:r>
      <w:r>
        <w:lastRenderedPageBreak/>
        <w:t>infant death syndrome (“SIDS”) instead of the defendant’s treatment.  The court of appeals held that it was not error for the trial court to permit evidence that the siblings of a SIDS child have an increased risk to SIDS.</w:t>
      </w:r>
      <w:r>
        <w:rPr>
          <w:rStyle w:val="EndnoteReference"/>
        </w:rPr>
        <w:endnoteReference w:id="903"/>
      </w:r>
      <w:r>
        <w:t xml:space="preserve"> Thus, slight evidence of an alternative cause is relevant because it logically tends to disprove or discredit the plaintiff’s evidence that the defendant’s negligence caused the plaintiff’s injury.</w:t>
      </w:r>
      <w:r>
        <w:rPr>
          <w:rStyle w:val="EndnoteReference"/>
        </w:rPr>
        <w:endnoteReference w:id="904"/>
      </w:r>
      <w:r>
        <w:t xml:space="preserve"> </w:t>
      </w:r>
    </w:p>
    <w:p>
      <w:pPr>
        <w:pStyle w:val="BodyTextFirstIndent"/>
      </w:pPr>
      <w:r>
        <w:t xml:space="preserve">The holdings of </w:t>
      </w:r>
      <w:r>
        <w:rPr>
          <w:i/>
        </w:rPr>
        <w:t>Evans</w:t>
      </w:r>
      <w:r>
        <w:t xml:space="preserve"> and </w:t>
      </w:r>
      <w:r>
        <w:rPr>
          <w:i/>
        </w:rPr>
        <w:t>Maudlin</w:t>
      </w:r>
      <w:r>
        <w:t xml:space="preserve"> are consistent with the majority rule in the United States on this issue.</w:t>
      </w:r>
    </w:p>
    <w:p>
      <w:pPr>
        <w:pStyle w:val="BodyText"/>
        <w:ind w:left="720" w:hanging="720"/>
        <w:rPr>
          <w:b/>
        </w:rPr>
      </w:pPr>
      <w:r>
        <w:rPr>
          <w:b/>
        </w:rPr>
        <w:t>VI.</w:t>
      </w:r>
      <w:r>
        <w:rPr>
          <w:b/>
        </w:rPr>
        <w:tab/>
        <w:t xml:space="preserve">The Majority Rule is that a Defendant Does Not Bear the Burden of Proving Alternative Causation Evidence offered in Rebuttal </w:t>
      </w:r>
    </w:p>
    <w:p>
      <w:pPr>
        <w:pStyle w:val="BodyTextFirstIndent"/>
      </w:pPr>
      <w:r>
        <w:t xml:space="preserve">The majority rule in the United States is that alternative causation evidence offered in rebuttal of the plaintiff’s </w:t>
      </w:r>
      <w:r>
        <w:rPr>
          <w:i/>
        </w:rPr>
        <w:t xml:space="preserve">prima facie </w:t>
      </w:r>
      <w:r>
        <w:t>case does not require expert proof to a reasonable degree of medical certainty.</w:t>
      </w:r>
      <w:r>
        <w:rPr>
          <w:rStyle w:val="EndnoteReference"/>
        </w:rPr>
        <w:endnoteReference w:id="905"/>
      </w:r>
      <w:r>
        <w:t xml:space="preserve"> The rationale is that requiring the defendant to prove alternative causation evidence by a reasonable degree of medical certainty when it is offered in rebuttal of a plaintiff’s case would impermissibly shift the burden of proof (persuasion). As the First Circuit Court of Appeals noted” </w:t>
      </w:r>
    </w:p>
    <w:p>
      <w:pPr>
        <w:pStyle w:val="BodyText"/>
        <w:ind w:left="720" w:right="720"/>
      </w:pPr>
      <w:r>
        <w:t xml:space="preserve">To fashion such a rule would unduly tie a defendant's hands in rebutting a plaintiff's </w:t>
      </w:r>
      <w:r>
        <w:lastRenderedPageBreak/>
        <w:t>case, whereas here, plaintiff's expert testifies that no other cause could have caused plaintiff's injury. The burden would then shift and defendant would then bear the burden of positively proving that another specific cause, not the negligence established by plaintiff's expert, caused the injury. Certainly, this is much more than what should be required of a defendant in rebutting a plaintiff's evidence.</w:t>
      </w:r>
      <w:r>
        <w:rPr>
          <w:rStyle w:val="EndnoteReference"/>
        </w:rPr>
        <w:endnoteReference w:id="906"/>
      </w:r>
    </w:p>
    <w:p>
      <w:pPr>
        <w:pStyle w:val="BodyTextFirstIndent"/>
      </w:pPr>
      <w:r>
        <w:t>Stated another way, “defendants are not required to ‘disprove’ causation. Instead, they must only produce ‘credible evidence which tends to discredit or rebut the plaintiff's evidence’ so as to ‘convince the trier of fact that the alleged negligence was not the legal cause of the injury.’”</w:t>
      </w:r>
      <w:r>
        <w:rPr>
          <w:rStyle w:val="EndnoteReference"/>
        </w:rPr>
        <w:endnoteReference w:id="907"/>
      </w:r>
      <w:r>
        <w:t xml:space="preserve"> Thus, "defendants in medical malpractice actions may introduce expert witness testimony to rebut a plaintiff's expert witness testimony couched in terms of ‘reasonable medical probability,’ even though the defendant's expert witness's testimony is couched only in terms of ‘possibility.’”</w:t>
      </w:r>
      <w:r>
        <w:rPr>
          <w:rStyle w:val="EndnoteReference"/>
        </w:rPr>
        <w:endnoteReference w:id="908"/>
      </w:r>
      <w:r>
        <w:t xml:space="preserve">  </w:t>
      </w:r>
    </w:p>
    <w:p>
      <w:pPr>
        <w:pStyle w:val="BodyTextFirstIndent"/>
      </w:pPr>
      <w:r>
        <w:t xml:space="preserve">Under the same rationale, a defendant would also be permitted to cross-examine a plaintiff’s expert witnesses on alternative possible causes that have not been stated to </w:t>
      </w:r>
      <w:r>
        <w:lastRenderedPageBreak/>
        <w:t>a reasonable degree of medical certainty or probability.</w:t>
      </w:r>
      <w:r>
        <w:rPr>
          <w:rStyle w:val="EndnoteReference"/>
        </w:rPr>
        <w:endnoteReference w:id="909"/>
      </w:r>
      <w:r>
        <w:t xml:space="preserve"> This is because the purpose of presenting the alternative cause evidence is to discredit the expert witness by showing that they did not consider alternative cause in reaching their opinion.</w:t>
      </w:r>
      <w:r>
        <w:rPr>
          <w:rStyle w:val="EndnoteReference"/>
        </w:rPr>
        <w:endnoteReference w:id="910"/>
      </w:r>
      <w:r>
        <w:t xml:space="preserve"> </w:t>
      </w:r>
    </w:p>
    <w:p>
      <w:pPr>
        <w:pStyle w:val="BodyTextFirstIndent"/>
      </w:pPr>
      <w:r>
        <w:t xml:space="preserve">In sum, the defendant bears the burden of persuasion regarding an alternative theory of causation that is pleaded as an affirmative defense. However, a defendant presenting alternative cause evidence in rebuttal of the plaintiff’s case or during the cross-examination of the plaintiff’s expert does not bear the burden of persuasion and is not required to prove the alternative cause evidence to a reasonable degree of medical certainty. That being said, all expert testimony is subject to a challenge under </w:t>
      </w:r>
      <w:r>
        <w:rPr>
          <w:i/>
        </w:rPr>
        <w:t>Daubert</w:t>
      </w:r>
      <w:r>
        <w:t xml:space="preserve"> and O.C.G.A. § 24-7-702(b). </w:t>
      </w:r>
    </w:p>
    <w:p>
      <w:pPr>
        <w:pStyle w:val="BodyText"/>
        <w:keepNext/>
        <w:keepLines/>
        <w:ind w:left="720" w:hanging="720"/>
        <w:rPr>
          <w:b/>
        </w:rPr>
      </w:pPr>
      <w:r>
        <w:rPr>
          <w:b/>
        </w:rPr>
        <w:t>VII.</w:t>
      </w:r>
      <w:r>
        <w:rPr>
          <w:b/>
        </w:rPr>
        <w:tab/>
        <w:t xml:space="preserve">The Proponent of Expert Testimony Bears the Burden of Proving Reliability by Preponderance of the Evidence </w:t>
      </w:r>
    </w:p>
    <w:p>
      <w:pPr>
        <w:pStyle w:val="BodyTextFirstIndent"/>
      </w:pPr>
      <w:r>
        <w:t>Regardless of whether the proponent of expert testimony is a plaintiff or a defendant, the proponent bears the burden of proving that expert testimony complies with O.C.G.A. § 24-7-702(b) (2013).</w:t>
      </w:r>
      <w:r>
        <w:rPr>
          <w:rStyle w:val="EndnoteReference"/>
          <w:rFonts w:ascii="Century Schoolbook" w:hAnsi="Century Schoolbook"/>
        </w:rPr>
        <w:endnoteReference w:id="911"/>
      </w:r>
      <w:r>
        <w:t xml:space="preserve"> Under </w:t>
      </w:r>
      <w:r>
        <w:rPr>
          <w:i/>
        </w:rPr>
        <w:t xml:space="preserve">Daubert </w:t>
      </w:r>
      <w:r>
        <w:t>and Rule 702, expert testimony is only admissible if it is both (1) relevant and (2) reliable.</w:t>
      </w:r>
      <w:r>
        <w:rPr>
          <w:rStyle w:val="EndnoteReference"/>
          <w:rFonts w:ascii="Century Schoolbook" w:hAnsi="Century Schoolbook"/>
        </w:rPr>
        <w:endnoteReference w:id="912"/>
      </w:r>
      <w:r>
        <w:t xml:space="preserve"> The proponent has the burden of proving the relevance and reliability of expert </w:t>
      </w:r>
      <w:r>
        <w:lastRenderedPageBreak/>
        <w:t>testimony by a preponderance of the evidence.</w:t>
      </w:r>
      <w:r>
        <w:rPr>
          <w:rStyle w:val="EndnoteReference"/>
          <w:rFonts w:ascii="Century Schoolbook" w:hAnsi="Century Schoolbook"/>
        </w:rPr>
        <w:endnoteReference w:id="913"/>
      </w:r>
      <w:r>
        <w:t xml:space="preserve"> Even so, the practitioner should bear in mind that the exclusion of expert testimony has been held to be the exception rather than the rule.</w:t>
      </w:r>
      <w:r>
        <w:rPr>
          <w:rStyle w:val="EndnoteReference"/>
          <w:rFonts w:ascii="Century Schoolbook" w:hAnsi="Century Schoolbook"/>
        </w:rPr>
        <w:endnoteReference w:id="914"/>
      </w:r>
      <w:r>
        <w:t xml:space="preserve"> In particular, Georgia courts have noted that “[s]uch exclusion is rarely justified in cases involving medical experts.”</w:t>
      </w:r>
      <w:r>
        <w:rPr>
          <w:rStyle w:val="EndnoteReference"/>
          <w:rFonts w:ascii="Century Schoolbook" w:hAnsi="Century Schoolbook"/>
        </w:rPr>
        <w:endnoteReference w:id="915"/>
      </w:r>
      <w:r>
        <w:t xml:space="preserve"> Instead, the trial court’s role is that of a gatekeeper, ensure that the courthouse doors remain closed to junk science.</w:t>
      </w:r>
      <w:r>
        <w:rPr>
          <w:rStyle w:val="EndnoteReference"/>
          <w:rFonts w:ascii="Century Schoolbook" w:hAnsi="Century Schoolbook"/>
        </w:rPr>
        <w:endnoteReference w:id="916"/>
      </w:r>
    </w:p>
    <w:p>
      <w:pPr>
        <w:pStyle w:val="BodyText"/>
        <w:ind w:left="720" w:hanging="720"/>
        <w:rPr>
          <w:b/>
        </w:rPr>
      </w:pPr>
      <w:r>
        <w:rPr>
          <w:b/>
        </w:rPr>
        <w:t>VIII.</w:t>
      </w:r>
      <w:r>
        <w:rPr>
          <w:b/>
        </w:rPr>
        <w:tab/>
        <w:t>The Reliability Component of Daubert and Rule 702</w:t>
      </w:r>
    </w:p>
    <w:p>
      <w:pPr>
        <w:pStyle w:val="BodyTextFirstIndent"/>
      </w:pPr>
      <w:r>
        <w:t xml:space="preserve">As with other state and federal courts that have interpreted the </w:t>
      </w:r>
      <w:r>
        <w:rPr>
          <w:i/>
        </w:rPr>
        <w:t xml:space="preserve">Daubert </w:t>
      </w:r>
      <w:r>
        <w:t>decisions, the Georgia Supreme Court held that</w:t>
      </w:r>
    </w:p>
    <w:p>
      <w:pPr>
        <w:pStyle w:val="BodyText"/>
        <w:ind w:left="720" w:right="720"/>
      </w:pPr>
      <w:r>
        <w:t>Reliability is examined through consideration of many factors, including whether a theory or technique can be tested, whether it has been subjected to peer review and publication, the known or potential rate of error for the theory or technique, the general degree of acceptance in the relevant scientific or professional community, and the expert's range of experience and training.</w:t>
      </w:r>
      <w:r>
        <w:rPr>
          <w:rStyle w:val="EndnoteReference"/>
          <w:rFonts w:ascii="Century Schoolbook" w:hAnsi="Century Schoolbook"/>
        </w:rPr>
        <w:endnoteReference w:id="917"/>
      </w:r>
    </w:p>
    <w:p>
      <w:pPr>
        <w:pStyle w:val="BodyText"/>
      </w:pPr>
      <w:r>
        <w:lastRenderedPageBreak/>
        <w:t>Thus, the touchstone of reliability is the methodology employed by the expert in reaching his conclusions.</w:t>
      </w:r>
      <w:r>
        <w:rPr>
          <w:rStyle w:val="EndnoteReference"/>
          <w:rFonts w:ascii="Century Schoolbook" w:hAnsi="Century Schoolbook"/>
        </w:rPr>
        <w:endnoteReference w:id="918"/>
      </w:r>
      <w:r>
        <w:t xml:space="preserve"> And “[i]n testing for reliability, the Court must examine the methodology supporting each expert's opinion step-by-step. If the chain of reliability is broken at one step, then the Court should not admit the expert's opinions based on the faulty methodology.”</w:t>
      </w:r>
      <w:r>
        <w:rPr>
          <w:rStyle w:val="EndnoteReference"/>
          <w:rFonts w:ascii="Century Schoolbook" w:hAnsi="Century Schoolbook"/>
        </w:rPr>
        <w:endnoteReference w:id="919"/>
      </w:r>
      <w:r>
        <w:t xml:space="preserve"> </w:t>
      </w:r>
    </w:p>
    <w:p>
      <w:pPr>
        <w:pStyle w:val="BodyTextFirstIndent"/>
      </w:pPr>
      <w:r>
        <w:t>As noted above, the proponent of expert testimony has the burden of demonstrating that the expert opinion is reliable and relevant. This is true even when a defendant offers an expert causation opinion in rebuttal of the plaintiff's causation experts.</w:t>
      </w:r>
      <w:r>
        <w:rPr>
          <w:rStyle w:val="EndnoteReference"/>
          <w:rFonts w:ascii="Century Schoolbook" w:hAnsi="Century Schoolbook"/>
        </w:rPr>
        <w:endnoteReference w:id="920"/>
      </w:r>
      <w:r>
        <w:t xml:space="preserve"> </w:t>
      </w:r>
    </w:p>
    <w:p>
      <w:pPr>
        <w:pStyle w:val="BodyText"/>
        <w:ind w:left="720" w:hanging="720"/>
        <w:rPr>
          <w:b/>
        </w:rPr>
      </w:pPr>
      <w:r>
        <w:rPr>
          <w:b/>
        </w:rPr>
        <w:t>IX.</w:t>
      </w:r>
      <w:r>
        <w:rPr>
          <w:b/>
        </w:rPr>
        <w:tab/>
        <w:t xml:space="preserve">The Relevance Component of Daubert and Rule 702 </w:t>
      </w:r>
    </w:p>
    <w:p>
      <w:pPr>
        <w:pStyle w:val="BodyTextFirstIndent"/>
      </w:pPr>
      <w:r>
        <w:t xml:space="preserve">The relevance component of </w:t>
      </w:r>
      <w:r>
        <w:rPr>
          <w:i/>
        </w:rPr>
        <w:t xml:space="preserve">Daubert </w:t>
      </w:r>
      <w:r>
        <w:t>has been written about less frequently than the reliability component.  O.C.G.A. § 24-7-702(b) (2013) requires expert testimony to assist the trier of fact in understanding the evidence. As a result, "Determining the admissibility of expert testimony includes an evaluation of whether ‘the testimony assists the trier of fact . . . to understand the evidence or to determine a fact in issue.”’</w:t>
      </w:r>
      <w:r>
        <w:rPr>
          <w:rStyle w:val="EndnoteReference"/>
          <w:rFonts w:ascii="Century Schoolbook" w:hAnsi="Century Schoolbook"/>
        </w:rPr>
        <w:endnoteReference w:id="921"/>
      </w:r>
      <w:r>
        <w:t xml:space="preserve"> In </w:t>
      </w:r>
      <w:r>
        <w:rPr>
          <w:i/>
        </w:rPr>
        <w:t>Daubert</w:t>
      </w:r>
      <w:r>
        <w:t>, the United States Supreme Court referred to the relevance component as "fit."</w:t>
      </w:r>
      <w:r>
        <w:rPr>
          <w:rStyle w:val="EndnoteReference"/>
          <w:rFonts w:ascii="Century Schoolbook" w:hAnsi="Century Schoolbook"/>
        </w:rPr>
        <w:endnoteReference w:id="922"/>
      </w:r>
      <w:r>
        <w:t xml:space="preserve"> The Eleventh Circuit has explained "[t]he relationship must be an appropriate 'fit' with respect to the offered opinion and the facts of the case . . . there is no fit where a </w:t>
      </w:r>
      <w:r>
        <w:lastRenderedPageBreak/>
        <w:t>large analytical leap must be made between the facts and the opinion."</w:t>
      </w:r>
      <w:r>
        <w:rPr>
          <w:rStyle w:val="EndnoteReference"/>
          <w:rFonts w:ascii="Century Schoolbook" w:hAnsi="Century Schoolbook"/>
        </w:rPr>
        <w:endnoteReference w:id="923"/>
      </w:r>
      <w:r>
        <w:t xml:space="preserve"> Thus, expert testimony regarding the phases of the moon may be relevant (or "fit") for a determination of whether a certain night was dark, but not for determining whether an individual was predisposed to behaving irrationally.</w:t>
      </w:r>
      <w:r>
        <w:rPr>
          <w:rStyle w:val="EndnoteReference"/>
          <w:rFonts w:ascii="Century Schoolbook" w:hAnsi="Century Schoolbook"/>
        </w:rPr>
        <w:endnoteReference w:id="924"/>
      </w:r>
      <w:r>
        <w:t xml:space="preserve"> </w:t>
      </w:r>
    </w:p>
    <w:p>
      <w:pPr>
        <w:pStyle w:val="BodyTextFirstIndent"/>
      </w:pPr>
      <w:r>
        <w:t xml:space="preserve">The </w:t>
      </w:r>
      <w:r>
        <w:rPr>
          <w:i/>
        </w:rPr>
        <w:t>Daubert</w:t>
      </w:r>
      <w:r>
        <w:t xml:space="preserve"> relevance component is where one might attempt to argue that expert testimony that is not stated to a reasonable degree of medical certainty will not assist the trier of fact and is not relevant.</w:t>
      </w:r>
      <w:r>
        <w:rPr>
          <w:rStyle w:val="EndnoteReference"/>
          <w:rFonts w:ascii="Century Schoolbook" w:hAnsi="Century Schoolbook"/>
        </w:rPr>
        <w:endnoteReference w:id="925"/>
      </w:r>
      <w:r>
        <w:t xml:space="preserve"> This is because many jurisdictions, including Georgia, have indicated that expert testimony on causation that is not stated to a reasonable degree of medical certainty is speculative.</w:t>
      </w:r>
      <w:r>
        <w:rPr>
          <w:rStyle w:val="EndnoteReference"/>
          <w:rFonts w:ascii="Century Schoolbook" w:hAnsi="Century Schoolbook"/>
        </w:rPr>
        <w:endnoteReference w:id="926"/>
      </w:r>
      <w:r>
        <w:t xml:space="preserve"> For example, a plaintiff's expert's testimony was found to be unhelpful and irrelevant under Fed. R. Evid. 702 in a products liability action because the expert could not state to reasonable degree of medical certainty that implantation screws caused injuries.</w:t>
      </w:r>
      <w:r>
        <w:rPr>
          <w:rStyle w:val="EndnoteReference"/>
          <w:rFonts w:ascii="Century Schoolbook" w:hAnsi="Century Schoolbook"/>
        </w:rPr>
        <w:endnoteReference w:id="927"/>
      </w:r>
      <w:r>
        <w:t xml:space="preserve"> </w:t>
      </w:r>
    </w:p>
    <w:p>
      <w:pPr>
        <w:pStyle w:val="BodyTextFirstIndent"/>
      </w:pPr>
      <w:r>
        <w:t>For a plaintiff's expert failing to state a causation opinion to a reasonable degree of medical certainty, exclusion under Rule Fed. R. Evid 702's relevance standard makes some sense because the plaintiff's burden of persuasion as to causation ultimately requires proof to a reasonable degree of medical certainty.</w:t>
      </w:r>
      <w:r>
        <w:rPr>
          <w:rStyle w:val="EndnoteReference"/>
          <w:rFonts w:ascii="Century Schoolbook" w:hAnsi="Century Schoolbook"/>
        </w:rPr>
        <w:endnoteReference w:id="928"/>
      </w:r>
      <w:r>
        <w:t xml:space="preserve"> As to defendants, however, who normally do not bear the burden of persuasion on </w:t>
      </w:r>
      <w:r>
        <w:lastRenderedPageBreak/>
        <w:t>causation, the exclusion of expert testimony under Fed. R. Evid. 702's relevance standard because the alternative cause cannot be stated to a reasonable degree of medical certainty would seem to impermissibly shift the burden of proof to the defendant.</w:t>
      </w:r>
      <w:r>
        <w:rPr>
          <w:rStyle w:val="EndnoteReference"/>
          <w:rFonts w:ascii="Century Schoolbook" w:hAnsi="Century Schoolbook"/>
        </w:rPr>
        <w:endnoteReference w:id="929"/>
      </w:r>
      <w:r>
        <w:t xml:space="preserve"> </w:t>
      </w:r>
    </w:p>
    <w:p>
      <w:pPr>
        <w:pStyle w:val="BodyTextFirstIndent"/>
      </w:pPr>
      <w:r>
        <w:t>To some extent, the tension between Fed. R. of Evid. 702's relevance component and the medical causation standards is due to the conflation of the concept of admissibility with the concept of sufficiency of the evidence.</w:t>
      </w:r>
    </w:p>
    <w:p>
      <w:pPr>
        <w:pStyle w:val="BodyText"/>
        <w:ind w:left="720" w:hanging="720"/>
        <w:rPr>
          <w:b/>
        </w:rPr>
      </w:pPr>
      <w:r>
        <w:rPr>
          <w:b/>
        </w:rPr>
        <w:t>X.</w:t>
      </w:r>
      <w:r>
        <w:rPr>
          <w:b/>
        </w:rPr>
        <w:tab/>
        <w:t>Federal Rule of Evidence 702(b) is an Admissibility Rule, Whereas the Medical Causation Standard is a Rule of Sufficiency</w:t>
      </w:r>
    </w:p>
    <w:p>
      <w:pPr>
        <w:pStyle w:val="BodyTextFirstIndent"/>
      </w:pPr>
      <w:r>
        <w:t>Conflation of sufficiency of evidence with the question of admissibility under Fed. R. Evid. 702 is widespread among federal courts.</w:t>
      </w:r>
      <w:r>
        <w:rPr>
          <w:rStyle w:val="EndnoteReference"/>
        </w:rPr>
        <w:endnoteReference w:id="930"/>
      </w:r>
      <w:r>
        <w:t xml:space="preserve"> Fed. R. Evid. 702(b) is a rule of admissibility. That is to say, it concerns "[t]he quality or state of being entered into evidence in a hearing, trial, or other proceeding."</w:t>
      </w:r>
      <w:r>
        <w:rPr>
          <w:rStyle w:val="EndnoteReference"/>
        </w:rPr>
        <w:endnoteReference w:id="931"/>
      </w:r>
      <w:r>
        <w:t xml:space="preserve">  Admissibility is separate and distinct from the concept of the sufficiency or weight of evidence.</w:t>
      </w:r>
      <w:r>
        <w:rPr>
          <w:rStyle w:val="EndnoteReference"/>
        </w:rPr>
        <w:endnoteReference w:id="932"/>
      </w:r>
      <w:r>
        <w:t xml:space="preserve"> </w:t>
      </w:r>
    </w:p>
    <w:p>
      <w:pPr>
        <w:pStyle w:val="BodyTextFirstIndent"/>
      </w:pPr>
      <w:r>
        <w:t>Further, neither</w:t>
      </w:r>
      <w:r>
        <w:rPr>
          <w:i/>
        </w:rPr>
        <w:t xml:space="preserve"> Daubert</w:t>
      </w:r>
      <w:r>
        <w:t xml:space="preserve"> nor Fed R. Evid. 702(b) changed the standard for the sufficiency of evidence. As the Second Circuit has noted, </w:t>
      </w:r>
    </w:p>
    <w:p>
      <w:pPr>
        <w:pStyle w:val="BodyText"/>
        <w:ind w:left="720" w:right="720"/>
      </w:pPr>
      <w:r>
        <w:t xml:space="preserve">The 'admissibility' and 'sufficiency' of scientific evidence </w:t>
      </w:r>
      <w:r>
        <w:lastRenderedPageBreak/>
        <w:t>necessitate different inquiries and involve different stakes. Admissibility entails a threshold inquiry over whether a certain piece of evidence ought to be admitted at trial . . . a sufficiency inquiry asks whether the collective weight of a litigant's evidence is adequate to present a jury question.</w:t>
      </w:r>
      <w:r>
        <w:rPr>
          <w:rStyle w:val="EndnoteReference"/>
        </w:rPr>
        <w:endnoteReference w:id="933"/>
      </w:r>
    </w:p>
    <w:p>
      <w:pPr>
        <w:pStyle w:val="BodyTextFirstIndent"/>
      </w:pPr>
      <w:r>
        <w:t>Accordingly, a plaintiff's medical causation expert might provide reliable and relevant testimony under Fed. R. Evid. 702(b), but that same testimony may be insufficient to meet the applicable standard of proof, which, absent other reliable evidence of causation, would cause the plaintiff’s case to fail on summary judgment or directed verdict.</w:t>
      </w:r>
      <w:r>
        <w:rPr>
          <w:rStyle w:val="EndnoteReference"/>
        </w:rPr>
        <w:endnoteReference w:id="934"/>
      </w:r>
      <w:r>
        <w:t xml:space="preserve"> For example, in a pre-</w:t>
      </w:r>
      <w:r>
        <w:rPr>
          <w:i/>
        </w:rPr>
        <w:t>Daubert</w:t>
      </w:r>
      <w:r>
        <w:t xml:space="preserve"> case, an expert's inability to state to a reasonable degree of medical certainty that the swine flu vaccine caused the plaintiff's illness went to the weight of his testimony rather than to its admissibility under Fed. R. Evid. 702.</w:t>
      </w:r>
      <w:r>
        <w:rPr>
          <w:vertAlign w:val="superscript"/>
        </w:rPr>
        <w:endnoteReference w:id="935"/>
      </w:r>
      <w:r>
        <w:t xml:space="preserve"> Such segregation of the admissibility and sufficiency inquiries would lend itself to collective impact analysis, whereby several pieces of evidence could be evaluated collectively to meet the burden of proving causation.</w:t>
      </w:r>
      <w:r>
        <w:rPr>
          <w:rStyle w:val="EndnoteReference"/>
        </w:rPr>
        <w:endnoteReference w:id="936"/>
      </w:r>
      <w:r>
        <w:t xml:space="preserve"> </w:t>
      </w:r>
    </w:p>
    <w:p>
      <w:pPr>
        <w:pStyle w:val="BodyTextFirstIndent"/>
      </w:pPr>
      <w:r>
        <w:t xml:space="preserve">Nevertheless, federal courts have excluded evidence when that evidence is unable to prove </w:t>
      </w:r>
      <w:r>
        <w:lastRenderedPageBreak/>
        <w:t>causation, in and of itself.</w:t>
      </w:r>
      <w:r>
        <w:rPr>
          <w:rStyle w:val="EndnoteReference"/>
        </w:rPr>
        <w:endnoteReference w:id="937"/>
      </w:r>
      <w:r>
        <w:t xml:space="preserve"> For example, expert testimony that Bendectin was “capable of causing” birth defects was held to demonstrate a mere possibility of causation and was excluded as not being helpful to the trier of fact (“fit”).</w:t>
      </w:r>
      <w:r>
        <w:rPr>
          <w:rStyle w:val="EndnoteReference"/>
        </w:rPr>
        <w:endnoteReference w:id="938"/>
      </w:r>
      <w:r>
        <w:t xml:space="preserve"> </w:t>
      </w:r>
    </w:p>
    <w:p>
      <w:pPr>
        <w:pStyle w:val="BodyTextFirstIndent"/>
      </w:pPr>
      <w:r>
        <w:t xml:space="preserve">Georgia courts have never squarely addressed the issue. However, the Georgia Court of Appeals came very close in </w:t>
      </w:r>
      <w:r>
        <w:rPr>
          <w:i/>
        </w:rPr>
        <w:t>Perry v. Gilotra-Mallik</w:t>
      </w:r>
      <w:r>
        <w:t>.</w:t>
      </w:r>
      <w:r>
        <w:rPr>
          <w:rStyle w:val="EndnoteReference"/>
        </w:rPr>
        <w:endnoteReference w:id="939"/>
      </w:r>
      <w:r>
        <w:t xml:space="preserve"> In </w:t>
      </w:r>
      <w:r>
        <w:rPr>
          <w:i/>
        </w:rPr>
        <w:t>Perry</w:t>
      </w:r>
      <w:r>
        <w:t xml:space="preserve">, the trial court denied the plaintiff’s motion to exclude defense expert testimony under </w:t>
      </w:r>
      <w:r>
        <w:rPr>
          <w:i/>
        </w:rPr>
        <w:t>Daubert</w:t>
      </w:r>
      <w:r>
        <w:t>. The plaintiff argued that the trial court erred because the defendant’s expert could not determine the cause of death to a reasonable medical probability, but merely labeled the cause as a type of SIDS that did not fall into previously-recognized categories and which was not generally recognized by the scientific community.</w:t>
      </w:r>
      <w:r>
        <w:rPr>
          <w:rStyle w:val="EndnoteReference"/>
        </w:rPr>
        <w:endnoteReference w:id="940"/>
      </w:r>
      <w:r>
        <w:t xml:space="preserve"> The court of appeals rejected this argument, affirming the trial court’s decision to permit the testimony as there was evidence of reliable principles and methods.</w:t>
      </w:r>
      <w:r>
        <w:rPr>
          <w:rStyle w:val="EndnoteReference"/>
        </w:rPr>
        <w:endnoteReference w:id="941"/>
      </w:r>
      <w:r>
        <w:t xml:space="preserve"> Of course, </w:t>
      </w:r>
      <w:r>
        <w:rPr>
          <w:i/>
        </w:rPr>
        <w:t>Perry</w:t>
      </w:r>
      <w:r>
        <w:t xml:space="preserve"> was decided under the extremely deferential standard of review that trial court decisions received when applying </w:t>
      </w:r>
      <w:r>
        <w:rPr>
          <w:i/>
        </w:rPr>
        <w:t>Daubert</w:t>
      </w:r>
      <w:r>
        <w:t>.</w:t>
      </w:r>
      <w:r>
        <w:rPr>
          <w:rStyle w:val="EndnoteReference"/>
        </w:rPr>
        <w:endnoteReference w:id="942"/>
      </w:r>
      <w:r>
        <w:t xml:space="preserve">  What appellate courts will do if a trial court excludes defense expert testimony on the basis that it is not stated to a reasonable degree of medical certainty remains unseen. </w:t>
      </w:r>
    </w:p>
    <w:p>
      <w:pPr>
        <w:pStyle w:val="BodyText"/>
        <w:keepNext/>
        <w:rPr>
          <w:b/>
        </w:rPr>
      </w:pPr>
      <w:r>
        <w:rPr>
          <w:b/>
        </w:rPr>
        <w:t>XI.</w:t>
      </w:r>
      <w:r>
        <w:rPr>
          <w:b/>
        </w:rPr>
        <w:tab/>
        <w:t>Conclusion</w:t>
      </w:r>
    </w:p>
    <w:p>
      <w:pPr>
        <w:pStyle w:val="BodyTextFirstIndent"/>
      </w:pPr>
      <w:r>
        <w:t xml:space="preserve">It is unclear whether Georgia Courts will read into Fed. </w:t>
      </w:r>
      <w:r>
        <w:lastRenderedPageBreak/>
        <w:t>R. Evid. 702 a required level of certainty for medical causation experts. As stated above, there is federal authority supporting the proposition that medical expert testimony on causation will not assist the trier of fact unless it is stated in terms of a reasonable degree of medical certainty or probability. If this became the rule, then the question would be whether that rule should apply when the causation evidence is offered in rebuttal or to cross examine the plaintiff’s witness.  Under Georgia law, the plaintiff bears the ultimate burden of persuasion on the element of causation. That burden is only satisfied by expert testimony stated to a reasonable degree of medical certainty.  With respect to causation, the defendant only bears the burden of persuasion when an alternative theory of causation is pleaded as an affirmative defense. When alternative cause evidence is offered in rebuttal of the plaintiff’s causation evidence, the defendant does not bear the burden of proving the alternative cause. Therefore, an interpretation of Fed. R. Evid. 702 that requires defense expert testimony on causation to be stated to a reasonable degree of medical certainty would seem to impermissibly shift the burden of persuasion to the defendant. Most jurisdictions have rejected any rule that would require a defendant to affirmatively prove causation or disprove the plaintiff’s case. The majority rule is consistent with pre-</w:t>
      </w:r>
      <w:r>
        <w:rPr>
          <w:i/>
        </w:rPr>
        <w:t>Daubert</w:t>
      </w:r>
      <w:r>
        <w:t xml:space="preserve"> Georgia cases </w:t>
      </w:r>
      <w:r>
        <w:lastRenderedPageBreak/>
        <w:t>articulating that the defendant does not bear the burden of proving rebuttal causation evidence.</w:t>
      </w:r>
    </w:p>
    <w:p>
      <w:pPr>
        <w:spacing w:after="0"/>
        <w:rPr>
          <w:b/>
          <w:szCs w:val="24"/>
          <w:u w:val="single"/>
        </w:rPr>
      </w:pPr>
    </w:p>
    <w:p>
      <w:pPr>
        <w:pStyle w:val="BodyText"/>
        <w:jc w:val="center"/>
        <w:rPr>
          <w:b/>
          <w:u w:val="single"/>
        </w:rPr>
      </w:pPr>
      <w:r>
        <w:rPr>
          <w:b/>
          <w:u w:val="single"/>
        </w:rPr>
        <w:t>End Notes</w:t>
      </w:r>
    </w:p>
    <w:p>
      <w:pPr>
        <w:pStyle w:val="BodyText"/>
        <w:rPr>
          <w:b/>
          <w:u w:val="single"/>
        </w:rPr>
      </w:pPr>
    </w:p>
    <w:p>
      <w:pPr>
        <w:pStyle w:val="BodyText"/>
        <w:rPr>
          <w:b/>
          <w:u w:val="single"/>
        </w:rPr>
        <w:sectPr>
          <w:footnotePr>
            <w:numRestart w:val="eachSect"/>
          </w:footnotePr>
          <w:endnotePr>
            <w:numFmt w:val="decimal"/>
            <w:numRestart w:val="eachSect"/>
          </w:endnotePr>
          <w:type w:val="continuous"/>
          <w:pgSz w:w="12240" w:h="15840"/>
          <w:pgMar w:top="1440" w:right="1800" w:bottom="1440" w:left="1800" w:header="720" w:footer="720" w:gutter="0"/>
          <w:cols w:num="2" w:space="720"/>
          <w:docGrid w:linePitch="360"/>
        </w:sectPr>
      </w:pPr>
    </w:p>
    <w:p>
      <w:pPr>
        <w:pStyle w:val="Heading1"/>
      </w:pPr>
      <w:bookmarkStart w:id="264" w:name="_Toc387223619"/>
      <w:r>
        <w:lastRenderedPageBreak/>
        <w:t>When Do Post-Sale Duties to Warn and Recall Arise in Georgia?</w:t>
      </w:r>
      <w:bookmarkEnd w:id="264"/>
    </w:p>
    <w:p>
      <w:pPr>
        <w:pStyle w:val="Author"/>
        <w:rPr>
          <w:b/>
        </w:rPr>
      </w:pPr>
    </w:p>
    <w:p>
      <w:pPr>
        <w:pStyle w:val="Author"/>
      </w:pPr>
      <w:r>
        <w:rPr>
          <w:b/>
        </w:rPr>
        <w:tab/>
      </w:r>
      <w:r>
        <w:t>By:</w:t>
      </w:r>
      <w:r>
        <w:tab/>
        <w:t>James Dartlin (Dart) Meadows, Board of Directors, GDLA</w:t>
      </w:r>
    </w:p>
    <w:p>
      <w:pPr>
        <w:pStyle w:val="Author"/>
      </w:pPr>
      <w:r>
        <w:tab/>
      </w:r>
      <w:r>
        <w:tab/>
        <w:t>James L. Hollis, Chair, GDLA Products Liability Committee</w:t>
      </w:r>
    </w:p>
    <w:p>
      <w:pPr>
        <w:pStyle w:val="Author"/>
      </w:pPr>
      <w:r>
        <w:tab/>
      </w:r>
      <w:r>
        <w:tab/>
        <w:t>Lorna McGilvray Norton</w:t>
      </w:r>
    </w:p>
    <w:p>
      <w:pPr>
        <w:pStyle w:val="Author"/>
      </w:pPr>
      <w:r>
        <w:tab/>
      </w:r>
      <w:r>
        <w:tab/>
        <w:t>Balch &amp; Bingham  LLP</w:t>
      </w:r>
    </w:p>
    <w:p>
      <w:pPr>
        <w:pStyle w:val="Author"/>
      </w:pPr>
    </w:p>
    <w:p>
      <w:pPr>
        <w:pStyle w:val="BBBodyText"/>
        <w:ind w:firstLine="0"/>
        <w:jc w:val="center"/>
        <w:rPr>
          <w:rFonts w:ascii="Century Schoolbook" w:hAnsi="Century Schoolbook"/>
          <w:smallCaps/>
          <w:sz w:val="22"/>
          <w:szCs w:val="22"/>
          <w:u w:val="single"/>
        </w:rPr>
        <w:sectPr>
          <w:headerReference w:type="even" r:id="rId43"/>
          <w:headerReference w:type="default" r:id="rId44"/>
          <w:footerReference w:type="even" r:id="rId45"/>
          <w:footerReference w:type="default" r:id="rId46"/>
          <w:headerReference w:type="first" r:id="rId47"/>
          <w:endnotePr>
            <w:numFmt w:val="decimal"/>
          </w:endnotePr>
          <w:pgSz w:w="12240" w:h="15840"/>
          <w:pgMar w:top="1440" w:right="1440" w:bottom="1440" w:left="1440" w:header="720" w:footer="720" w:gutter="0"/>
          <w:cols w:space="720"/>
          <w:titlePg/>
          <w:docGrid w:linePitch="360"/>
        </w:sectPr>
      </w:pPr>
      <w:r>
        <w:rPr>
          <w:noProof/>
        </w:rPr>
        <w:pict>
          <v:shape id="Picture 63" o:spid="_x0000_s1049" type="#_x0000_t75" alt="HighResPhoto" style="position:absolute;left:0;text-align:left;margin-left:70.15pt;margin-top:185.4pt;width:81.75pt;height:115.5pt;z-index:-251655680;visibility:visible;mso-position-horizontal-relative:page;mso-position-vertical-relative:page" wrapcoords="-198 0 -198 21460 21600 21460 21600 0 -198 0" o:allowoverlap="f">
            <v:imagedata r:id="rId48" o:title=""/>
            <w10:wrap type="tight" anchorx="page" anchory="page"/>
          </v:shape>
        </w:pict>
      </w:r>
    </w:p>
    <w:p>
      <w:pPr>
        <w:pBdr>
          <w:top w:val="single" w:sz="4" w:space="1" w:color="auto"/>
          <w:left w:val="single" w:sz="4" w:space="4" w:color="auto"/>
          <w:bottom w:val="single" w:sz="4" w:space="1" w:color="auto"/>
          <w:right w:val="single" w:sz="4" w:space="4" w:color="auto"/>
        </w:pBdr>
        <w:shd w:val="clear" w:color="auto" w:fill="81BAC5"/>
        <w:spacing w:after="0"/>
        <w:jc w:val="both"/>
        <w:rPr>
          <w:sz w:val="21"/>
          <w:szCs w:val="21"/>
        </w:rPr>
      </w:pPr>
      <w:r>
        <w:rPr>
          <w:b/>
          <w:sz w:val="21"/>
          <w:szCs w:val="21"/>
        </w:rPr>
        <w:t xml:space="preserve">James Dartlin “Dart” Meadows </w:t>
      </w:r>
      <w:r>
        <w:rPr>
          <w:sz w:val="21"/>
          <w:szCs w:val="21"/>
        </w:rPr>
        <w:t>is a trial lawyer with 30 years of experience. He has tried dozens of cases in Georgia and in other states. His practice includes business litigation, product liability, healthcare, and real estate litigation. He represents wood-working machinery manufacturers, distributors, and dealers in product liability litigation throughout the country, including serving as national counsel.</w:t>
      </w:r>
    </w:p>
    <w:p>
      <w:pPr>
        <w:pBdr>
          <w:top w:val="single" w:sz="4" w:space="1" w:color="auto"/>
          <w:left w:val="single" w:sz="4" w:space="4" w:color="auto"/>
          <w:bottom w:val="single" w:sz="4" w:space="1" w:color="auto"/>
          <w:right w:val="single" w:sz="4" w:space="4" w:color="auto"/>
        </w:pBdr>
        <w:shd w:val="clear" w:color="auto" w:fill="81BAC5"/>
        <w:spacing w:after="0"/>
        <w:jc w:val="both"/>
        <w:rPr>
          <w:sz w:val="21"/>
          <w:szCs w:val="21"/>
        </w:rPr>
      </w:pPr>
      <w:r>
        <w:rPr>
          <w:noProof/>
        </w:rPr>
        <w:pict>
          <v:shape id="Picture 64" o:spid="_x0000_s1050" type="#_x0000_t75" alt="HighResPhoto" style="position:absolute;left:0;text-align:left;margin-left:70.1pt;margin-top:573.05pt;width:81.75pt;height:115.5pt;z-index:-251654656;visibility:visible;mso-position-horizontal-relative:page;mso-position-vertical-relative:page" wrapcoords="-198 0 -198 21460 21600 21460 21600 0 -198 0" o:allowoverlap="f">
            <v:imagedata r:id="rId49" o:title=""/>
            <w10:wrap type="tight" anchorx="page" anchory="page"/>
          </v:shape>
        </w:pict>
      </w:r>
      <w:r>
        <w:rPr>
          <w:noProof/>
        </w:rPr>
        <w:pict>
          <v:shape id="Picture 1" o:spid="_x0000_s1051" type="#_x0000_t75" alt="HighResPhoto" style="position:absolute;left:0;text-align:left;margin-left:70.6pt;margin-top:364.7pt;width:81.75pt;height:115.5pt;z-index:-251656704;visibility:visible;mso-position-horizontal-relative:page;mso-position-vertical-relative:page" wrapcoords="-198 0 -198 21460 21600 21460 21600 0 -198 0" o:allowoverlap="f">
            <v:imagedata r:id="rId50" o:title=""/>
            <w10:wrap type="tight" anchorx="page" anchory="page"/>
          </v:shape>
        </w:pict>
      </w:r>
      <w:r>
        <w:rPr>
          <w:b/>
          <w:sz w:val="21"/>
          <w:szCs w:val="21"/>
        </w:rPr>
        <w:t xml:space="preserve">James L. Hollis </w:t>
      </w:r>
      <w:r>
        <w:rPr>
          <w:sz w:val="21"/>
          <w:szCs w:val="21"/>
        </w:rPr>
        <w:t>is a Partner in Balch &amp; Bingham's Atlanta office. He is the head of the firm's product liability group. Jim has a diverse practice that includes product liability, toxic tort, and construction defect litigation. He also has experience representing bidders in state and local government contract disputes. Jim's product liability practice focuses on defending manufacturers of a variety of industrial products against catastrophic personal injury and property damage claims.</w:t>
      </w:r>
    </w:p>
    <w:p>
      <w:pPr>
        <w:pBdr>
          <w:top w:val="single" w:sz="4" w:space="1" w:color="auto"/>
          <w:left w:val="single" w:sz="4" w:space="4" w:color="auto"/>
          <w:bottom w:val="single" w:sz="4" w:space="1" w:color="auto"/>
          <w:right w:val="single" w:sz="4" w:space="4" w:color="auto"/>
        </w:pBdr>
        <w:shd w:val="clear" w:color="auto" w:fill="81BAC5"/>
        <w:spacing w:after="0"/>
        <w:jc w:val="both"/>
        <w:rPr>
          <w:sz w:val="21"/>
          <w:szCs w:val="21"/>
        </w:rPr>
      </w:pPr>
      <w:r>
        <w:rPr>
          <w:b/>
          <w:sz w:val="21"/>
          <w:szCs w:val="21"/>
        </w:rPr>
        <w:t xml:space="preserve">Lorna McGilvray Norton </w:t>
      </w:r>
      <w:r>
        <w:rPr>
          <w:sz w:val="21"/>
          <w:szCs w:val="21"/>
        </w:rPr>
        <w:t xml:space="preserve">joined Balch &amp; Bingham's predecessor in Atlanta in 1997. Lorna is in the Atlanta office and a member of the firm's Litigation Section. Her practice focuses on commercial litigation, including trial and appellate matters </w:t>
      </w:r>
      <w:r>
        <w:rPr>
          <w:sz w:val="21"/>
          <w:szCs w:val="21"/>
        </w:rPr>
        <w:lastRenderedPageBreak/>
        <w:t>involving complex contract disputes, business torts, and products liability and medical malpractice defense.</w:t>
      </w:r>
    </w:p>
    <w:p>
      <w:pPr>
        <w:pStyle w:val="BodyText"/>
        <w:rPr>
          <w:b/>
        </w:rPr>
      </w:pPr>
    </w:p>
    <w:p>
      <w:pPr>
        <w:pStyle w:val="BodyText"/>
        <w:rPr>
          <w:b/>
        </w:rPr>
      </w:pPr>
      <w:r>
        <w:rPr>
          <w:b/>
        </w:rPr>
        <w:t>I.</w:t>
      </w:r>
      <w:r>
        <w:rPr>
          <w:b/>
        </w:rPr>
        <w:tab/>
        <w:t>Introduction</w:t>
      </w:r>
    </w:p>
    <w:p>
      <w:pPr>
        <w:pStyle w:val="BodyTextFirstIndent"/>
      </w:pPr>
      <w:r>
        <w:t xml:space="preserve">In Georgia, product manufacturers and sellers are required in certain instances to provide users and other consumers with post-sale warnings of dangers associated with the use of their products. Georgia law, however, does not clearly define when and under what circumstances such a duty arises.  Moreover, while Georgia law does not recognize a common law duty to recall a product, it will impose obligations for effectuating a recall when one is instituted either voluntarily or as required by federal law.  This article discusses cases dealing with these issues, many of which are from other states, to inform product manufacturers and sellers of the factors that can trigger post-sale duties so they can take appropriate steps to prevent or limit their liability for post-sale injuries and defend a product liability suit raising a post-sale failure to warn claim or a negligent recall claim.  </w:t>
      </w:r>
    </w:p>
    <w:p>
      <w:pPr>
        <w:pStyle w:val="BodyTextFirstIndent"/>
        <w:rPr>
          <w:szCs w:val="22"/>
        </w:rPr>
      </w:pPr>
      <w:r>
        <w:rPr>
          <w:szCs w:val="22"/>
        </w:rPr>
        <w:t xml:space="preserve">As every product manufacturer and seller is aware, they have a duty to adequately warn when they have reason to anticipate danger may result from a particular use of their products. </w:t>
      </w:r>
      <w:r>
        <w:rPr>
          <w:szCs w:val="22"/>
        </w:rPr>
        <w:lastRenderedPageBreak/>
        <w:t>Designing, manufacturing and selling safe and non-defective products, however, may not be enough where a post-sale duty arises.  Even if the product is state-of-the-art, satisfying every industry and government standard at the time of sale, product liability claims brought years or even decades after sale may raise post-sale claims.  Georgia law on these issues is not particularly well-developed.  This article focuses on Georgia cases where available, but supplements this discussion with cases from other jurisdictions.  The applicability of these other cases in Georgia is not clear, and practitioners should be cautious when trying to apply their rulings here</w:t>
      </w:r>
    </w:p>
    <w:p>
      <w:pPr>
        <w:pStyle w:val="BodyText"/>
        <w:rPr>
          <w:b/>
        </w:rPr>
      </w:pPr>
      <w:r>
        <w:rPr>
          <w:b/>
        </w:rPr>
        <w:t>II.</w:t>
      </w:r>
      <w:r>
        <w:rPr>
          <w:b/>
        </w:rPr>
        <w:tab/>
        <w:t>Post-Sale Duty to Warn</w:t>
      </w:r>
    </w:p>
    <w:p>
      <w:pPr>
        <w:pStyle w:val="BodyText"/>
        <w:jc w:val="center"/>
      </w:pPr>
      <w:r>
        <w:rPr>
          <w:b/>
        </w:rPr>
        <w:t>A.</w:t>
      </w:r>
      <w:r>
        <w:rPr>
          <w:b/>
        </w:rPr>
        <w:tab/>
        <w:t>Duties of Manufacturers</w:t>
      </w:r>
      <w:r>
        <w:rPr>
          <w:vertAlign w:val="superscript"/>
        </w:rPr>
        <w:endnoteReference w:id="943"/>
      </w:r>
    </w:p>
    <w:p>
      <w:pPr>
        <w:pStyle w:val="BodyTextFirstIndent"/>
        <w:rPr>
          <w:szCs w:val="22"/>
        </w:rPr>
      </w:pPr>
      <w:r>
        <w:rPr>
          <w:szCs w:val="22"/>
        </w:rPr>
        <w:t>Georgia law imposes a continuing duty upon product manufacturers to warn users of a known or reasonably foreseeable danger arising from a product after its sale or distribution.</w:t>
      </w:r>
      <w:r>
        <w:rPr>
          <w:rStyle w:val="EndnoteReference"/>
          <w:rFonts w:ascii="Century Schoolbook" w:hAnsi="Century Schoolbook"/>
          <w:szCs w:val="22"/>
        </w:rPr>
        <w:endnoteReference w:id="944"/>
      </w:r>
      <w:r>
        <w:rPr>
          <w:szCs w:val="22"/>
        </w:rPr>
        <w:t xml:space="preserve">  This is because “[t]he manufacturer is in the best position to either discover or learn of dangerous product defects and to determine how to correct such defects through remediation.  The manufacturer has superior knowledge of such defects and the ability to find them, because notice of the defects comes to the manufacturer through product testing, quality control, product complaints, product liability suits, warranty suits, government-imposed recalls, and industry experience.”</w:t>
      </w:r>
      <w:r>
        <w:rPr>
          <w:rStyle w:val="EndnoteReference"/>
          <w:rFonts w:ascii="Century Schoolbook" w:hAnsi="Century Schoolbook"/>
          <w:szCs w:val="22"/>
        </w:rPr>
        <w:endnoteReference w:id="945"/>
      </w:r>
    </w:p>
    <w:p>
      <w:pPr>
        <w:pStyle w:val="BodyTextFirstIndent"/>
        <w:rPr>
          <w:szCs w:val="22"/>
        </w:rPr>
      </w:pPr>
      <w:r>
        <w:rPr>
          <w:szCs w:val="22"/>
        </w:rPr>
        <w:t xml:space="preserve">The post-sale duty to warn arises when a manufacturer has </w:t>
      </w:r>
      <w:r>
        <w:rPr>
          <w:szCs w:val="22"/>
        </w:rPr>
        <w:lastRenderedPageBreak/>
        <w:t>actual or constructive post-sale knowledge that a product involves a danger to users.</w:t>
      </w:r>
      <w:r>
        <w:rPr>
          <w:rStyle w:val="EndnoteReference"/>
          <w:rFonts w:ascii="Century Schoolbook" w:hAnsi="Century Schoolbook"/>
          <w:szCs w:val="22"/>
        </w:rPr>
        <w:endnoteReference w:id="946"/>
      </w:r>
      <w:r>
        <w:rPr>
          <w:szCs w:val="22"/>
        </w:rPr>
        <w:t xml:space="preserve">  The duty to warn may arise with the manufacturer’s acquisition of knowledge long after the date of the first sale of the product.</w:t>
      </w:r>
      <w:r>
        <w:rPr>
          <w:rStyle w:val="EndnoteReference"/>
          <w:rFonts w:ascii="Century Schoolbook" w:hAnsi="Century Schoolbook"/>
          <w:szCs w:val="22"/>
        </w:rPr>
        <w:endnoteReference w:id="947"/>
      </w:r>
      <w:r>
        <w:rPr>
          <w:szCs w:val="22"/>
        </w:rPr>
        <w:t xml:space="preserve">  In fact, a negligent-failure-to-warn claim may arise from a manufacturer's post-sale knowledge acquired months, years, or even decades after the date of the first sale of the product.</w:t>
      </w:r>
      <w:r>
        <w:rPr>
          <w:rStyle w:val="EndnoteReference"/>
          <w:rFonts w:ascii="Century Schoolbook" w:hAnsi="Century Schoolbook"/>
          <w:szCs w:val="22"/>
        </w:rPr>
        <w:endnoteReference w:id="948"/>
      </w:r>
      <w:r>
        <w:rPr>
          <w:szCs w:val="22"/>
        </w:rPr>
        <w:t xml:space="preserve">  A manufacturer's new-found knowledge can derive either from accidents or complaints indicating that a product is more dangerous than previously believed or from advances in the state of the art.</w:t>
      </w:r>
      <w:r>
        <w:rPr>
          <w:rStyle w:val="EndnoteReference"/>
          <w:rFonts w:ascii="Century Schoolbook" w:hAnsi="Century Schoolbook"/>
          <w:szCs w:val="22"/>
        </w:rPr>
        <w:endnoteReference w:id="949"/>
      </w:r>
    </w:p>
    <w:p>
      <w:pPr>
        <w:pStyle w:val="BodyText"/>
        <w:keepNext/>
        <w:keepLines/>
        <w:jc w:val="center"/>
        <w:rPr>
          <w:b/>
        </w:rPr>
      </w:pPr>
      <w:r>
        <w:rPr>
          <w:b/>
        </w:rPr>
        <w:t>1.</w:t>
      </w:r>
      <w:r>
        <w:rPr>
          <w:b/>
        </w:rPr>
        <w:tab/>
        <w:t>Knowledge Derived from Accidents</w:t>
      </w:r>
    </w:p>
    <w:p>
      <w:pPr>
        <w:pStyle w:val="BodyTextFirstIndent"/>
        <w:rPr>
          <w:szCs w:val="22"/>
        </w:rPr>
      </w:pPr>
      <w:r>
        <w:rPr>
          <w:szCs w:val="22"/>
        </w:rPr>
        <w:t xml:space="preserve">In </w:t>
      </w:r>
      <w:r>
        <w:rPr>
          <w:i/>
          <w:szCs w:val="22"/>
        </w:rPr>
        <w:t>Hunter v. Werner Co.</w:t>
      </w:r>
      <w:r>
        <w:rPr>
          <w:szCs w:val="22"/>
        </w:rPr>
        <w:t>,</w:t>
      </w:r>
      <w:r>
        <w:rPr>
          <w:rStyle w:val="EndnoteReference"/>
          <w:rFonts w:ascii="Century Schoolbook" w:hAnsi="Century Schoolbook"/>
          <w:szCs w:val="22"/>
        </w:rPr>
        <w:endnoteReference w:id="950"/>
      </w:r>
      <w:r>
        <w:rPr>
          <w:szCs w:val="22"/>
        </w:rPr>
        <w:t xml:space="preserve"> the plaintiff was injured when a fiberglass ladder he was using snapped suddenly, causing him to fall to the ground.</w:t>
      </w:r>
      <w:r>
        <w:rPr>
          <w:rStyle w:val="EndnoteReference"/>
          <w:rFonts w:ascii="Century Schoolbook" w:hAnsi="Century Schoolbook"/>
          <w:szCs w:val="22"/>
        </w:rPr>
        <w:endnoteReference w:id="951"/>
      </w:r>
      <w:r>
        <w:rPr>
          <w:szCs w:val="22"/>
        </w:rPr>
        <w:t xml:space="preserve">  The ladder was manufactured in 1978, and the plaintiff’s injury occurred in 1996.</w:t>
      </w:r>
      <w:r>
        <w:rPr>
          <w:rStyle w:val="EndnoteReference"/>
          <w:rFonts w:ascii="Century Schoolbook" w:hAnsi="Century Schoolbook"/>
          <w:szCs w:val="22"/>
        </w:rPr>
        <w:endnoteReference w:id="952"/>
      </w:r>
      <w:r>
        <w:rPr>
          <w:szCs w:val="22"/>
        </w:rPr>
        <w:t xml:space="preserve">  The evidence showed the ladder’s manufacturer, prior to 1996, had knowledge of three other injury claims from fiberglass ladders fracturing in a similar manner to that giving rise to the plaintiff’s accident.</w:t>
      </w:r>
      <w:r>
        <w:rPr>
          <w:rStyle w:val="EndnoteReference"/>
          <w:rFonts w:ascii="Century Schoolbook" w:hAnsi="Century Schoolbook"/>
          <w:szCs w:val="22"/>
        </w:rPr>
        <w:endnoteReference w:id="953"/>
      </w:r>
      <w:r>
        <w:rPr>
          <w:szCs w:val="22"/>
        </w:rPr>
        <w:t xml:space="preserve">  In addition, the manufacturer’s technical manual for the ladder showed the manufacturer knew fiberglass ladders could be damaged if they were not properly transported.</w:t>
      </w:r>
      <w:r>
        <w:rPr>
          <w:rStyle w:val="EndnoteReference"/>
          <w:rFonts w:ascii="Century Schoolbook" w:hAnsi="Century Schoolbook"/>
          <w:szCs w:val="22"/>
        </w:rPr>
        <w:endnoteReference w:id="954"/>
      </w:r>
      <w:r>
        <w:rPr>
          <w:szCs w:val="22"/>
        </w:rPr>
        <w:t xml:space="preserve">  Yet, the manufacturer never issued any warning to users that its fiberglass ladder should be handled and maintained with greater care than wooden or aluminum ladders or that it could be damaged by being dropped.</w:t>
      </w:r>
      <w:r>
        <w:rPr>
          <w:rStyle w:val="EndnoteReference"/>
          <w:rFonts w:ascii="Century Schoolbook" w:hAnsi="Century Schoolbook"/>
          <w:szCs w:val="22"/>
        </w:rPr>
        <w:endnoteReference w:id="955"/>
      </w:r>
      <w:r>
        <w:rPr>
          <w:szCs w:val="22"/>
        </w:rPr>
        <w:t xml:space="preserve">  For these reasons, the court reversed a </w:t>
      </w:r>
      <w:r>
        <w:rPr>
          <w:szCs w:val="22"/>
        </w:rPr>
        <w:lastRenderedPageBreak/>
        <w:t>grant of summary judgment for the manufacturer on the plaintiff’s negligent-failure-to-warn claim.</w:t>
      </w:r>
      <w:r>
        <w:rPr>
          <w:rStyle w:val="EndnoteReference"/>
          <w:rFonts w:ascii="Century Schoolbook" w:hAnsi="Century Schoolbook"/>
          <w:szCs w:val="22"/>
        </w:rPr>
        <w:endnoteReference w:id="956"/>
      </w:r>
    </w:p>
    <w:p>
      <w:pPr>
        <w:pStyle w:val="BodyTextFirstIndent"/>
        <w:rPr>
          <w:szCs w:val="22"/>
        </w:rPr>
      </w:pPr>
      <w:r>
        <w:rPr>
          <w:szCs w:val="22"/>
        </w:rPr>
        <w:t xml:space="preserve">In addition, in </w:t>
      </w:r>
      <w:r>
        <w:rPr>
          <w:i/>
          <w:szCs w:val="22"/>
        </w:rPr>
        <w:t>Watkins v. Ford Motor Co.</w:t>
      </w:r>
      <w:r>
        <w:rPr>
          <w:szCs w:val="22"/>
        </w:rPr>
        <w:t>,</w:t>
      </w:r>
      <w:r>
        <w:rPr>
          <w:rStyle w:val="EndnoteReference"/>
          <w:rFonts w:ascii="Century Schoolbook" w:hAnsi="Century Schoolbook"/>
          <w:szCs w:val="22"/>
        </w:rPr>
        <w:endnoteReference w:id="957"/>
      </w:r>
      <w:r>
        <w:rPr>
          <w:szCs w:val="22"/>
        </w:rPr>
        <w:t xml:space="preserve"> the court reversed a grant of summary judgment for Ford, finding Ford was liable for failing to warn consumers about the dangerous propensity of its Bronco II to roll over.  Two years after the production of the plaintiff’s 1986 Bronco II, Ford's statisticians reported to management that the Bronco II had a rollover fatality rate 3½ times that of a standard utility vehicle, and tests done that same year showed the Bronco II tipped at speeds at which other similar vehicles remained stable.</w:t>
      </w:r>
      <w:r>
        <w:rPr>
          <w:rStyle w:val="EndnoteReference"/>
          <w:rFonts w:ascii="Century Schoolbook" w:hAnsi="Century Schoolbook"/>
          <w:szCs w:val="22"/>
        </w:rPr>
        <w:endnoteReference w:id="958"/>
      </w:r>
      <w:r>
        <w:rPr>
          <w:szCs w:val="22"/>
        </w:rPr>
        <w:t xml:space="preserve">  Five years after the sale of the Bronco II at issue, the National Highway Traffic Safety Administration (“NHTSA”) published the results of five different stability tests on fifty-seven vehicles, and the Bronco II rated worst overall.</w:t>
      </w:r>
      <w:r>
        <w:rPr>
          <w:rStyle w:val="EndnoteReference"/>
          <w:rFonts w:ascii="Century Schoolbook" w:hAnsi="Century Schoolbook"/>
          <w:szCs w:val="22"/>
        </w:rPr>
        <w:endnoteReference w:id="959"/>
      </w:r>
      <w:r>
        <w:rPr>
          <w:szCs w:val="22"/>
        </w:rPr>
        <w:t xml:space="preserve">  Ford did not issue post-sale warnings to consumers regarding the stability problems in the Bronco II.</w:t>
      </w:r>
      <w:r>
        <w:rPr>
          <w:rStyle w:val="EndnoteReference"/>
          <w:rFonts w:ascii="Century Schoolbook" w:hAnsi="Century Schoolbook"/>
          <w:szCs w:val="22"/>
        </w:rPr>
        <w:endnoteReference w:id="960"/>
      </w:r>
      <w:r>
        <w:rPr>
          <w:szCs w:val="22"/>
        </w:rPr>
        <w:t xml:space="preserve">  The court thus found issues of fact remained for trial as to Ford’s post-sale duty to warn of the dangerous propensities of the Bronco II.</w:t>
      </w:r>
      <w:r>
        <w:rPr>
          <w:rStyle w:val="EndnoteReference"/>
          <w:rFonts w:ascii="Century Schoolbook" w:hAnsi="Century Schoolbook"/>
          <w:szCs w:val="22"/>
        </w:rPr>
        <w:endnoteReference w:id="961"/>
      </w:r>
    </w:p>
    <w:p>
      <w:pPr>
        <w:pStyle w:val="BodyText"/>
        <w:jc w:val="center"/>
        <w:rPr>
          <w:b/>
        </w:rPr>
      </w:pPr>
      <w:r>
        <w:rPr>
          <w:b/>
        </w:rPr>
        <w:t>2.</w:t>
      </w:r>
      <w:r>
        <w:rPr>
          <w:b/>
        </w:rPr>
        <w:tab/>
        <w:t>Knowledge Derived from</w:t>
      </w:r>
      <w:r>
        <w:rPr>
          <w:b/>
        </w:rPr>
        <w:br/>
        <w:t>Advances in State of the Art</w:t>
      </w:r>
    </w:p>
    <w:p>
      <w:pPr>
        <w:pStyle w:val="BodyTextFirstIndent"/>
        <w:rPr>
          <w:szCs w:val="22"/>
        </w:rPr>
      </w:pPr>
      <w:r>
        <w:rPr>
          <w:szCs w:val="22"/>
        </w:rPr>
        <w:t xml:space="preserve">While there appear to be no Georgia cases addressing the specific issue, it is generally recognized that there is no duty for manufacturers to warn all foreseeable users about advances in state of the art or of a better design that was not available when the product entered the stream of commerce.  This is because “safety </w:t>
      </w:r>
      <w:r>
        <w:rPr>
          <w:szCs w:val="22"/>
        </w:rPr>
        <w:lastRenderedPageBreak/>
        <w:t>technology with regard to mass-produced items is continually evolving, and a rule requiring a continuing duty to warn might discourage manufacturers from developing safer products.”</w:t>
      </w:r>
      <w:r>
        <w:rPr>
          <w:rStyle w:val="EndnoteReference"/>
          <w:rFonts w:ascii="Century Schoolbook" w:hAnsi="Century Schoolbook"/>
          <w:szCs w:val="22"/>
        </w:rPr>
        <w:endnoteReference w:id="962"/>
      </w:r>
      <w:r>
        <w:rPr>
          <w:szCs w:val="22"/>
        </w:rPr>
        <w:t xml:space="preserve">  A manufacturer would have no incentive to improve its products if making safer products exposed manufacturers to liability for products they already sold.</w:t>
      </w:r>
      <w:r>
        <w:rPr>
          <w:rStyle w:val="EndnoteReference"/>
          <w:rFonts w:ascii="Century Schoolbook" w:hAnsi="Century Schoolbook"/>
          <w:szCs w:val="22"/>
        </w:rPr>
        <w:endnoteReference w:id="963"/>
      </w:r>
      <w:r>
        <w:rPr>
          <w:szCs w:val="22"/>
        </w:rPr>
        <w:t xml:space="preserve">  Therefore, when deciding cases involving a manufacturer's alleged post-sale knowledge of a product hazard, courts should first determine whether the post-sale knowledge is a product of merely staying current with technological or design advances in the industry (which should not give rise to a post-sale duty to warn) or was obtained through reports of injuries or customer complaints (which may give rise to such a duty, as shown above).</w:t>
      </w:r>
    </w:p>
    <w:p>
      <w:pPr>
        <w:pStyle w:val="BodyText"/>
        <w:jc w:val="center"/>
        <w:rPr>
          <w:b/>
          <w:sz w:val="28"/>
          <w:szCs w:val="28"/>
        </w:rPr>
      </w:pPr>
      <w:r>
        <w:rPr>
          <w:b/>
          <w:sz w:val="28"/>
          <w:szCs w:val="28"/>
        </w:rPr>
        <w:t>3.</w:t>
      </w:r>
      <w:r>
        <w:rPr>
          <w:b/>
          <w:sz w:val="28"/>
          <w:szCs w:val="28"/>
        </w:rPr>
        <w:tab/>
        <w:t>Manufacturer’s Duty Is Nondelegable</w:t>
      </w:r>
    </w:p>
    <w:p>
      <w:pPr>
        <w:pStyle w:val="BodyTextFirstIndent"/>
        <w:rPr>
          <w:szCs w:val="22"/>
        </w:rPr>
      </w:pPr>
      <w:r>
        <w:rPr>
          <w:szCs w:val="22"/>
        </w:rPr>
        <w:t>One federal court in Georgia held that a manufacturer cannot delegate to a third party the manufacturer’s duty to warn of a defect or danger, at least where a plaintiff proceeds under a strict liability theory.</w:t>
      </w:r>
      <w:r>
        <w:rPr>
          <w:rStyle w:val="EndnoteReference"/>
          <w:rFonts w:ascii="Century Schoolbook" w:hAnsi="Century Schoolbook"/>
          <w:szCs w:val="22"/>
        </w:rPr>
        <w:endnoteReference w:id="964"/>
      </w:r>
      <w:r>
        <w:rPr>
          <w:szCs w:val="22"/>
        </w:rPr>
        <w:t xml:space="preserve">  In </w:t>
      </w:r>
      <w:r>
        <w:rPr>
          <w:i/>
          <w:szCs w:val="22"/>
        </w:rPr>
        <w:t>White v. W.G.M. Safety Corp.</w:t>
      </w:r>
      <w:r>
        <w:rPr>
          <w:szCs w:val="22"/>
        </w:rPr>
        <w:t>,</w:t>
      </w:r>
      <w:r>
        <w:rPr>
          <w:rStyle w:val="EndnoteReference"/>
          <w:rFonts w:ascii="Century Schoolbook" w:hAnsi="Century Schoolbook"/>
          <w:szCs w:val="22"/>
        </w:rPr>
        <w:endnoteReference w:id="965"/>
      </w:r>
      <w:r>
        <w:rPr>
          <w:szCs w:val="22"/>
        </w:rPr>
        <w:t xml:space="preserve"> the plaintiff was a sandblaster and painter.  He became permanently disabled with silicosis caused by exposure to silica dust while sandblasting.</w:t>
      </w:r>
      <w:r>
        <w:rPr>
          <w:rStyle w:val="EndnoteReference"/>
          <w:rFonts w:ascii="Century Schoolbook" w:hAnsi="Century Schoolbook"/>
          <w:szCs w:val="22"/>
        </w:rPr>
        <w:endnoteReference w:id="966"/>
      </w:r>
      <w:r>
        <w:rPr>
          <w:szCs w:val="22"/>
        </w:rPr>
        <w:t xml:space="preserve">  He sued the manufacturers and sellers of sandblasting protective equipment used at his place of employment for failing to warn him of dangers arising from the use of their respiratory equipment.</w:t>
      </w:r>
      <w:r>
        <w:rPr>
          <w:rStyle w:val="EndnoteReference"/>
          <w:rFonts w:ascii="Century Schoolbook" w:hAnsi="Century Schoolbook"/>
          <w:szCs w:val="22"/>
        </w:rPr>
        <w:endnoteReference w:id="967"/>
      </w:r>
      <w:r>
        <w:rPr>
          <w:szCs w:val="22"/>
        </w:rPr>
        <w:t xml:space="preserve">  The defendants argued they had no duty to warn because the </w:t>
      </w:r>
      <w:r>
        <w:rPr>
          <w:szCs w:val="22"/>
        </w:rPr>
        <w:lastRenderedPageBreak/>
        <w:t>plaintiff’s employer was responsible by law for training the plaintiff in the proper use and maintenance of respirator protection and to monitoring the adequacy of respiratory protective equipment.</w:t>
      </w:r>
      <w:r>
        <w:rPr>
          <w:rStyle w:val="EndnoteReference"/>
          <w:rFonts w:ascii="Century Schoolbook" w:hAnsi="Century Schoolbook"/>
          <w:szCs w:val="22"/>
        </w:rPr>
        <w:endnoteReference w:id="968"/>
      </w:r>
      <w:r>
        <w:rPr>
          <w:szCs w:val="22"/>
        </w:rPr>
        <w:t xml:space="preserve">  The court rejected the defendants’ argument on a strict liability theory, finding that “[t]he manufacturer cannot delegate to such a third party the duty to warn of a defect or danger.”</w:t>
      </w:r>
      <w:r>
        <w:rPr>
          <w:rStyle w:val="EndnoteReference"/>
          <w:rFonts w:ascii="Century Schoolbook" w:hAnsi="Century Schoolbook"/>
          <w:szCs w:val="22"/>
        </w:rPr>
        <w:endnoteReference w:id="969"/>
      </w:r>
      <w:r>
        <w:rPr>
          <w:szCs w:val="22"/>
        </w:rPr>
        <w:t xml:space="preserve">  The court recognized, however, that no Georgia state court had specifically addressed this issue or reached this conclusion.  As to a negligence theory, the court held that, even though the plaintiff’s employer had a legal duty to warn the plaintiff, the imposition of this duty did not provide an absolute defense to the manufacturer.  Rather, the question was whether the employer’s intervening failure to warn became the sole proximate cause of the plaintiff’s injury.</w:t>
      </w:r>
    </w:p>
    <w:p>
      <w:pPr>
        <w:pStyle w:val="BodyText"/>
        <w:jc w:val="center"/>
        <w:rPr>
          <w:b/>
        </w:rPr>
      </w:pPr>
      <w:r>
        <w:rPr>
          <w:b/>
        </w:rPr>
        <w:t>B.</w:t>
      </w:r>
      <w:r>
        <w:rPr>
          <w:b/>
        </w:rPr>
        <w:tab/>
        <w:t>Duties of Non-Manufacturer Sellers</w:t>
      </w:r>
    </w:p>
    <w:p>
      <w:pPr>
        <w:pStyle w:val="BodyTextFirstIndent"/>
        <w:rPr>
          <w:szCs w:val="22"/>
        </w:rPr>
      </w:pPr>
      <w:r>
        <w:rPr>
          <w:szCs w:val="22"/>
        </w:rPr>
        <w:t>Unlike a manufacturer, a product distributor or seller generally has no post-sale duty to warn.</w:t>
      </w:r>
      <w:r>
        <w:rPr>
          <w:rStyle w:val="EndnoteReference"/>
          <w:rFonts w:ascii="Century Schoolbook" w:hAnsi="Century Schoolbook"/>
          <w:szCs w:val="22"/>
        </w:rPr>
        <w:endnoteReference w:id="970"/>
      </w:r>
      <w:r>
        <w:rPr>
          <w:szCs w:val="22"/>
        </w:rPr>
        <w:t xml:space="preserve">  In </w:t>
      </w:r>
      <w:r>
        <w:rPr>
          <w:i/>
          <w:szCs w:val="22"/>
        </w:rPr>
        <w:t>Corbin v. Farmex, Inc.</w:t>
      </w:r>
      <w:r>
        <w:rPr>
          <w:szCs w:val="22"/>
        </w:rPr>
        <w:t>,</w:t>
      </w:r>
      <w:r>
        <w:rPr>
          <w:rStyle w:val="EndnoteReference"/>
          <w:rFonts w:ascii="Century Schoolbook" w:hAnsi="Century Schoolbook"/>
          <w:szCs w:val="22"/>
        </w:rPr>
        <w:endnoteReference w:id="971"/>
      </w:r>
      <w:r>
        <w:rPr>
          <w:szCs w:val="22"/>
        </w:rPr>
        <w:t xml:space="preserve"> for example, the plaintiff motorist was injured when a trailer became unhitched from its tractor and collided with her automobile.  The trailer’s hitch pin was manufactured by a corporation whose assets Farmex subsequently purchased.</w:t>
      </w:r>
      <w:r>
        <w:rPr>
          <w:rStyle w:val="EndnoteReference"/>
          <w:rFonts w:ascii="Century Schoolbook" w:hAnsi="Century Schoolbook"/>
          <w:szCs w:val="22"/>
        </w:rPr>
        <w:endnoteReference w:id="972"/>
      </w:r>
      <w:r>
        <w:rPr>
          <w:szCs w:val="22"/>
        </w:rPr>
        <w:t xml:space="preserve">  After the asset purchase, Farmex introduced a specific hitch pin into the stream of commerce in its capacity as a wholesale vendor to a distributor in Georgia.</w:t>
      </w:r>
      <w:r>
        <w:rPr>
          <w:rStyle w:val="EndnoteReference"/>
          <w:rFonts w:ascii="Century Schoolbook" w:hAnsi="Century Schoolbook"/>
          <w:szCs w:val="22"/>
        </w:rPr>
        <w:endnoteReference w:id="973"/>
      </w:r>
      <w:r>
        <w:rPr>
          <w:szCs w:val="22"/>
        </w:rPr>
        <w:t xml:space="preserve">  The plaintiff argued Farmex was liable for its own negligence in failing to warn of </w:t>
      </w:r>
      <w:r>
        <w:rPr>
          <w:szCs w:val="22"/>
        </w:rPr>
        <w:lastRenderedPageBreak/>
        <w:t>foreseeable dangers from reasonable use of the hitch pin.</w:t>
      </w:r>
      <w:r>
        <w:rPr>
          <w:rStyle w:val="EndnoteReference"/>
          <w:rFonts w:ascii="Century Schoolbook" w:hAnsi="Century Schoolbook"/>
          <w:szCs w:val="22"/>
        </w:rPr>
        <w:endnoteReference w:id="974"/>
      </w:r>
      <w:r>
        <w:rPr>
          <w:szCs w:val="22"/>
        </w:rPr>
        <w:t xml:space="preserve">  The court held there was no evidence Farmex knew or should have known of any defect in the hitch pin, which Farmex did not manufacture, nor was there any prior claim that a failure of the hitch pin resulted in property damage or personal injury.</w:t>
      </w:r>
      <w:r>
        <w:rPr>
          <w:rStyle w:val="EndnoteReference"/>
          <w:rFonts w:ascii="Century Schoolbook" w:hAnsi="Century Schoolbook"/>
          <w:szCs w:val="22"/>
        </w:rPr>
        <w:endnoteReference w:id="975"/>
      </w:r>
      <w:r>
        <w:rPr>
          <w:szCs w:val="22"/>
        </w:rPr>
        <w:t xml:space="preserve">  Thus, the danger was unforeseeable as a matter of law, and Farmex could not be held liable for failure to warn.</w:t>
      </w:r>
      <w:r>
        <w:rPr>
          <w:rStyle w:val="EndnoteReference"/>
          <w:rFonts w:ascii="Century Schoolbook" w:hAnsi="Century Schoolbook"/>
          <w:szCs w:val="22"/>
        </w:rPr>
        <w:endnoteReference w:id="976"/>
      </w:r>
    </w:p>
    <w:p>
      <w:pPr>
        <w:pStyle w:val="BodyTextFirstIndent"/>
        <w:rPr>
          <w:szCs w:val="22"/>
        </w:rPr>
      </w:pPr>
      <w:r>
        <w:rPr>
          <w:szCs w:val="22"/>
        </w:rPr>
        <w:t xml:space="preserve">On the other hand, a seller’s actual knowledge of its customer’s expected use of a product and of injuries to its customer’s employees while using the product can gave rise to the seller’s post-sale duty to warn of the dangerous nature of the product.  In </w:t>
      </w:r>
      <w:r>
        <w:rPr>
          <w:i/>
          <w:szCs w:val="22"/>
        </w:rPr>
        <w:t>Boyce v. Gregory Poole Equip. Co.</w:t>
      </w:r>
      <w:r>
        <w:rPr>
          <w:szCs w:val="22"/>
        </w:rPr>
        <w:t>,</w:t>
      </w:r>
      <w:r>
        <w:rPr>
          <w:rStyle w:val="EndnoteReference"/>
          <w:rFonts w:ascii="Century Schoolbook" w:hAnsi="Century Schoolbook"/>
          <w:szCs w:val="22"/>
        </w:rPr>
        <w:endnoteReference w:id="977"/>
      </w:r>
      <w:r>
        <w:rPr>
          <w:szCs w:val="22"/>
        </w:rPr>
        <w:t xml:space="preserve"> the plaintiff’s decedent was an employee of EcoLab in 1998 when he was fatally injured while operating a stand-up forklift that had an open back and sides.</w:t>
      </w:r>
      <w:r>
        <w:rPr>
          <w:rStyle w:val="EndnoteReference"/>
          <w:rFonts w:ascii="Century Schoolbook" w:hAnsi="Century Schoolbook"/>
          <w:szCs w:val="22"/>
        </w:rPr>
        <w:endnoteReference w:id="978"/>
      </w:r>
      <w:r>
        <w:rPr>
          <w:szCs w:val="22"/>
        </w:rPr>
        <w:t xml:space="preserve">  EcoLab had no prior experience with stand-up forklifts, so the seller made fifteen to twenty visits to EcoLab to determine the plant's configuration, use, and options needed before EcoLab purchased the forklifts from the seller in 1994.</w:t>
      </w:r>
      <w:r>
        <w:rPr>
          <w:rStyle w:val="EndnoteReference"/>
          <w:rFonts w:ascii="Century Schoolbook" w:hAnsi="Century Schoolbook"/>
          <w:szCs w:val="22"/>
        </w:rPr>
        <w:endnoteReference w:id="979"/>
      </w:r>
      <w:r>
        <w:rPr>
          <w:szCs w:val="22"/>
        </w:rPr>
        <w:t xml:space="preserve">  In 1995, the manufacturer and many of its dealers recommended that rear guard-doors be included on its stand-up forklifts as an important safety feature.</w:t>
      </w:r>
      <w:r>
        <w:rPr>
          <w:rStyle w:val="EndnoteReference"/>
          <w:rFonts w:ascii="Century Schoolbook" w:hAnsi="Century Schoolbook"/>
          <w:szCs w:val="22"/>
        </w:rPr>
        <w:endnoteReference w:id="980"/>
      </w:r>
      <w:r>
        <w:rPr>
          <w:szCs w:val="22"/>
        </w:rPr>
        <w:t xml:space="preserve">  In 1996, an employee of EcoLab was injured using one of the stand-up forklifts without a rear guard-door, after which EcoLab contacted the seller to inquire whether there were safety devices to prevent such an injury occurring in the future.</w:t>
      </w:r>
      <w:r>
        <w:rPr>
          <w:rStyle w:val="EndnoteReference"/>
          <w:rFonts w:ascii="Century Schoolbook" w:hAnsi="Century Schoolbook"/>
          <w:szCs w:val="22"/>
        </w:rPr>
        <w:endnoteReference w:id="981"/>
      </w:r>
      <w:r>
        <w:rPr>
          <w:szCs w:val="22"/>
        </w:rPr>
        <w:t xml:space="preserve">  The seller provided EcoLab with written materials stating the rear guard-doors </w:t>
      </w:r>
      <w:r>
        <w:rPr>
          <w:szCs w:val="22"/>
        </w:rPr>
        <w:lastRenderedPageBreak/>
        <w:t>were dangerous and should not be used, and EcoLab consequently elected not to purchase the rear guard-door for its forklifts.</w:t>
      </w:r>
      <w:r>
        <w:rPr>
          <w:rStyle w:val="EndnoteReference"/>
          <w:rFonts w:ascii="Century Schoolbook" w:hAnsi="Century Schoolbook"/>
          <w:szCs w:val="22"/>
        </w:rPr>
        <w:endnoteReference w:id="982"/>
      </w:r>
      <w:r>
        <w:rPr>
          <w:szCs w:val="22"/>
        </w:rPr>
        <w:t xml:space="preserve">  After the plaintiff’s decedent was injured in 1998, the plaintiff sued the seller for failing to warn of the dangerous nature of the stand-up forklifts.</w:t>
      </w:r>
      <w:r>
        <w:rPr>
          <w:rStyle w:val="EndnoteReference"/>
          <w:rFonts w:ascii="Century Schoolbook" w:hAnsi="Century Schoolbook"/>
          <w:szCs w:val="22"/>
        </w:rPr>
        <w:endnoteReference w:id="983"/>
      </w:r>
      <w:r>
        <w:rPr>
          <w:szCs w:val="22"/>
        </w:rPr>
        <w:t xml:space="preserve">  The court denied summary judgment to the seller, finding issues of fact existed as to the seller’s failure to advise EcoLab at the point of sale in 1994 of the availability of a rear guard-door as a safety device and its failure to warn EcoLab of the inherent danger of using a stand-up forklift without a rear guard-door in close proximity to other regular forklifts, given the seller’s detailed investigation into the expected use of forklifts at EcoLab’s plant.</w:t>
      </w:r>
      <w:r>
        <w:rPr>
          <w:rStyle w:val="EndnoteReference"/>
          <w:rFonts w:ascii="Century Schoolbook" w:hAnsi="Century Schoolbook"/>
          <w:szCs w:val="22"/>
        </w:rPr>
        <w:endnoteReference w:id="984"/>
      </w:r>
      <w:r>
        <w:rPr>
          <w:szCs w:val="22"/>
        </w:rPr>
        <w:t xml:space="preserve">  The court further found issues of fact existed as to the seller’s post-sale failure to warn in 1996, when it learned of the injury to Ecolab’s first injured employee and after Ecolab requested information about how to prevent such injuries in the future.</w:t>
      </w:r>
      <w:r>
        <w:rPr>
          <w:rStyle w:val="EndnoteReference"/>
          <w:rFonts w:ascii="Century Schoolbook" w:hAnsi="Century Schoolbook"/>
          <w:szCs w:val="22"/>
        </w:rPr>
        <w:endnoteReference w:id="985"/>
      </w:r>
      <w:r>
        <w:rPr>
          <w:szCs w:val="22"/>
        </w:rPr>
        <w:t xml:space="preserve">  </w:t>
      </w:r>
    </w:p>
    <w:p>
      <w:pPr>
        <w:pStyle w:val="BodyText"/>
        <w:jc w:val="center"/>
        <w:rPr>
          <w:b/>
        </w:rPr>
      </w:pPr>
      <w:r>
        <w:rPr>
          <w:b/>
        </w:rPr>
        <w:t>C.</w:t>
      </w:r>
      <w:r>
        <w:rPr>
          <w:b/>
        </w:rPr>
        <w:tab/>
        <w:t>Corporate Successors' Post-Sale Duty to Warn</w:t>
      </w:r>
    </w:p>
    <w:p>
      <w:pPr>
        <w:pStyle w:val="BodyTextFirstIndent"/>
        <w:rPr>
          <w:szCs w:val="22"/>
        </w:rPr>
      </w:pPr>
      <w:r>
        <w:rPr>
          <w:szCs w:val="22"/>
        </w:rPr>
        <w:t>Corporations that acquire the assets of other corporations are liable for harm caused by defective products sold by predecessors only in limited circumstances, generally where the successor knows or reasonably should know the product poses a substantial risk of harm.</w:t>
      </w:r>
      <w:r>
        <w:rPr>
          <w:rStyle w:val="EndnoteReference"/>
          <w:rFonts w:ascii="Century Schoolbook" w:hAnsi="Century Schoolbook"/>
          <w:szCs w:val="22"/>
        </w:rPr>
        <w:endnoteReference w:id="986"/>
      </w:r>
      <w:r>
        <w:rPr>
          <w:szCs w:val="22"/>
        </w:rPr>
        <w:t xml:space="preserve">  In </w:t>
      </w:r>
      <w:r>
        <w:rPr>
          <w:i/>
          <w:szCs w:val="22"/>
        </w:rPr>
        <w:t>Silver v. Bad Boy Enterprises LLC</w:t>
      </w:r>
      <w:r>
        <w:rPr>
          <w:szCs w:val="22"/>
        </w:rPr>
        <w:t>,</w:t>
      </w:r>
      <w:r>
        <w:rPr>
          <w:rStyle w:val="EndnoteReference"/>
          <w:rFonts w:ascii="Century Schoolbook" w:hAnsi="Century Schoolbook"/>
          <w:szCs w:val="22"/>
        </w:rPr>
        <w:endnoteReference w:id="987"/>
      </w:r>
      <w:r>
        <w:rPr>
          <w:szCs w:val="22"/>
        </w:rPr>
        <w:t xml:space="preserve"> for instance, the court held the successor corporation that took over manufacturing operations for </w:t>
      </w:r>
      <w:r>
        <w:rPr>
          <w:i/>
          <w:iCs/>
          <w:szCs w:val="22"/>
        </w:rPr>
        <w:t>new</w:t>
      </w:r>
      <w:r>
        <w:rPr>
          <w:szCs w:val="22"/>
        </w:rPr>
        <w:t xml:space="preserve"> models of four-wheel utility vehicles did not assume any duty to warn previous customers regarding hazards in its predecessor’s </w:t>
      </w:r>
      <w:r>
        <w:rPr>
          <w:szCs w:val="22"/>
        </w:rPr>
        <w:lastRenderedPageBreak/>
        <w:t>vehicles that the successor did not manufacture or sell.</w:t>
      </w:r>
      <w:r>
        <w:rPr>
          <w:rStyle w:val="EndnoteReference"/>
          <w:rFonts w:ascii="Century Schoolbook" w:hAnsi="Century Schoolbook"/>
          <w:szCs w:val="22"/>
        </w:rPr>
        <w:endnoteReference w:id="988"/>
      </w:r>
      <w:r>
        <w:rPr>
          <w:szCs w:val="22"/>
        </w:rPr>
        <w:t xml:space="preserve">  Such “open-ended liability” cannot be imposed upon the successor corporation for vehicles it “never manufactured, never sold, and never assumed liability for in [its] purchase of [the predecessor’s] assets.”</w:t>
      </w:r>
      <w:r>
        <w:rPr>
          <w:rStyle w:val="EndnoteReference"/>
          <w:rFonts w:ascii="Century Schoolbook" w:hAnsi="Century Schoolbook"/>
          <w:szCs w:val="22"/>
        </w:rPr>
        <w:endnoteReference w:id="989"/>
      </w:r>
    </w:p>
    <w:p>
      <w:pPr>
        <w:pStyle w:val="BodyText"/>
        <w:jc w:val="center"/>
        <w:rPr>
          <w:b/>
        </w:rPr>
      </w:pPr>
      <w:r>
        <w:rPr>
          <w:b/>
        </w:rPr>
        <w:t>D.</w:t>
      </w:r>
      <w:r>
        <w:rPr>
          <w:b/>
        </w:rPr>
        <w:tab/>
        <w:t>Factors Determining Whether a Post-Sale Duty to Warn Exists</w:t>
      </w:r>
    </w:p>
    <w:p>
      <w:pPr>
        <w:pStyle w:val="BodyTextFirstIndent"/>
        <w:rPr>
          <w:szCs w:val="22"/>
        </w:rPr>
      </w:pPr>
      <w:r>
        <w:rPr>
          <w:szCs w:val="22"/>
        </w:rPr>
        <w:t xml:space="preserve">There is no bright-line rule or set of factors to which Georgia courts will look in determining whether a manufacturer or seller had sufficient knowledge of a product danger to give rise to its post-sale duty to warn.  In one oft-cited case, the Supreme Court of Kansas attempted to provide some guidance by holding a case-by-case analysis should include examination of such factors as: </w:t>
      </w:r>
    </w:p>
    <w:p>
      <w:pPr>
        <w:pStyle w:val="BBDoubleIndent"/>
        <w:rPr>
          <w:szCs w:val="22"/>
        </w:rPr>
      </w:pPr>
      <w:r>
        <w:t xml:space="preserve">(1) the nature of the harm that may result from use without notice, (2) the likelihood that harm will occur (Does future continuing use of the product create a significant risk of serious harm which can be lessened if a post-sale warning is given?), (3) how many persons are affected, (4) the economic burden on the manufacturer of identifying and contacting current product users (Does the manufacturer have an ongoing relationship with the purchaser or other </w:t>
      </w:r>
      <w:r>
        <w:lastRenderedPageBreak/>
        <w:t>knowledge of the identity of the owner of the product</w:t>
      </w:r>
      <w:r>
        <w:rPr>
          <w:szCs w:val="22"/>
        </w:rPr>
        <w:t xml:space="preserve"> which provides a practical way of providing a post-sale warning?), (5) the nature of the industry, (6) the type of product involved, (7) the number of units manufactured or sold, and (8) steps taken other than giving of notice to correct the problem.</w:t>
      </w:r>
      <w:r>
        <w:rPr>
          <w:rStyle w:val="EndnoteReference"/>
          <w:szCs w:val="22"/>
        </w:rPr>
        <w:endnoteReference w:id="990"/>
      </w:r>
    </w:p>
    <w:p>
      <w:pPr>
        <w:pStyle w:val="BodyTextFirstIndent"/>
      </w:pPr>
      <w:r>
        <w:t>New York’s highest court similarly held that a post-sale duty to warn of dangers associated with the use of a product “will generally arise where a defect or danger is revealed by user operation and brought to the attention of the manufacturer; the existence and scope of such a duty are generally fact-specific.”</w:t>
      </w:r>
      <w:r>
        <w:rPr>
          <w:rStyle w:val="EndnoteReference"/>
          <w:rFonts w:ascii="Century Schoolbook" w:hAnsi="Century Schoolbook"/>
          <w:szCs w:val="22"/>
        </w:rPr>
        <w:endnoteReference w:id="991"/>
      </w:r>
      <w:r>
        <w:t xml:space="preserve">  Although there are no set guidelines to determine at what point a manufacturer will be deemed to know or reasonably should know its product poses a substantial risk of harm, a review of case law from other jurisdictions reveals certain general themes.  Whether a Georgia court would apply these same factors is not known.</w:t>
      </w:r>
    </w:p>
    <w:p>
      <w:pPr>
        <w:pStyle w:val="BodyText"/>
        <w:jc w:val="center"/>
        <w:rPr>
          <w:b/>
        </w:rPr>
      </w:pPr>
      <w:r>
        <w:rPr>
          <w:b/>
        </w:rPr>
        <w:t>E.</w:t>
      </w:r>
      <w:r>
        <w:rPr>
          <w:b/>
        </w:rPr>
        <w:tab/>
        <w:t>Manufacturer’s Actual Knowledge of Other Accidents</w:t>
      </w:r>
    </w:p>
    <w:p>
      <w:pPr>
        <w:pStyle w:val="BodyTextFirstIndent"/>
      </w:pPr>
      <w:r>
        <w:t>Other states have found a manufacturer can have a duty to warn users of product-related dangers if the manufacturer has actual knowledge of a sufficient number of other substantially similar accidents involving the product.</w:t>
      </w:r>
      <w:r>
        <w:rPr>
          <w:rStyle w:val="EndnoteReference"/>
          <w:rFonts w:ascii="Century Schoolbook" w:hAnsi="Century Schoolbook"/>
          <w:szCs w:val="22"/>
        </w:rPr>
        <w:endnoteReference w:id="992"/>
      </w:r>
      <w:r>
        <w:t xml:space="preserve">  In </w:t>
      </w:r>
      <w:r>
        <w:rPr>
          <w:i/>
        </w:rPr>
        <w:t>Esparza v. Skyreach Equip., Inc</w:t>
      </w:r>
      <w:r>
        <w:t>.,</w:t>
      </w:r>
      <w:r>
        <w:rPr>
          <w:rStyle w:val="EndnoteReference"/>
          <w:rFonts w:ascii="Century Schoolbook" w:hAnsi="Century Schoolbook"/>
          <w:szCs w:val="22"/>
        </w:rPr>
        <w:endnoteReference w:id="993"/>
      </w:r>
      <w:r>
        <w:t xml:space="preserve"> for instance, a manlift tipped over, causing the </w:t>
      </w:r>
      <w:r>
        <w:lastRenderedPageBreak/>
        <w:t>plaintiff to fall fifty feet and suffer severe injuries.  The accident occurred because of the failure of circuit cards in the manlift’s electrical system, something that had happened three years previously.  Given the manufacturer’s awareness of the problem from the prior incident, the seriousness of the danger presented by the manlift raising workers up to 110 feet above the ground, the electrical system being the only means of preventing the manlift tipping over, and the relative ease with which the manufacturer could have issued warnings to replace the electrical system’s old circuit cards with new ones to avoid such dangers, the manufacturer could be liable for failing to issue such warnings.</w:t>
      </w:r>
      <w:r>
        <w:rPr>
          <w:rStyle w:val="EndnoteReference"/>
          <w:rFonts w:ascii="Century Schoolbook" w:hAnsi="Century Schoolbook"/>
          <w:szCs w:val="22"/>
        </w:rPr>
        <w:endnoteReference w:id="994"/>
      </w:r>
      <w:r>
        <w:t xml:space="preserve">  </w:t>
      </w:r>
    </w:p>
    <w:p>
      <w:pPr>
        <w:pStyle w:val="BodyTextFirstIndent"/>
        <w:rPr>
          <w:szCs w:val="22"/>
        </w:rPr>
      </w:pPr>
      <w:r>
        <w:rPr>
          <w:szCs w:val="22"/>
        </w:rPr>
        <w:t xml:space="preserve">In addition, in </w:t>
      </w:r>
      <w:r>
        <w:rPr>
          <w:i/>
          <w:szCs w:val="22"/>
        </w:rPr>
        <w:t>Lovick v. Wil-Rich</w:t>
      </w:r>
      <w:r>
        <w:rPr>
          <w:szCs w:val="22"/>
        </w:rPr>
        <w:t>,</w:t>
      </w:r>
      <w:r>
        <w:rPr>
          <w:rStyle w:val="EndnoteReference"/>
          <w:rFonts w:ascii="Century Schoolbook" w:hAnsi="Century Schoolbook"/>
          <w:szCs w:val="22"/>
        </w:rPr>
        <w:endnoteReference w:id="995"/>
      </w:r>
      <w:r>
        <w:rPr>
          <w:szCs w:val="22"/>
        </w:rPr>
        <w:t xml:space="preserve"> in the ten years before the plaintiff’s accident, Wil-Rich received nine reports that wings of its cultivators had fallen and injured the operators.  Five years before the plaintiff’s accident, Wil-Rich began to affix a warning label to its cultivators to caution operators of the danger of going under the wing to remove pins.  One year after the plaintiff’s accident, Wil-Rich began a campaign to notify owners of its cultivators of the danger of falling wings.  The plaintiff produced evidence that a competitor of Wil-Rich instituted a safety program ten years earlier for its similarly designed cultivator, which included efforts to locate cultivator owners and retrofit existing cultivators with a wing safety latch and an upgraded warning label.  Wil-Rich knew of its competitor’s post-sale warning program in 1987, but did not institute </w:t>
      </w:r>
      <w:r>
        <w:rPr>
          <w:szCs w:val="22"/>
        </w:rPr>
        <w:lastRenderedPageBreak/>
        <w:t>its own post-sale warning program until 1994.  The court held Wil-Rich’s knowledge of numerous similar accidents involving its cultivators, and its knowledge that other manufacturers of similar cultivators were taking steps to warn users of the dangers, made it liable for failing to institute an adequate post-sale warning campaign.</w:t>
      </w:r>
      <w:r>
        <w:rPr>
          <w:rStyle w:val="EndnoteReference"/>
          <w:rFonts w:ascii="Century Schoolbook" w:hAnsi="Century Schoolbook"/>
          <w:szCs w:val="22"/>
        </w:rPr>
        <w:endnoteReference w:id="996"/>
      </w:r>
    </w:p>
    <w:p>
      <w:pPr>
        <w:pStyle w:val="BodyTextFirstIndent"/>
        <w:rPr>
          <w:szCs w:val="22"/>
        </w:rPr>
      </w:pPr>
      <w:r>
        <w:rPr>
          <w:szCs w:val="22"/>
        </w:rPr>
        <w:t>Once a manufacturer learns of other accidents involving its product, therefore, it might not be sufficient merely to add new warning labels to unsold products or to redesign the product.  When a post-sale duty to warn arises, the manufacturer must take reasonable steps to notify identifiable existing users of the danger.  What constitutes reasonable notice under the circumstances is generally a question of fact for the jury, although the scope of this analysis in Georgia is unclear.</w:t>
      </w:r>
      <w:r>
        <w:rPr>
          <w:rStyle w:val="EndnoteReference"/>
          <w:rFonts w:ascii="Century Schoolbook" w:hAnsi="Century Schoolbook"/>
          <w:szCs w:val="22"/>
        </w:rPr>
        <w:endnoteReference w:id="997"/>
      </w:r>
      <w:r>
        <w:rPr>
          <w:szCs w:val="22"/>
        </w:rPr>
        <w:t xml:space="preserve">  In </w:t>
      </w:r>
      <w:r>
        <w:rPr>
          <w:i/>
          <w:szCs w:val="22"/>
        </w:rPr>
        <w:t>Novak v. Navistar Int’l Transp. Corp</w:t>
      </w:r>
      <w:r>
        <w:rPr>
          <w:szCs w:val="22"/>
        </w:rPr>
        <w:t>.,</w:t>
      </w:r>
      <w:r>
        <w:rPr>
          <w:rStyle w:val="EndnoteReference"/>
          <w:rFonts w:ascii="Century Schoolbook" w:hAnsi="Century Schoolbook"/>
          <w:szCs w:val="22"/>
        </w:rPr>
        <w:endnoteReference w:id="998"/>
      </w:r>
      <w:r>
        <w:rPr>
          <w:szCs w:val="22"/>
        </w:rPr>
        <w:t xml:space="preserve"> for instance, the manufacturer’s post-sale knowledge of the danger in the gear selector in its farm tractor was proven by evidence the manufacturer, years after the sale of the tractor at issue, started to make a replacement part kit that eliminated the hazard associated with the gear selector.  After the design change, however, the manufacturer made no effort to recall the old tractors or to inform owners or dealers of the problem.  The court held that the manufacturer’s production of the replacement kit gave rise to its duty to warn users of the tractors of the potential danger that could result from their continued use of the original mechanism.</w:t>
      </w:r>
      <w:r>
        <w:rPr>
          <w:rStyle w:val="EndnoteReference"/>
          <w:rFonts w:ascii="Century Schoolbook" w:hAnsi="Century Schoolbook"/>
          <w:szCs w:val="22"/>
        </w:rPr>
        <w:endnoteReference w:id="999"/>
      </w:r>
      <w:r>
        <w:rPr>
          <w:szCs w:val="22"/>
        </w:rPr>
        <w:t xml:space="preserve"> </w:t>
      </w:r>
    </w:p>
    <w:p>
      <w:pPr>
        <w:pStyle w:val="BodyText"/>
        <w:jc w:val="center"/>
        <w:rPr>
          <w:b/>
        </w:rPr>
      </w:pPr>
      <w:r>
        <w:rPr>
          <w:b/>
        </w:rPr>
        <w:lastRenderedPageBreak/>
        <w:t>F.</w:t>
      </w:r>
      <w:r>
        <w:rPr>
          <w:b/>
        </w:rPr>
        <w:tab/>
        <w:t>Size of the Market and Number of Units Sold</w:t>
      </w:r>
    </w:p>
    <w:p>
      <w:pPr>
        <w:pStyle w:val="BodyTextFirstIndent"/>
        <w:rPr>
          <w:szCs w:val="22"/>
        </w:rPr>
      </w:pPr>
      <w:r>
        <w:rPr>
          <w:szCs w:val="22"/>
        </w:rPr>
        <w:t>Even if the manufacturer has knowledge of other accidents sufficient to give rise to its post-sale duty to warn, the Restatement (Third) states that a manufacturer has a duty to provide a post-sale warning only if users of its product can be identified and if a warning can be effectively communicated to them.</w:t>
      </w:r>
      <w:r>
        <w:rPr>
          <w:rStyle w:val="EndnoteReference"/>
          <w:rFonts w:ascii="Century Schoolbook" w:hAnsi="Century Schoolbook"/>
          <w:szCs w:val="22"/>
        </w:rPr>
        <w:endnoteReference w:id="1000"/>
      </w:r>
      <w:r>
        <w:rPr>
          <w:szCs w:val="22"/>
        </w:rPr>
        <w:t xml:space="preserve">  Importantly, the post-sale duty to warn of a manufacturer of common consumer goods will differ greatly from the duty of a manufacturer of products sold in a small, specialized market in which customers are more easily identifiable.</w:t>
      </w:r>
    </w:p>
    <w:p>
      <w:pPr>
        <w:pStyle w:val="BodyTextFirstIndent"/>
        <w:rPr>
          <w:szCs w:val="22"/>
        </w:rPr>
      </w:pPr>
      <w:r>
        <w:rPr>
          <w:szCs w:val="22"/>
        </w:rPr>
        <w:t>For instance, ordinarily courts refuse to impose a continuing duty to warn on manufacturers of common, mass-produced products, reasoning that such a duty would be unduly burdensome, if not impossible, and would create disincentives to develop safer products.</w:t>
      </w:r>
      <w:r>
        <w:rPr>
          <w:rStyle w:val="EndnoteReference"/>
          <w:rFonts w:ascii="Century Schoolbook" w:hAnsi="Century Schoolbook"/>
          <w:szCs w:val="22"/>
        </w:rPr>
        <w:endnoteReference w:id="1001"/>
      </w:r>
      <w:r>
        <w:rPr>
          <w:szCs w:val="22"/>
        </w:rPr>
        <w:t xml:space="preserve">  Other courts clarify that mass production and wide distribution of a product may limit the manufacturer’s duty, but do not defeat the duty’s existence altogether.  In </w:t>
      </w:r>
      <w:r>
        <w:rPr>
          <w:i/>
          <w:szCs w:val="22"/>
        </w:rPr>
        <w:t>Hollingsworth &amp; Vose Co. v. Connor</w:t>
      </w:r>
      <w:r>
        <w:rPr>
          <w:szCs w:val="22"/>
        </w:rPr>
        <w:t>,</w:t>
      </w:r>
      <w:r>
        <w:rPr>
          <w:rStyle w:val="EndnoteReference"/>
          <w:rFonts w:ascii="Century Schoolbook" w:hAnsi="Century Schoolbook"/>
          <w:szCs w:val="22"/>
        </w:rPr>
        <w:endnoteReference w:id="1002"/>
      </w:r>
      <w:r>
        <w:rPr>
          <w:szCs w:val="22"/>
        </w:rPr>
        <w:t xml:space="preserve"> the court acknowledged it would be unreasonable to require the maker of a “mass-produced, widely distributed product to track down every purchaser and user,” but held “it may be appropriate in certain cases to require a manufacturer to take reasonable steps under the circumstances to widely disseminate notice of the danger.”</w:t>
      </w:r>
      <w:r>
        <w:rPr>
          <w:rStyle w:val="EndnoteReference"/>
          <w:rFonts w:ascii="Century Schoolbook" w:hAnsi="Century Schoolbook"/>
          <w:szCs w:val="22"/>
        </w:rPr>
        <w:endnoteReference w:id="1003"/>
      </w:r>
      <w:r>
        <w:rPr>
          <w:szCs w:val="22"/>
        </w:rPr>
        <w:t xml:space="preserve">  When dealing with mass-produced consumer products, for which direct communication to users might not be feasible, “reasonable </w:t>
      </w:r>
      <w:r>
        <w:rPr>
          <w:szCs w:val="22"/>
        </w:rPr>
        <w:lastRenderedPageBreak/>
        <w:t>notice under the circumstances” might require the manufacturer to provide public notices in newspapers or magazines.</w:t>
      </w:r>
      <w:r>
        <w:rPr>
          <w:rStyle w:val="EndnoteReference"/>
          <w:rFonts w:ascii="Century Schoolbook" w:hAnsi="Century Schoolbook"/>
          <w:szCs w:val="22"/>
        </w:rPr>
        <w:endnoteReference w:id="1004"/>
      </w:r>
      <w:r>
        <w:rPr>
          <w:szCs w:val="22"/>
        </w:rPr>
        <w:t xml:space="preserve">  </w:t>
      </w:r>
    </w:p>
    <w:p>
      <w:pPr>
        <w:pStyle w:val="BodyTextFirstIndent"/>
        <w:rPr>
          <w:szCs w:val="22"/>
        </w:rPr>
      </w:pPr>
      <w:r>
        <w:rPr>
          <w:szCs w:val="22"/>
        </w:rPr>
        <w:t xml:space="preserve">A post-sale duty to warn might exist, however, where the manufacturer of a mass-produced consumer product has actual knowledge of the identity of the current owner of the product.  </w:t>
      </w:r>
      <w:r>
        <w:rPr>
          <w:i/>
          <w:szCs w:val="22"/>
        </w:rPr>
        <w:t>Dixon v. Jacobsen Mfg. Co</w:t>
      </w:r>
      <w:r>
        <w:rPr>
          <w:szCs w:val="22"/>
        </w:rPr>
        <w:t>.,</w:t>
      </w:r>
      <w:r>
        <w:rPr>
          <w:rStyle w:val="EndnoteReference"/>
          <w:rFonts w:ascii="Century Schoolbook" w:hAnsi="Century Schoolbook"/>
          <w:szCs w:val="22"/>
        </w:rPr>
        <w:endnoteReference w:id="1005"/>
      </w:r>
      <w:r>
        <w:rPr>
          <w:szCs w:val="22"/>
        </w:rPr>
        <w:t xml:space="preserve"> involved a snow-thrower made in 1965 that the plaintiff's father purchased in 1986 at a garage sale.  After buying it, he telephoned the manufacturer to request information about it, and the manufacturer sent him the 1965 owner’s and parts manuals. The plaintiff contended more recent manuals had warnings about a hidden hazard that were more explicit than warnings in the 1965 manual.  Reversing a judgment for the manufacturer, the court noted that in cases in which courts had been reluctant to impose post-sale duties to warn the courts had been concerned about the burden on manufacturers to find out the identity of current owners.  “No such policy consideration exists where the owner is known.”</w:t>
      </w:r>
      <w:r>
        <w:rPr>
          <w:rStyle w:val="EndnoteReference"/>
          <w:rFonts w:ascii="Century Schoolbook" w:hAnsi="Century Schoolbook"/>
          <w:szCs w:val="22"/>
        </w:rPr>
        <w:endnoteReference w:id="1006"/>
      </w:r>
      <w:r>
        <w:rPr>
          <w:szCs w:val="22"/>
        </w:rPr>
        <w:t xml:space="preserve">  </w:t>
      </w:r>
    </w:p>
    <w:p>
      <w:pPr>
        <w:pStyle w:val="BodyTextFirstIndent"/>
        <w:rPr>
          <w:szCs w:val="22"/>
        </w:rPr>
      </w:pPr>
      <w:r>
        <w:rPr>
          <w:szCs w:val="22"/>
        </w:rPr>
        <w:t xml:space="preserve">On the other hand, a relatively narrow market for a product will make identifying its ultimate users less burdensome.  The court in </w:t>
      </w:r>
      <w:r>
        <w:rPr>
          <w:i/>
          <w:szCs w:val="22"/>
        </w:rPr>
        <w:t>Jones v. Bowie Indus., Inc</w:t>
      </w:r>
      <w:r>
        <w:rPr>
          <w:szCs w:val="22"/>
        </w:rPr>
        <w:t>.,</w:t>
      </w:r>
      <w:r>
        <w:rPr>
          <w:rStyle w:val="EndnoteReference"/>
          <w:rFonts w:ascii="Century Schoolbook" w:hAnsi="Century Schoolbook"/>
          <w:szCs w:val="22"/>
        </w:rPr>
        <w:endnoteReference w:id="1007"/>
      </w:r>
      <w:r>
        <w:rPr>
          <w:szCs w:val="22"/>
        </w:rPr>
        <w:t xml:space="preserve"> noted that the manufacturer’s hydromulchers were specialized machines with a limited number of users, so that advertisements in trade publications could have effectively contacted or warned users.  The manufacturer also kept a list of hydromulcher parts customers, yet made no effort to send </w:t>
      </w:r>
      <w:r>
        <w:rPr>
          <w:szCs w:val="22"/>
        </w:rPr>
        <w:lastRenderedPageBreak/>
        <w:t xml:space="preserve">warnings to them.  Similarly, the Pennsylvania Supreme Court in </w:t>
      </w:r>
      <w:r>
        <w:rPr>
          <w:i/>
          <w:szCs w:val="22"/>
        </w:rPr>
        <w:t>Walton v. Avco Corp</w:t>
      </w:r>
      <w:r>
        <w:rPr>
          <w:szCs w:val="22"/>
        </w:rPr>
        <w:t>.,</w:t>
      </w:r>
      <w:r>
        <w:rPr>
          <w:rStyle w:val="EndnoteReference"/>
          <w:rFonts w:ascii="Century Schoolbook" w:hAnsi="Century Schoolbook"/>
          <w:szCs w:val="22"/>
        </w:rPr>
        <w:endnoteReference w:id="1008"/>
      </w:r>
      <w:r>
        <w:rPr>
          <w:szCs w:val="22"/>
        </w:rPr>
        <w:t xml:space="preserve"> held a helicopter manufacturer liable for post-sale failure to warn of a defect in an engine, finding that, since helicopters are not mass-produced</w:t>
      </w:r>
      <w:r>
        <w:rPr>
          <w:b/>
          <w:i/>
          <w:szCs w:val="22"/>
        </w:rPr>
        <w:t xml:space="preserve"> </w:t>
      </w:r>
      <w:r>
        <w:rPr>
          <w:szCs w:val="22"/>
        </w:rPr>
        <w:t xml:space="preserve">or mass-marketed products that can be impossible to track or difficult to locate, the manufacturer could have communicated a warning through companies that service helicopters.  </w:t>
      </w:r>
      <w:r>
        <w:rPr>
          <w:i/>
          <w:szCs w:val="22"/>
        </w:rPr>
        <w:t>Patton v. Hutchinson Wil-Rich Mfg.</w:t>
      </w:r>
      <w:r>
        <w:rPr>
          <w:rStyle w:val="EndnoteReference"/>
          <w:rFonts w:ascii="Century Schoolbook" w:hAnsi="Century Schoolbook"/>
          <w:szCs w:val="22"/>
        </w:rPr>
        <w:endnoteReference w:id="1009"/>
      </w:r>
      <w:r>
        <w:rPr>
          <w:szCs w:val="22"/>
        </w:rPr>
        <w:t xml:space="preserve"> involved a cultivator sold in 1977 that the plaintiff was repairing when he was injured in 1990.  In finding the manufacturer had a duty to warn, the Kansas Supreme Court noted the manufacturer had evidence of similar accidents involving its cultivator as early as 1983 and had sold its product through an established network of retailers that would have made it relatively easy to notify them and their customers of dangers in the cultivator that it discovered after the sale.</w:t>
      </w:r>
      <w:r>
        <w:rPr>
          <w:rStyle w:val="EndnoteReference"/>
          <w:rFonts w:ascii="Century Schoolbook" w:hAnsi="Century Schoolbook"/>
          <w:szCs w:val="22"/>
        </w:rPr>
        <w:endnoteReference w:id="1010"/>
      </w:r>
      <w:r>
        <w:rPr>
          <w:szCs w:val="22"/>
        </w:rPr>
        <w:t xml:space="preserve">  </w:t>
      </w:r>
    </w:p>
    <w:p>
      <w:pPr>
        <w:pStyle w:val="BodyText"/>
        <w:jc w:val="center"/>
        <w:rPr>
          <w:b/>
        </w:rPr>
      </w:pPr>
      <w:r>
        <w:rPr>
          <w:b/>
        </w:rPr>
        <w:t>G.</w:t>
      </w:r>
      <w:r>
        <w:rPr>
          <w:b/>
        </w:rPr>
        <w:tab/>
        <w:t>Frequency and Severity of Injuries</w:t>
      </w:r>
    </w:p>
    <w:p>
      <w:pPr>
        <w:pStyle w:val="BodyTextFirstIndent"/>
        <w:rPr>
          <w:szCs w:val="22"/>
        </w:rPr>
      </w:pPr>
      <w:r>
        <w:rPr>
          <w:szCs w:val="22"/>
        </w:rPr>
        <w:t>According to the Restatement, a manufacturer has no post-sale duty to warn of product-related accidents that occur infrequently and are not likely to cause substantial harm.</w:t>
      </w:r>
      <w:r>
        <w:rPr>
          <w:rStyle w:val="EndnoteReference"/>
          <w:rFonts w:ascii="Century Schoolbook" w:hAnsi="Century Schoolbook"/>
          <w:szCs w:val="22"/>
        </w:rPr>
        <w:endnoteReference w:id="1011"/>
      </w:r>
      <w:r>
        <w:rPr>
          <w:szCs w:val="22"/>
        </w:rPr>
        <w:t xml:space="preserve">  On the other hand, in </w:t>
      </w:r>
      <w:r>
        <w:rPr>
          <w:i/>
          <w:szCs w:val="22"/>
        </w:rPr>
        <w:t>Jones v. Bowie Indus., Inc.,</w:t>
      </w:r>
      <w:r>
        <w:rPr>
          <w:rStyle w:val="EndnoteReference"/>
          <w:rFonts w:ascii="Century Schoolbook" w:hAnsi="Century Schoolbook"/>
          <w:szCs w:val="22"/>
        </w:rPr>
        <w:endnoteReference w:id="1012"/>
      </w:r>
      <w:r>
        <w:rPr>
          <w:szCs w:val="22"/>
        </w:rPr>
        <w:t xml:space="preserve"> a few years after Bowie first manufactured and distributed its hydromulchers, it became aware that workers were using their feet to force mulch into the opening and were suffering severe injuries as a result.  The court held that, despite the relative infrequency of severe accidents involving the hydromulcher, </w:t>
      </w:r>
      <w:r>
        <w:rPr>
          <w:szCs w:val="22"/>
        </w:rPr>
        <w:lastRenderedPageBreak/>
        <w:t>infrequent, severe accidents can still cause substantial harm and will suffice to impose a post-sale duty to warn on the manufacturer.</w:t>
      </w:r>
      <w:r>
        <w:rPr>
          <w:rStyle w:val="EndnoteReference"/>
          <w:rFonts w:ascii="Century Schoolbook" w:hAnsi="Century Schoolbook"/>
          <w:szCs w:val="22"/>
        </w:rPr>
        <w:endnoteReference w:id="1013"/>
      </w:r>
    </w:p>
    <w:p>
      <w:pPr>
        <w:pStyle w:val="BodyTextFirstIndent"/>
        <w:rPr>
          <w:szCs w:val="22"/>
        </w:rPr>
      </w:pPr>
      <w:r>
        <w:rPr>
          <w:szCs w:val="22"/>
        </w:rPr>
        <w:t>In Georgia, whether a manufacturer has a post-sale duty to warn of dangers related to its product, therefore, will depend on where the particular facts fall along the spectrum of liability, the assessment of which is highly fact-intensive.  At one end of the spectrum, the manufacturer of a highly specialized product sold in a narrow market through few distributors that has actual knowledge of many serious injuries resulting to users of the product likely will have a duty to warn users of the dangers related to its product.  At the other end of the spectrum, the manufacturer of a mass-produced consumer product that has caused few and relatively minor injuries likely will have no duty to warn.  What is certain is that courts will look to whether the manufacturer acted reasonably under the circumstances.  The cases cited above will certainly inform, but by no means control, the resolution of these issues in Georgia.</w:t>
      </w:r>
    </w:p>
    <w:p>
      <w:pPr>
        <w:pStyle w:val="BodyText"/>
        <w:ind w:left="720" w:hanging="720"/>
        <w:rPr>
          <w:b/>
        </w:rPr>
      </w:pPr>
      <w:r>
        <w:rPr>
          <w:b/>
        </w:rPr>
        <w:t>III.</w:t>
      </w:r>
      <w:r>
        <w:rPr>
          <w:b/>
        </w:rPr>
        <w:tab/>
        <w:t>No Duty to Warn of Open and Obvious Dangers or Dangers of Which the Plaintiff Was Already Aware</w:t>
      </w:r>
    </w:p>
    <w:p>
      <w:pPr>
        <w:pStyle w:val="BodyTextFirstIndent"/>
        <w:rPr>
          <w:szCs w:val="22"/>
        </w:rPr>
      </w:pPr>
      <w:r>
        <w:rPr>
          <w:szCs w:val="22"/>
        </w:rPr>
        <w:t>A post-sale duty to warn should not exist if the danger was open and obvious, because manufacturers and sellers have no duty to warn of a product-connected danger that is obvious or generally known.</w:t>
      </w:r>
      <w:r>
        <w:rPr>
          <w:rStyle w:val="EndnoteReference"/>
          <w:rFonts w:ascii="Century Schoolbook" w:hAnsi="Century Schoolbook"/>
          <w:szCs w:val="22"/>
        </w:rPr>
        <w:endnoteReference w:id="1014"/>
      </w:r>
      <w:r>
        <w:rPr>
          <w:szCs w:val="22"/>
        </w:rPr>
        <w:t xml:space="preserve">  The same rule applies where the user knows or should know of the danger or </w:t>
      </w:r>
      <w:r>
        <w:rPr>
          <w:szCs w:val="22"/>
        </w:rPr>
        <w:lastRenderedPageBreak/>
        <w:t>should in using the product discover the danger.</w:t>
      </w:r>
      <w:r>
        <w:rPr>
          <w:rStyle w:val="EndnoteReference"/>
          <w:rFonts w:ascii="Century Schoolbook" w:hAnsi="Century Schoolbook"/>
          <w:szCs w:val="22"/>
        </w:rPr>
        <w:endnoteReference w:id="1015"/>
      </w:r>
      <w:r>
        <w:rPr>
          <w:szCs w:val="22"/>
        </w:rPr>
        <w:t xml:space="preserve">  In </w:t>
      </w:r>
      <w:r>
        <w:rPr>
          <w:i/>
          <w:szCs w:val="22"/>
        </w:rPr>
        <w:t>Liriano v. Hobart Corp</w:t>
      </w:r>
      <w:r>
        <w:rPr>
          <w:szCs w:val="22"/>
        </w:rPr>
        <w:t>.,</w:t>
      </w:r>
      <w:r>
        <w:rPr>
          <w:rStyle w:val="EndnoteReference"/>
          <w:rFonts w:ascii="Century Schoolbook" w:hAnsi="Century Schoolbook"/>
          <w:szCs w:val="22"/>
        </w:rPr>
        <w:endnoteReference w:id="1016"/>
      </w:r>
      <w:r>
        <w:rPr>
          <w:szCs w:val="22"/>
        </w:rPr>
        <w:t xml:space="preserve"> for instance, the court held the manufacturer had no duty to warn against post-sale product modifications (here, the removal of safety guards from meat grinding equipment) the danger of which was obvious through general knowledge, observation or common sense.  The court held that a manufacturer’s warning would have been superfluous given the injured party’s actual knowledge of the specific hazard that caused the injury.</w:t>
      </w:r>
      <w:r>
        <w:rPr>
          <w:rStyle w:val="EndnoteReference"/>
          <w:rFonts w:ascii="Century Schoolbook" w:hAnsi="Century Schoolbook"/>
          <w:szCs w:val="22"/>
        </w:rPr>
        <w:endnoteReference w:id="1017"/>
      </w:r>
      <w:r>
        <w:rPr>
          <w:szCs w:val="22"/>
        </w:rPr>
        <w:t xml:space="preserve">  </w:t>
      </w:r>
    </w:p>
    <w:p>
      <w:pPr>
        <w:pStyle w:val="BodyTextFirstIndent"/>
        <w:rPr>
          <w:szCs w:val="22"/>
        </w:rPr>
      </w:pPr>
      <w:r>
        <w:rPr>
          <w:szCs w:val="22"/>
        </w:rPr>
        <w:t xml:space="preserve">In </w:t>
      </w:r>
      <w:r>
        <w:rPr>
          <w:i/>
          <w:szCs w:val="22"/>
        </w:rPr>
        <w:t>Habecker v. Clark Equip. Co</w:t>
      </w:r>
      <w:r>
        <w:rPr>
          <w:szCs w:val="22"/>
        </w:rPr>
        <w:t>.,</w:t>
      </w:r>
      <w:r>
        <w:rPr>
          <w:rStyle w:val="EndnoteReference"/>
          <w:rFonts w:ascii="Century Schoolbook" w:hAnsi="Century Schoolbook"/>
          <w:szCs w:val="22"/>
        </w:rPr>
        <w:endnoteReference w:id="1018"/>
      </w:r>
      <w:r>
        <w:rPr>
          <w:szCs w:val="22"/>
        </w:rPr>
        <w:t xml:space="preserve"> a forklift operator was killed when he was thrown out of the forklift’s cab and crushed beneath the machine. The plaintiffs argued that when the manufacturer began making new forklifts and retrofitting older models with restraining devices, it should have warned users of its older machines they may not be as safe without such devices.  The court rejected the argument, pointing out that the absence of restraints was an open and obvious, patent danger against which the manufacturer had no duty to warn.</w:t>
      </w:r>
      <w:r>
        <w:rPr>
          <w:rStyle w:val="EndnoteReference"/>
          <w:rFonts w:ascii="Century Schoolbook" w:hAnsi="Century Schoolbook"/>
          <w:szCs w:val="22"/>
        </w:rPr>
        <w:endnoteReference w:id="1019"/>
      </w:r>
      <w:r>
        <w:rPr>
          <w:szCs w:val="22"/>
        </w:rPr>
        <w:t xml:space="preserve">  </w:t>
      </w:r>
    </w:p>
    <w:p>
      <w:pPr>
        <w:pStyle w:val="BodyText"/>
        <w:ind w:left="720" w:hanging="720"/>
        <w:rPr>
          <w:b/>
        </w:rPr>
      </w:pPr>
      <w:r>
        <w:rPr>
          <w:b/>
        </w:rPr>
        <w:t>IV.</w:t>
      </w:r>
      <w:r>
        <w:rPr>
          <w:b/>
        </w:rPr>
        <w:tab/>
        <w:t>Evidence of Manufacturer’s Post-Sale Knowledge of Danger</w:t>
      </w:r>
    </w:p>
    <w:p>
      <w:pPr>
        <w:pStyle w:val="BodyText"/>
        <w:ind w:left="720" w:hanging="720"/>
        <w:jc w:val="center"/>
        <w:rPr>
          <w:b/>
          <w:szCs w:val="22"/>
        </w:rPr>
      </w:pPr>
      <w:r>
        <w:rPr>
          <w:b/>
          <w:szCs w:val="22"/>
        </w:rPr>
        <w:t>A.</w:t>
      </w:r>
      <w:r>
        <w:rPr>
          <w:b/>
          <w:szCs w:val="22"/>
        </w:rPr>
        <w:tab/>
        <w:t>Substantially Similar Occurrences</w:t>
      </w:r>
    </w:p>
    <w:p>
      <w:pPr>
        <w:pStyle w:val="BodyTextFirstIndent"/>
        <w:rPr>
          <w:szCs w:val="22"/>
        </w:rPr>
      </w:pPr>
      <w:r>
        <w:rPr>
          <w:szCs w:val="22"/>
        </w:rPr>
        <w:t xml:space="preserve">A plaintiff might attempt to introduce evidence of previous accidents involving a product as proof of the manufacturer’s knowledge of a product danger to support a post-sale duty to warn claim.  To admit other accidents, the plaintiff must show they </w:t>
      </w:r>
      <w:r>
        <w:rPr>
          <w:szCs w:val="22"/>
        </w:rPr>
        <w:lastRenderedPageBreak/>
        <w:t>are substantially similar to the accident involved in the lawsuit.  In Georgia, “[s]imilar acts or omissions on other and different occasions are not generally admissible to prove like acts or omissions at a different time or place.  However, in product liability cases, an exception to the general rule has developed, and in some cases evidence of other substantially similar incidents involving the product is admissible and relevant to the issues of notice of a defect and punitive damages.”</w:t>
      </w:r>
      <w:r>
        <w:rPr>
          <w:rStyle w:val="EndnoteReference"/>
          <w:rFonts w:ascii="Century Schoolbook" w:hAnsi="Century Schoolbook"/>
          <w:szCs w:val="22"/>
        </w:rPr>
        <w:endnoteReference w:id="1020"/>
      </w:r>
      <w:r>
        <w:rPr>
          <w:szCs w:val="22"/>
          <w:vertAlign w:val="superscript"/>
        </w:rPr>
        <w:t xml:space="preserve"> </w:t>
      </w:r>
      <w:r>
        <w:rPr>
          <w:szCs w:val="22"/>
        </w:rPr>
        <w:t xml:space="preserve"> “In order to show substantial similarity, the plaintiff must come forward with evidence (1) that the products involved in the other incidents and the present incident shared a common design and manufacturing process; (2) that the products suffered from a common defect; and (3) that any common defects shared the same causation.”</w:t>
      </w:r>
      <w:r>
        <w:rPr>
          <w:rStyle w:val="EndnoteReference"/>
          <w:rFonts w:ascii="Century Schoolbook" w:hAnsi="Century Schoolbook"/>
          <w:szCs w:val="22"/>
        </w:rPr>
        <w:endnoteReference w:id="1021"/>
      </w:r>
      <w:r>
        <w:rPr>
          <w:szCs w:val="22"/>
        </w:rPr>
        <w:t xml:space="preserve">  In </w:t>
      </w:r>
      <w:r>
        <w:rPr>
          <w:i/>
          <w:szCs w:val="22"/>
        </w:rPr>
        <w:t>Ford Motor Co. v. Reese</w:t>
      </w:r>
      <w:r>
        <w:rPr>
          <w:szCs w:val="22"/>
        </w:rPr>
        <w:t>,</w:t>
      </w:r>
      <w:r>
        <w:rPr>
          <w:rStyle w:val="EndnoteReference"/>
          <w:rFonts w:ascii="Century Schoolbook" w:hAnsi="Century Schoolbook"/>
          <w:szCs w:val="22"/>
        </w:rPr>
        <w:endnoteReference w:id="1022"/>
      </w:r>
      <w:r>
        <w:rPr>
          <w:szCs w:val="22"/>
        </w:rPr>
        <w:t xml:space="preserve"> the other incidents introduced by the plaintiff all involved a Ford vehicle with a seatback with the same design as the Ford Tempo seatback at issue that similarly collapsed backward in rear impact collisions.</w:t>
      </w:r>
      <w:r>
        <w:rPr>
          <w:rStyle w:val="EndnoteReference"/>
          <w:rFonts w:ascii="Century Schoolbook" w:hAnsi="Century Schoolbook"/>
          <w:szCs w:val="22"/>
        </w:rPr>
        <w:endnoteReference w:id="1023"/>
      </w:r>
      <w:r>
        <w:rPr>
          <w:szCs w:val="22"/>
        </w:rPr>
        <w:t xml:space="preserve">  The court held the other incidents met the substantial similarity test and were admissible to show Ford had knowledge or notice of the alleged seat defect such that it had a duty to issue post-sale warnings.</w:t>
      </w:r>
      <w:r>
        <w:rPr>
          <w:rStyle w:val="EndnoteReference"/>
          <w:rFonts w:ascii="Century Schoolbook" w:hAnsi="Century Schoolbook"/>
          <w:szCs w:val="22"/>
        </w:rPr>
        <w:endnoteReference w:id="1024"/>
      </w:r>
      <w:r>
        <w:rPr>
          <w:szCs w:val="22"/>
        </w:rPr>
        <w:t xml:space="preserve">  </w:t>
      </w:r>
    </w:p>
    <w:p>
      <w:pPr>
        <w:pStyle w:val="BodyTextFirstIndent"/>
        <w:rPr>
          <w:szCs w:val="22"/>
        </w:rPr>
      </w:pPr>
      <w:r>
        <w:rPr>
          <w:szCs w:val="22"/>
        </w:rPr>
        <w:t xml:space="preserve">Conversely, defendants can seek to introduce evidence of the </w:t>
      </w:r>
      <w:r>
        <w:rPr>
          <w:i/>
          <w:szCs w:val="22"/>
        </w:rPr>
        <w:t>absence</w:t>
      </w:r>
      <w:r>
        <w:rPr>
          <w:szCs w:val="22"/>
        </w:rPr>
        <w:t xml:space="preserve"> of other accidents in defense of a post-sale failure to warn case.  In cases involving mass produced consumer products, for instance, a defendant can introduce evidence that thousands of persons used the item and none was injured.</w:t>
      </w:r>
      <w:r>
        <w:rPr>
          <w:rStyle w:val="EndnoteReference"/>
          <w:rFonts w:ascii="Century Schoolbook" w:hAnsi="Century Schoolbook"/>
          <w:szCs w:val="22"/>
        </w:rPr>
        <w:endnoteReference w:id="1025"/>
      </w:r>
      <w:r>
        <w:rPr>
          <w:szCs w:val="22"/>
        </w:rPr>
        <w:t xml:space="preserve">  In any case, </w:t>
      </w:r>
      <w:r>
        <w:rPr>
          <w:szCs w:val="22"/>
        </w:rPr>
        <w:lastRenderedPageBreak/>
        <w:t>evidence of repeated use by others without incident of the specific item that injured the plaintiff, under substantially similar circumstances, can be relevant to show the absence of a duty to warn.</w:t>
      </w:r>
      <w:r>
        <w:rPr>
          <w:rStyle w:val="EndnoteReference"/>
          <w:rFonts w:ascii="Century Schoolbook" w:hAnsi="Century Schoolbook"/>
          <w:szCs w:val="22"/>
        </w:rPr>
        <w:endnoteReference w:id="1026"/>
      </w:r>
    </w:p>
    <w:p>
      <w:pPr>
        <w:pStyle w:val="BodyText"/>
        <w:jc w:val="center"/>
        <w:rPr>
          <w:b/>
        </w:rPr>
      </w:pPr>
      <w:r>
        <w:rPr>
          <w:b/>
        </w:rPr>
        <w:t>B.</w:t>
      </w:r>
      <w:r>
        <w:rPr>
          <w:b/>
        </w:rPr>
        <w:tab/>
        <w:t>Subsequent Remedial Measures</w:t>
      </w:r>
    </w:p>
    <w:p>
      <w:pPr>
        <w:pStyle w:val="BodyTextFirstIndent"/>
        <w:rPr>
          <w:szCs w:val="22"/>
        </w:rPr>
      </w:pPr>
      <w:r>
        <w:rPr>
          <w:szCs w:val="22"/>
        </w:rPr>
        <w:t>If a manufacturer issues a post-sale warning or recall notice, a plaintiff might seek to introduce evidence of such post-sale remedial measures as proof of the products’ defect or of the manufacturer’s awareness of the defects or danger.</w:t>
      </w:r>
      <w:r>
        <w:rPr>
          <w:rStyle w:val="EndnoteReference"/>
          <w:rFonts w:ascii="Century Schoolbook" w:hAnsi="Century Schoolbook"/>
          <w:szCs w:val="22"/>
        </w:rPr>
        <w:endnoteReference w:id="1027"/>
      </w:r>
      <w:r>
        <w:rPr>
          <w:szCs w:val="22"/>
        </w:rPr>
        <w:t xml:space="preserve">  A “subsequent remedial measure” can take many different forms and may include product design changes,</w:t>
      </w:r>
      <w:r>
        <w:rPr>
          <w:rStyle w:val="EndnoteReference"/>
          <w:rFonts w:ascii="Century Schoolbook" w:hAnsi="Century Schoolbook"/>
          <w:szCs w:val="22"/>
        </w:rPr>
        <w:endnoteReference w:id="1028"/>
      </w:r>
      <w:r>
        <w:rPr>
          <w:szCs w:val="22"/>
        </w:rPr>
        <w:t xml:space="preserve"> warning bulletins,</w:t>
      </w:r>
      <w:r>
        <w:rPr>
          <w:rStyle w:val="EndnoteReference"/>
          <w:rFonts w:ascii="Century Schoolbook" w:hAnsi="Century Schoolbook"/>
          <w:szCs w:val="22"/>
        </w:rPr>
        <w:endnoteReference w:id="1029"/>
      </w:r>
      <w:r>
        <w:rPr>
          <w:szCs w:val="22"/>
        </w:rPr>
        <w:t xml:space="preserve"> and recall letters.</w:t>
      </w:r>
      <w:r>
        <w:rPr>
          <w:rStyle w:val="EndnoteReference"/>
          <w:rFonts w:ascii="Century Schoolbook" w:hAnsi="Century Schoolbook"/>
          <w:szCs w:val="22"/>
        </w:rPr>
        <w:endnoteReference w:id="1030"/>
      </w:r>
      <w:r>
        <w:rPr>
          <w:szCs w:val="22"/>
        </w:rPr>
        <w:t xml:space="preserve"> In Georgia, evidence of subsequent remedial measures is governed by O.C.G.A. § 24-4-407, which provides:</w:t>
      </w:r>
    </w:p>
    <w:p>
      <w:pPr>
        <w:pStyle w:val="BBDoubleIndent"/>
      </w:pPr>
      <w:r>
        <w:t xml:space="preserve">In civil proceedings, when, after an injury or harm, remedial measures are taken to make such injury or harm less likely to recur, evidence of the remedial measures shall not be admissible to prove negligence or culpable conduct but may be admissible to prove product liability under subsection (b) or (c) of Code Section 51-1-11.  The provisions of this Code section shall not require the exclusion of evidence of remedial measures when offered for impeachment or for </w:t>
      </w:r>
      <w:r>
        <w:lastRenderedPageBreak/>
        <w:t>another purpose, including, but not limited to, proving ownership, control, or feasibility of precautionary measures, if controverted.</w:t>
      </w:r>
    </w:p>
    <w:p>
      <w:pPr>
        <w:pStyle w:val="BodyTextFirstIndent"/>
        <w:rPr>
          <w:szCs w:val="22"/>
        </w:rPr>
      </w:pPr>
      <w:r>
        <w:rPr>
          <w:szCs w:val="22"/>
        </w:rPr>
        <w:t>Whether such evidence is admissible in a particular action depends initially on whether the plaintiff’s claim is based in negligence or strict liability.  Evidence of subsequent remedial measures is generally inadmissible in a negligence action for the purpose of showing the defendant recognizes and admits its potential liability.</w:t>
      </w:r>
      <w:r>
        <w:rPr>
          <w:rStyle w:val="EndnoteReference"/>
          <w:rFonts w:ascii="Century Schoolbook" w:hAnsi="Century Schoolbook"/>
          <w:szCs w:val="22"/>
        </w:rPr>
        <w:endnoteReference w:id="1031"/>
      </w:r>
      <w:r>
        <w:rPr>
          <w:szCs w:val="22"/>
        </w:rPr>
        <w:t xml:space="preserve">  There are several instances in which evidence of subsequent remedial measures is admissible in a negligence action, however, “such as when the subsequent repair, change, or modification tends to prove some fact of the case on trial (other than belated awareness of negligence, of course), to show contemporary knowledge of the defect, causation, a rebuttal of a contention that it was impossible for the accident to happen in the manner claimed, and so on.”</w:t>
      </w:r>
      <w:r>
        <w:rPr>
          <w:rStyle w:val="EndnoteReference"/>
          <w:rFonts w:ascii="Century Schoolbook" w:hAnsi="Century Schoolbook"/>
          <w:szCs w:val="22"/>
        </w:rPr>
        <w:endnoteReference w:id="1032"/>
      </w:r>
      <w:r>
        <w:rPr>
          <w:szCs w:val="22"/>
        </w:rPr>
        <w:t xml:space="preserve">  Such evidence may also be admitted where the feasibility of repair or modification is an issue.</w:t>
      </w:r>
      <w:r>
        <w:rPr>
          <w:rStyle w:val="EndnoteReference"/>
          <w:rFonts w:ascii="Century Schoolbook" w:hAnsi="Century Schoolbook"/>
          <w:szCs w:val="22"/>
        </w:rPr>
        <w:endnoteReference w:id="1033"/>
      </w:r>
      <w:r>
        <w:rPr>
          <w:szCs w:val="22"/>
        </w:rPr>
        <w:t xml:space="preserve">  Evidence of subsequent remedial measures is admissible, however, in strict liability actions.</w:t>
      </w:r>
      <w:r>
        <w:rPr>
          <w:rStyle w:val="EndnoteReference"/>
          <w:rFonts w:ascii="Century Schoolbook" w:hAnsi="Century Schoolbook"/>
          <w:szCs w:val="22"/>
        </w:rPr>
        <w:endnoteReference w:id="1034"/>
      </w:r>
      <w:r>
        <w:rPr>
          <w:szCs w:val="22"/>
        </w:rPr>
        <w:t xml:space="preserve">  In many actions the plaintiff will assert both negligence and strict liability claims.  Thus, the jury must be carefully instructed as to the proper use and limits of evidence of subsequent remedial measures so the jury does not consider such evidence on the issue of the manufacturer’s negligence.</w:t>
      </w:r>
      <w:r>
        <w:rPr>
          <w:rStyle w:val="EndnoteReference"/>
          <w:rFonts w:ascii="Century Schoolbook" w:hAnsi="Century Schoolbook"/>
          <w:szCs w:val="22"/>
        </w:rPr>
        <w:endnoteReference w:id="1035"/>
      </w:r>
      <w:r>
        <w:rPr>
          <w:szCs w:val="22"/>
        </w:rPr>
        <w:t xml:space="preserve">  </w:t>
      </w:r>
    </w:p>
    <w:p>
      <w:pPr>
        <w:pStyle w:val="BodyTextFirstIndent"/>
        <w:rPr>
          <w:szCs w:val="22"/>
        </w:rPr>
      </w:pPr>
      <w:r>
        <w:rPr>
          <w:szCs w:val="22"/>
        </w:rPr>
        <w:lastRenderedPageBreak/>
        <w:t xml:space="preserve">Even if evidence of subsequent remedial measures is admissible, the plaintiff must first establish its relevance by showing through independent evidence that the product involved in causing his injury is the same product covered by the remedial measure.  In the absence of such a foundation, the evidence is irrelevant and inadmissible.  In </w:t>
      </w:r>
      <w:r>
        <w:rPr>
          <w:i/>
          <w:szCs w:val="22"/>
        </w:rPr>
        <w:t>Rose v. Figgie Int’l, Inc.</w:t>
      </w:r>
      <w:r>
        <w:rPr>
          <w:szCs w:val="22"/>
        </w:rPr>
        <w:t>,</w:t>
      </w:r>
      <w:r>
        <w:rPr>
          <w:rStyle w:val="EndnoteReference"/>
          <w:rFonts w:ascii="Century Schoolbook" w:hAnsi="Century Schoolbook"/>
          <w:szCs w:val="22"/>
        </w:rPr>
        <w:endnoteReference w:id="1036"/>
      </w:r>
      <w:r>
        <w:rPr>
          <w:szCs w:val="22"/>
        </w:rPr>
        <w:t xml:space="preserve"> the plaintiff sought to introduce into evidence the defendant’s notice recalling its fire extinguisher to establish the existence of a defect in her extinguisher, which had been destroyed in the explosion that caused the plaintiff’s injuries.  The court admitted the evidence on the condition the plaintiff first proved, through circumstantial evidence, that her extinguisher had the same defect as the recalled extinguishers.</w:t>
      </w:r>
      <w:r>
        <w:rPr>
          <w:rStyle w:val="EndnoteReference"/>
          <w:rFonts w:ascii="Century Schoolbook" w:hAnsi="Century Schoolbook"/>
          <w:szCs w:val="22"/>
        </w:rPr>
        <w:endnoteReference w:id="1037"/>
      </w:r>
      <w:r>
        <w:rPr>
          <w:szCs w:val="22"/>
        </w:rPr>
        <w:t xml:space="preserve">  In </w:t>
      </w:r>
      <w:r>
        <w:rPr>
          <w:i/>
          <w:szCs w:val="22"/>
        </w:rPr>
        <w:t>Cadwell v. General Motors Corp.</w:t>
      </w:r>
      <w:r>
        <w:rPr>
          <w:szCs w:val="22"/>
        </w:rPr>
        <w:t>,</w:t>
      </w:r>
      <w:r>
        <w:rPr>
          <w:rStyle w:val="EndnoteReference"/>
          <w:rFonts w:ascii="Century Schoolbook" w:hAnsi="Century Schoolbook"/>
          <w:szCs w:val="22"/>
        </w:rPr>
        <w:endnoteReference w:id="1038"/>
      </w:r>
      <w:r>
        <w:rPr>
          <w:szCs w:val="22"/>
        </w:rPr>
        <w:t xml:space="preserve"> on the other hand, the court rejected the plaintiff’s attempt to introduce the manufacturer’s recall letter relating to its Chevy Blazer, because the plaintiff’s argument was merely that “IF her vehicle had this malfunction it COULD HAVE caused her collision.”</w:t>
      </w:r>
      <w:r>
        <w:rPr>
          <w:rStyle w:val="EndnoteReference"/>
          <w:rFonts w:ascii="Century Schoolbook" w:hAnsi="Century Schoolbook"/>
          <w:szCs w:val="22"/>
        </w:rPr>
        <w:endnoteReference w:id="1039"/>
      </w:r>
      <w:r>
        <w:rPr>
          <w:szCs w:val="22"/>
        </w:rPr>
        <w:t xml:space="preserve">  The recall letter was not relevant in the absence of other evidence that her Blazer had the same defect as that covered by the recall letter, that her accident was caused by that defect, and that the defect was present in her Blazer when it left the manufacturer’s control.</w:t>
      </w:r>
      <w:r>
        <w:rPr>
          <w:rStyle w:val="EndnoteReference"/>
          <w:rFonts w:ascii="Century Schoolbook" w:hAnsi="Century Schoolbook"/>
          <w:szCs w:val="22"/>
        </w:rPr>
        <w:endnoteReference w:id="1040"/>
      </w:r>
      <w:r>
        <w:rPr>
          <w:szCs w:val="22"/>
        </w:rPr>
        <w:t xml:space="preserve">    </w:t>
      </w:r>
    </w:p>
    <w:p>
      <w:pPr>
        <w:pStyle w:val="BodyText"/>
        <w:rPr>
          <w:b/>
        </w:rPr>
      </w:pPr>
      <w:r>
        <w:rPr>
          <w:b/>
        </w:rPr>
        <w:t>V.</w:t>
      </w:r>
      <w:r>
        <w:rPr>
          <w:b/>
        </w:rPr>
        <w:tab/>
        <w:t>Duty to Recall</w:t>
      </w:r>
    </w:p>
    <w:p>
      <w:pPr>
        <w:pStyle w:val="BodyTextFirstIndent"/>
        <w:rPr>
          <w:szCs w:val="22"/>
        </w:rPr>
      </w:pPr>
      <w:r>
        <w:rPr>
          <w:szCs w:val="22"/>
        </w:rPr>
        <w:t xml:space="preserve">Unlike the continuing duty to warn of a danger arising from a product after its sale or distribution, “absent special circumstances, no common law duty exists under </w:t>
      </w:r>
      <w:r>
        <w:rPr>
          <w:szCs w:val="22"/>
        </w:rPr>
        <w:lastRenderedPageBreak/>
        <w:t>Georgia law requiring a manufacturer to recall a product after the product has left the manufacturer’s control.  … [A] manufacturer’s duty to implement alternative safer designs is limited to the time the product is manufactured, not months or years later when technology or knowledge may have changed.  Any other rule would render a manufacturer a perpetual insurer of the safety of its products, contrary to established Georgia law.”</w:t>
      </w:r>
      <w:r>
        <w:rPr>
          <w:rStyle w:val="EndnoteReference"/>
          <w:rFonts w:ascii="Century Schoolbook" w:hAnsi="Century Schoolbook"/>
          <w:szCs w:val="22"/>
        </w:rPr>
        <w:endnoteReference w:id="1041"/>
      </w:r>
      <w:r>
        <w:rPr>
          <w:szCs w:val="22"/>
        </w:rPr>
        <w:t xml:space="preserve">  The continuing nature of the post-sale duty to warn was expressly sanctioned by the General Assembly in O.C.G.A. § 51-1-11(c).</w:t>
      </w:r>
      <w:r>
        <w:rPr>
          <w:rStyle w:val="EndnoteReference"/>
          <w:rFonts w:ascii="Century Schoolbook" w:hAnsi="Century Schoolbook"/>
          <w:szCs w:val="22"/>
        </w:rPr>
        <w:endnoteReference w:id="1042"/>
      </w:r>
      <w:r>
        <w:rPr>
          <w:szCs w:val="22"/>
        </w:rPr>
        <w:t xml:space="preserve">  “As such, when the General Assembly intends for Georgia law to impose a continuing duty upon product manufacturers, it knows how to do so, and we must presume that its failure to [impose a continuing duty to recall] was a matter of considered choice.”</w:t>
      </w:r>
      <w:r>
        <w:rPr>
          <w:rStyle w:val="EndnoteReference"/>
          <w:rFonts w:ascii="Century Schoolbook" w:hAnsi="Century Schoolbook"/>
          <w:szCs w:val="22"/>
        </w:rPr>
        <w:endnoteReference w:id="1043"/>
      </w:r>
    </w:p>
    <w:p>
      <w:pPr>
        <w:pStyle w:val="BodyTextFirstIndent"/>
        <w:rPr>
          <w:szCs w:val="22"/>
        </w:rPr>
      </w:pPr>
      <w:r>
        <w:rPr>
          <w:szCs w:val="22"/>
        </w:rPr>
        <w:t xml:space="preserve">The court in </w:t>
      </w:r>
      <w:r>
        <w:rPr>
          <w:i/>
          <w:szCs w:val="22"/>
        </w:rPr>
        <w:t>Ford Motor Co. v. Reese</w:t>
      </w:r>
      <w:r>
        <w:rPr>
          <w:szCs w:val="22"/>
        </w:rPr>
        <w:t xml:space="preserve"> addressed the “special circumstances” that might trigger a manufacturer’s duty to recall.  First, if a manufacturer chooses to recall a product voluntarily, Georgia law imposes a duty upon the manufacturer to exercise ordinary care in conducting the recall campaign.</w:t>
      </w:r>
      <w:r>
        <w:rPr>
          <w:rStyle w:val="EndnoteReference"/>
          <w:rFonts w:ascii="Century Schoolbook" w:hAnsi="Century Schoolbook"/>
          <w:szCs w:val="22"/>
        </w:rPr>
        <w:endnoteReference w:id="1044"/>
      </w:r>
      <w:r>
        <w:rPr>
          <w:szCs w:val="22"/>
        </w:rPr>
        <w:t xml:space="preserve">  For instance, in </w:t>
      </w:r>
      <w:r>
        <w:rPr>
          <w:i/>
          <w:szCs w:val="22"/>
        </w:rPr>
        <w:t>Silver v. Bad Boy Enterprises LLC</w:t>
      </w:r>
      <w:r>
        <w:rPr>
          <w:szCs w:val="22"/>
        </w:rPr>
        <w:t>,</w:t>
      </w:r>
      <w:r>
        <w:rPr>
          <w:rStyle w:val="EndnoteReference"/>
          <w:rFonts w:ascii="Century Schoolbook" w:hAnsi="Century Schoolbook"/>
          <w:szCs w:val="22"/>
        </w:rPr>
        <w:endnoteReference w:id="1045"/>
      </w:r>
      <w:r>
        <w:rPr>
          <w:szCs w:val="22"/>
        </w:rPr>
        <w:t xml:space="preserve"> the plaintiffs’ thirteen-year-old daughter was driving a four-wheel vehicle when it suddenly accelerated, tipped over and seriously injured her leg.</w:t>
      </w:r>
      <w:r>
        <w:rPr>
          <w:rStyle w:val="EndnoteReference"/>
          <w:rFonts w:ascii="Century Schoolbook" w:hAnsi="Century Schoolbook"/>
          <w:szCs w:val="22"/>
        </w:rPr>
        <w:endnoteReference w:id="1046"/>
      </w:r>
      <w:r>
        <w:rPr>
          <w:szCs w:val="22"/>
        </w:rPr>
        <w:t xml:space="preserve">  Prior to her accident, the vehicle had been subject to three voluntary recalls by the manufacturer for unintended acceleration.</w:t>
      </w:r>
      <w:r>
        <w:rPr>
          <w:rStyle w:val="EndnoteReference"/>
          <w:rFonts w:ascii="Century Schoolbook" w:hAnsi="Century Schoolbook"/>
          <w:szCs w:val="22"/>
        </w:rPr>
        <w:endnoteReference w:id="1047"/>
      </w:r>
      <w:r>
        <w:rPr>
          <w:szCs w:val="22"/>
        </w:rPr>
        <w:t xml:space="preserve">  Although the owner of the vehicle had purchased it directly from the defendants’ factory, there was no </w:t>
      </w:r>
      <w:r>
        <w:rPr>
          <w:szCs w:val="22"/>
        </w:rPr>
        <w:lastRenderedPageBreak/>
        <w:t>evidence he ever received a recall notice or that one was ever sent to him.</w:t>
      </w:r>
      <w:r>
        <w:rPr>
          <w:rStyle w:val="EndnoteReference"/>
          <w:rFonts w:ascii="Century Schoolbook" w:hAnsi="Century Schoolbook"/>
          <w:szCs w:val="22"/>
        </w:rPr>
        <w:endnoteReference w:id="1048"/>
      </w:r>
      <w:r>
        <w:rPr>
          <w:szCs w:val="22"/>
        </w:rPr>
        <w:t xml:space="preserve">  The court thus denied the defendants’ motion for summary judgment as to the plaintiffs’ failure to recall claim, finding there was evidence the defendants undertook a voluntary duty to conduct a recall program related to the vehicle but failed to exercise ordinary care in conducting the recall program.</w:t>
      </w:r>
      <w:r>
        <w:rPr>
          <w:rStyle w:val="EndnoteReference"/>
          <w:rFonts w:ascii="Century Schoolbook" w:hAnsi="Century Schoolbook"/>
          <w:szCs w:val="22"/>
        </w:rPr>
        <w:endnoteReference w:id="1049"/>
      </w:r>
    </w:p>
    <w:p>
      <w:pPr>
        <w:pStyle w:val="BodyTextFirstIndent"/>
        <w:rPr>
          <w:szCs w:val="22"/>
        </w:rPr>
      </w:pPr>
      <w:r>
        <w:rPr>
          <w:szCs w:val="22"/>
        </w:rPr>
        <w:t>Second, a duty to recall will arise where a federal or state statute or governmental agency requires the manufacturer to recall the product.</w:t>
      </w:r>
      <w:r>
        <w:rPr>
          <w:rStyle w:val="EndnoteReference"/>
          <w:rFonts w:ascii="Century Schoolbook" w:hAnsi="Century Schoolbook"/>
          <w:szCs w:val="22"/>
        </w:rPr>
        <w:endnoteReference w:id="1050"/>
      </w:r>
      <w:r>
        <w:rPr>
          <w:szCs w:val="22"/>
        </w:rPr>
        <w:t xml:space="preserve">  In fact, “[i]ssues relating to product recalls are best evaluated by governmental agencies capable of gathering adequate data regarding the ramifications of such undertakings.”</w:t>
      </w:r>
      <w:r>
        <w:rPr>
          <w:rStyle w:val="EndnoteReference"/>
          <w:rFonts w:ascii="Century Schoolbook" w:hAnsi="Century Schoolbook"/>
          <w:szCs w:val="22"/>
        </w:rPr>
        <w:endnoteReference w:id="1051"/>
      </w:r>
      <w:r>
        <w:rPr>
          <w:szCs w:val="22"/>
        </w:rPr>
        <w:t xml:space="preserve">  In one oft-cited case, the Supreme Court of Michigan held, “the duty to repair or recall is more properly a consideration for administrative agencies and the [l]egislature who are better able to weigh the benefits and costs involved in locating, recalling, and retrofitting products, as well as other economic factors affecting businesses and consumers.  Courts have traditionally not been suited to consider the economic effect of such repair or recall campaigns.”</w:t>
      </w:r>
      <w:r>
        <w:rPr>
          <w:rStyle w:val="EndnoteReference"/>
          <w:rFonts w:ascii="Century Schoolbook" w:hAnsi="Century Schoolbook"/>
          <w:szCs w:val="22"/>
        </w:rPr>
        <w:endnoteReference w:id="1052"/>
      </w:r>
      <w:r>
        <w:rPr>
          <w:szCs w:val="22"/>
        </w:rPr>
        <w:t xml:space="preserve">  “[W]hen appropriate, i.e., when the protection of vital interests was deemed necessary, policymakers have explicitly delegated such authority to administrative agencies. … [I]n the appropriate case, failure to follow a recall order mandated by statute and agency might provide the basis for a duty to recall in a negligence action.”</w:t>
      </w:r>
      <w:r>
        <w:rPr>
          <w:rStyle w:val="EndnoteReference"/>
          <w:rFonts w:ascii="Century Schoolbook" w:hAnsi="Century Schoolbook"/>
          <w:szCs w:val="22"/>
        </w:rPr>
        <w:endnoteReference w:id="1053"/>
      </w:r>
      <w:r>
        <w:rPr>
          <w:szCs w:val="22"/>
        </w:rPr>
        <w:t xml:space="preserve">  “Cases that have imposed a duty to repair or recall have been few </w:t>
      </w:r>
      <w:r>
        <w:rPr>
          <w:szCs w:val="22"/>
        </w:rPr>
        <w:lastRenderedPageBreak/>
        <w:t>and have primarily been reserved for extraordinary cases, i.e., airplane safety, in which the potential danger is severe and widespread” and in which manufacturers can easily locate previously sold products.</w:t>
      </w:r>
      <w:r>
        <w:rPr>
          <w:rStyle w:val="EndnoteReference"/>
          <w:rFonts w:ascii="Century Schoolbook" w:hAnsi="Century Schoolbook"/>
          <w:szCs w:val="22"/>
        </w:rPr>
        <w:endnoteReference w:id="1054"/>
      </w:r>
    </w:p>
    <w:p>
      <w:pPr>
        <w:pStyle w:val="BodyTextFirstIndent"/>
        <w:rPr>
          <w:szCs w:val="22"/>
        </w:rPr>
      </w:pPr>
      <w:r>
        <w:rPr>
          <w:szCs w:val="22"/>
        </w:rPr>
        <w:t>Important public policy concerns show why there is no continuing duty to recall upon manufacturers in Georgia.</w:t>
      </w:r>
    </w:p>
    <w:p>
      <w:pPr>
        <w:pStyle w:val="BBDoubleIndent"/>
        <w:rPr>
          <w:szCs w:val="22"/>
        </w:rPr>
      </w:pPr>
      <w:r>
        <w:rPr>
          <w:szCs w:val="22"/>
        </w:rPr>
        <w:t>Because the cost of locating, recalling, and replacing mass-marketed products can be enormous and will likely be passed on to consumers in the form of higher prices, the recall power should not be exercised without extensive consideration of its economic impact.  Courts, however, are constituted to define individual cases, and their inquiries are confined to the particular facts and arguments in the cases before them.  Decisions to expand a manufacturer’s post-sale duty beyond making reasonable efforts to warn product users about newly discovered dangers should be left to administrative agencies, which are better able to weigh the costs and benefits of such action.</w:t>
      </w:r>
      <w:r>
        <w:rPr>
          <w:rStyle w:val="EndnoteReference"/>
          <w:szCs w:val="22"/>
        </w:rPr>
        <w:endnoteReference w:id="1055"/>
      </w:r>
    </w:p>
    <w:p>
      <w:pPr>
        <w:pStyle w:val="BodyTextFirstIndent"/>
        <w:rPr>
          <w:szCs w:val="22"/>
        </w:rPr>
      </w:pPr>
      <w:r>
        <w:rPr>
          <w:szCs w:val="22"/>
        </w:rPr>
        <w:t xml:space="preserve">Generally, any recall duty, to the extent one exists, is the manufacturer’s obligation and not that </w:t>
      </w:r>
      <w:r>
        <w:rPr>
          <w:szCs w:val="22"/>
        </w:rPr>
        <w:lastRenderedPageBreak/>
        <w:t>of a subsequent seller.</w:t>
      </w:r>
      <w:r>
        <w:rPr>
          <w:rStyle w:val="EndnoteReference"/>
          <w:rFonts w:ascii="Century Schoolbook" w:hAnsi="Century Schoolbook"/>
          <w:szCs w:val="22"/>
        </w:rPr>
        <w:endnoteReference w:id="1056"/>
      </w:r>
      <w:r>
        <w:rPr>
          <w:szCs w:val="22"/>
        </w:rPr>
        <w:t xml:space="preserve">  A seller generally has no duty to issue a recall warning and to remediate a dangerous known defect in design, because it has a duty only to warn of dangers actually or constructively known at the time of sale.</w:t>
      </w:r>
      <w:r>
        <w:rPr>
          <w:rStyle w:val="EndnoteReference"/>
          <w:rFonts w:ascii="Century Schoolbook" w:hAnsi="Century Schoolbook"/>
          <w:szCs w:val="22"/>
        </w:rPr>
        <w:endnoteReference w:id="1057"/>
      </w:r>
      <w:r>
        <w:rPr>
          <w:szCs w:val="22"/>
        </w:rPr>
        <w:t xml:space="preserve">  Again, although a seller is not obligated to conduct a recall program, once it undertakes to do so, it has a duty to exercise ordinary care in carrying out the recall.</w:t>
      </w:r>
      <w:r>
        <w:rPr>
          <w:rStyle w:val="EndnoteReference"/>
          <w:rFonts w:ascii="Century Schoolbook" w:hAnsi="Century Schoolbook"/>
          <w:szCs w:val="22"/>
        </w:rPr>
        <w:endnoteReference w:id="1058"/>
      </w:r>
      <w:r>
        <w:rPr>
          <w:szCs w:val="22"/>
        </w:rPr>
        <w:t xml:space="preserve">  In </w:t>
      </w:r>
      <w:r>
        <w:rPr>
          <w:i/>
          <w:szCs w:val="22"/>
        </w:rPr>
        <w:t>Blossman Gas Co. v. Williams</w:t>
      </w:r>
      <w:r>
        <w:rPr>
          <w:szCs w:val="22"/>
        </w:rPr>
        <w:t>, for example, the thermostat on the plaintiffs’ water heater had been the subject of a recall in which the manufacturer mailed a notice to dealers nationwide requesting them to provide their customer lists so the manufacturer could notify owners about the defective thermostats.</w:t>
      </w:r>
      <w:r>
        <w:rPr>
          <w:rStyle w:val="EndnoteReference"/>
          <w:rFonts w:ascii="Century Schoolbook" w:hAnsi="Century Schoolbook"/>
          <w:szCs w:val="22"/>
        </w:rPr>
        <w:endnoteReference w:id="1059"/>
      </w:r>
      <w:r>
        <w:rPr>
          <w:szCs w:val="22"/>
        </w:rPr>
        <w:t xml:space="preserve">  The defendant dealer, after receiving the manufacturer’s notice, requested the manufacturer to provide it with copies of the recall notice and stated it would send a copy of the notice to each of its customers in their bills.</w:t>
      </w:r>
      <w:r>
        <w:rPr>
          <w:rStyle w:val="EndnoteReference"/>
          <w:rFonts w:ascii="Century Schoolbook" w:hAnsi="Century Schoolbook"/>
          <w:szCs w:val="22"/>
        </w:rPr>
        <w:endnoteReference w:id="1060"/>
      </w:r>
      <w:r>
        <w:rPr>
          <w:szCs w:val="22"/>
        </w:rPr>
        <w:t xml:space="preserve">  The manufacturer sent the dealer copies of the recall notice, but the dealer never sent them to its customers.</w:t>
      </w:r>
      <w:r>
        <w:rPr>
          <w:rStyle w:val="EndnoteReference"/>
          <w:rFonts w:ascii="Century Schoolbook" w:hAnsi="Century Schoolbook"/>
          <w:szCs w:val="22"/>
        </w:rPr>
        <w:endnoteReference w:id="1061"/>
      </w:r>
      <w:r>
        <w:rPr>
          <w:szCs w:val="22"/>
        </w:rPr>
        <w:t xml:space="preserve">  The court affirmed a jury verdict for the plaintiffs, finding that, because the dealer had voluntarily agreed to notify its customers of a product recall and to mail the notices the manufacturer provided, the dealer’s failure to perform its voluntarily assumed task was negligence.</w:t>
      </w:r>
      <w:r>
        <w:rPr>
          <w:rStyle w:val="EndnoteReference"/>
          <w:rFonts w:ascii="Century Schoolbook" w:hAnsi="Century Schoolbook"/>
          <w:szCs w:val="22"/>
        </w:rPr>
        <w:endnoteReference w:id="1062"/>
      </w:r>
      <w:r>
        <w:rPr>
          <w:szCs w:val="22"/>
        </w:rPr>
        <w:t xml:space="preserve">  “Although the dealer is not obligated to conduct the recall program, once it undertakes to do so a duty devolves upon the dealer to exercise ordinary care, ….”</w:t>
      </w:r>
      <w:r>
        <w:rPr>
          <w:rStyle w:val="EndnoteReference"/>
          <w:rFonts w:ascii="Century Schoolbook" w:hAnsi="Century Schoolbook"/>
          <w:szCs w:val="22"/>
        </w:rPr>
        <w:endnoteReference w:id="1063"/>
      </w:r>
      <w:r>
        <w:rPr>
          <w:szCs w:val="22"/>
        </w:rPr>
        <w:t xml:space="preserve">  </w:t>
      </w:r>
    </w:p>
    <w:p>
      <w:pPr>
        <w:pStyle w:val="BodyText"/>
        <w:rPr>
          <w:b/>
        </w:rPr>
      </w:pPr>
      <w:r>
        <w:rPr>
          <w:b/>
        </w:rPr>
        <w:t>VI.</w:t>
      </w:r>
      <w:r>
        <w:rPr>
          <w:b/>
        </w:rPr>
        <w:tab/>
        <w:t>Apportionment of Liability</w:t>
      </w:r>
    </w:p>
    <w:p>
      <w:pPr>
        <w:pStyle w:val="BodyTextFirstIndent"/>
        <w:rPr>
          <w:szCs w:val="22"/>
        </w:rPr>
      </w:pPr>
      <w:r>
        <w:rPr>
          <w:szCs w:val="22"/>
        </w:rPr>
        <w:t xml:space="preserve">Product liability cases may involve more than one potentially </w:t>
      </w:r>
      <w:r>
        <w:rPr>
          <w:szCs w:val="22"/>
        </w:rPr>
        <w:lastRenderedPageBreak/>
        <w:t>liable party, as the conduct of others besides the manufacturer may be a contributing cause of the plaintiff’s injury.</w:t>
      </w:r>
      <w:r>
        <w:rPr>
          <w:rStyle w:val="EndnoteReference"/>
          <w:rFonts w:ascii="Century Schoolbook" w:hAnsi="Century Schoolbook"/>
          <w:szCs w:val="22"/>
        </w:rPr>
        <w:endnoteReference w:id="1064"/>
      </w:r>
      <w:r>
        <w:rPr>
          <w:szCs w:val="22"/>
        </w:rPr>
        <w:t xml:space="preserve">  O.C.G.A. § 51-12-33(b) requires the trier of fact to apportion the award of damages in any tort action among all persons who are liable according to the percentage of fault of each person for the plaintiff’s injuries, regardless of whether they are parties to the suit and even when the plaintiff bears no fault, and including parties who have settled with the plaintiff.</w:t>
      </w:r>
      <w:r>
        <w:rPr>
          <w:rStyle w:val="EndnoteReference"/>
          <w:rFonts w:ascii="Century Schoolbook" w:hAnsi="Century Schoolbook"/>
          <w:szCs w:val="22"/>
        </w:rPr>
        <w:endnoteReference w:id="1065"/>
      </w:r>
      <w:r>
        <w:rPr>
          <w:szCs w:val="22"/>
        </w:rPr>
        <w:t xml:space="preserve">  When apportionment is required, the defendants have no right of contribution, and apportioned damages are not subject to the rule of joint and several liability.</w:t>
      </w:r>
      <w:r>
        <w:rPr>
          <w:rStyle w:val="EndnoteReference"/>
          <w:rFonts w:ascii="Century Schoolbook" w:hAnsi="Century Schoolbook"/>
          <w:szCs w:val="22"/>
        </w:rPr>
        <w:endnoteReference w:id="1066"/>
      </w:r>
      <w:r>
        <w:rPr>
          <w:szCs w:val="22"/>
        </w:rPr>
        <w:t xml:space="preserve">  </w:t>
      </w:r>
    </w:p>
    <w:p>
      <w:pPr>
        <w:pStyle w:val="BodyTextFirstIndent"/>
        <w:rPr>
          <w:szCs w:val="22"/>
        </w:rPr>
      </w:pPr>
      <w:r>
        <w:rPr>
          <w:szCs w:val="22"/>
        </w:rPr>
        <w:t>Because O.C.G.A. § 51-12-33(b) reduces a defendant’s liability exposure if it can show allocation of liability to other responsible persons is appropriate, defendants in products liability actions have an incentive “to bring in as many parties and non-parties as feasible among whom fault can be apportioned.”</w:t>
      </w:r>
      <w:r>
        <w:rPr>
          <w:rStyle w:val="EndnoteReference"/>
          <w:rFonts w:ascii="Century Schoolbook" w:hAnsi="Century Schoolbook"/>
          <w:szCs w:val="22"/>
        </w:rPr>
        <w:endnoteReference w:id="1067"/>
      </w:r>
      <w:r>
        <w:rPr>
          <w:szCs w:val="22"/>
        </w:rPr>
        <w:t xml:space="preserve">  “A defendant's ability to avail itself of this strategy[, however,] is limited by its ability to prove that the co-defendants and non-parties are at least partially liable to the plaintiff.”</w:t>
      </w:r>
      <w:r>
        <w:rPr>
          <w:rStyle w:val="EndnoteReference"/>
          <w:rFonts w:ascii="Century Schoolbook" w:hAnsi="Century Schoolbook"/>
          <w:szCs w:val="22"/>
        </w:rPr>
        <w:endnoteReference w:id="1068"/>
      </w:r>
      <w:r>
        <w:rPr>
          <w:szCs w:val="22"/>
        </w:rPr>
        <w:t xml:space="preserve">  This places the named defendant in the unusual position of having to prove a products liability case against another potentially liable person.</w:t>
      </w:r>
    </w:p>
    <w:p>
      <w:pPr>
        <w:pStyle w:val="BodyTextFirstIndent"/>
        <w:rPr>
          <w:szCs w:val="22"/>
        </w:rPr>
      </w:pPr>
      <w:r>
        <w:rPr>
          <w:szCs w:val="22"/>
        </w:rPr>
        <w:t xml:space="preserve">Questions of causation and apportionment of damages are uniquely for the trier of fact.  In </w:t>
      </w:r>
      <w:r>
        <w:rPr>
          <w:i/>
          <w:szCs w:val="22"/>
        </w:rPr>
        <w:t>Ontario Sewing Mach. Co., Ltd. v. Smith</w:t>
      </w:r>
      <w:r>
        <w:rPr>
          <w:szCs w:val="22"/>
        </w:rPr>
        <w:t>,</w:t>
      </w:r>
      <w:r>
        <w:rPr>
          <w:rStyle w:val="EndnoteReference"/>
          <w:rFonts w:ascii="Century Schoolbook" w:hAnsi="Century Schoolbook"/>
          <w:szCs w:val="22"/>
        </w:rPr>
        <w:endnoteReference w:id="1069"/>
      </w:r>
      <w:r>
        <w:rPr>
          <w:szCs w:val="22"/>
        </w:rPr>
        <w:t xml:space="preserve"> the Georgia Supreme Court recognized that “the failure of a manufacturer’s customer to comply </w:t>
      </w:r>
      <w:r>
        <w:rPr>
          <w:szCs w:val="22"/>
        </w:rPr>
        <w:lastRenderedPageBreak/>
        <w:t>with a reasonable recall program instituted by the manufacturer may constitute an intervening act sufficient to break any connection between a wrongful act by the manufacturer and the injured party and thus may be sufficient to become the sole proximate cause of the injuries in question.”</w:t>
      </w:r>
      <w:r>
        <w:rPr>
          <w:rStyle w:val="EndnoteReference"/>
          <w:rFonts w:ascii="Century Schoolbook" w:hAnsi="Century Schoolbook"/>
          <w:szCs w:val="22"/>
        </w:rPr>
        <w:endnoteReference w:id="1070"/>
      </w:r>
      <w:r>
        <w:rPr>
          <w:szCs w:val="22"/>
        </w:rPr>
        <w:t xml:space="preserve">  But whether the manufacturer’s conduct with respect to its recall was the proximate cause of the plaintiff’s injuries is an issue for the jury to resolve, as are questions regarding the reasonableness of the recall (which was very general) and the foreseeability of whether the plaintiff’s employer would comply with it (where the manufacturer knew the employer was not heeding its warning and that workers were still using the machine).</w:t>
      </w:r>
      <w:r>
        <w:rPr>
          <w:rStyle w:val="EndnoteReference"/>
          <w:rFonts w:ascii="Century Schoolbook" w:hAnsi="Century Schoolbook"/>
          <w:szCs w:val="22"/>
        </w:rPr>
        <w:endnoteReference w:id="1071"/>
      </w:r>
      <w:r>
        <w:rPr>
          <w:szCs w:val="22"/>
        </w:rPr>
        <w:t xml:space="preserve">  Thus, it was for the jury to decide whether the proximate cause of the plaintiff’s injury was solely the acts of the manufacturer, or solely the acts of the employer, or a combination of those acts.</w:t>
      </w:r>
      <w:r>
        <w:rPr>
          <w:rStyle w:val="EndnoteReference"/>
          <w:rFonts w:ascii="Century Schoolbook" w:hAnsi="Century Schoolbook"/>
          <w:szCs w:val="22"/>
        </w:rPr>
        <w:endnoteReference w:id="1072"/>
      </w:r>
      <w:r>
        <w:rPr>
          <w:szCs w:val="22"/>
        </w:rPr>
        <w:t xml:space="preserve">  </w:t>
      </w:r>
    </w:p>
    <w:p>
      <w:pPr>
        <w:pStyle w:val="BodyText"/>
        <w:rPr>
          <w:b/>
        </w:rPr>
      </w:pPr>
      <w:r>
        <w:rPr>
          <w:b/>
        </w:rPr>
        <w:t>VII.</w:t>
      </w:r>
      <w:r>
        <w:rPr>
          <w:b/>
        </w:rPr>
        <w:tab/>
        <w:t>Conclusion</w:t>
      </w:r>
    </w:p>
    <w:p>
      <w:pPr>
        <w:pStyle w:val="BodyTextFirstIndent"/>
        <w:rPr>
          <w:szCs w:val="22"/>
        </w:rPr>
      </w:pPr>
      <w:r>
        <w:rPr>
          <w:szCs w:val="22"/>
        </w:rPr>
        <w:t>Georgia courts recognize the practical limitations on their ability to expand post-sale duties of product manufacturers and sellers, believing legislative and administrative bodies are best suited to determine what post-sale duties, if any, a manufacturer has beyond issuing adequate warnings.</w:t>
      </w:r>
      <w:r>
        <w:rPr>
          <w:rStyle w:val="EndnoteReference"/>
          <w:rFonts w:ascii="Century Schoolbook" w:hAnsi="Century Schoolbook"/>
          <w:szCs w:val="22"/>
        </w:rPr>
        <w:endnoteReference w:id="1073"/>
      </w:r>
      <w:r>
        <w:rPr>
          <w:szCs w:val="22"/>
        </w:rPr>
        <w:t xml:space="preserve">  Georgia law nevertheless does impose upon manufacturers, and to a lesser extent sellers, certain continuing duties to make reasonable efforts to warn product users about newly discovered dangers under appropriate circumstances.  What are “reasonable efforts” under the circumstances of </w:t>
      </w:r>
      <w:r>
        <w:rPr>
          <w:szCs w:val="22"/>
        </w:rPr>
        <w:lastRenderedPageBreak/>
        <w:t>each case is a highly fact-specific inquiry and dependent upon a number of factors that have not yet been clearly articulated in Georgia.  Product manufacturers and sellers accordingly should remain informed of changes in this area of the law and should be aware they may have continuing duties to warn their customers long after the products have been designed, manufactured, sold and left their control.</w:t>
      </w:r>
    </w:p>
    <w:p>
      <w:pPr>
        <w:pStyle w:val="BodyTextFirstIndent"/>
        <w:rPr>
          <w:szCs w:val="22"/>
        </w:rPr>
      </w:pPr>
    </w:p>
    <w:p>
      <w:pPr>
        <w:pStyle w:val="BodyTextFirstIndent"/>
        <w:jc w:val="center"/>
        <w:rPr>
          <w:b/>
          <w:szCs w:val="22"/>
          <w:u w:val="single"/>
        </w:rPr>
      </w:pPr>
      <w:r>
        <w:rPr>
          <w:b/>
          <w:szCs w:val="22"/>
          <w:u w:val="single"/>
        </w:rPr>
        <w:t>End Notes</w:t>
      </w:r>
    </w:p>
    <w:p>
      <w:pPr>
        <w:tabs>
          <w:tab w:val="left" w:pos="360"/>
        </w:tabs>
        <w:sectPr>
          <w:endnotePr>
            <w:numFmt w:val="decimal"/>
            <w:numRestart w:val="eachSect"/>
          </w:endnotePr>
          <w:type w:val="continuous"/>
          <w:pgSz w:w="12240" w:h="15840"/>
          <w:pgMar w:top="1440" w:right="1440" w:bottom="1440" w:left="1440" w:header="720" w:footer="720" w:gutter="0"/>
          <w:cols w:num="2" w:space="720"/>
          <w:titlePg/>
          <w:rtlGutter/>
          <w:docGrid w:linePitch="360"/>
        </w:sectPr>
      </w:pPr>
    </w:p>
    <w:p>
      <w:pPr>
        <w:pStyle w:val="Heading1"/>
      </w:pPr>
      <w:bookmarkStart w:id="265" w:name="_Toc387223621"/>
      <w:r>
        <w:lastRenderedPageBreak/>
        <w:t>Keep Your Head On A Swivel:  Recent Developments In Professional</w:t>
      </w:r>
      <w:r>
        <w:br/>
        <w:t>Malpractice Claims</w:t>
      </w:r>
      <w:bookmarkEnd w:id="265"/>
    </w:p>
    <w:p/>
    <w:p>
      <w:pPr>
        <w:pStyle w:val="Author"/>
      </w:pPr>
      <w:r>
        <w:t>By: James S.V. Weston, Chair, GDLA Professional Liability Committee</w:t>
      </w:r>
    </w:p>
    <w:p>
      <w:pPr>
        <w:pStyle w:val="Author"/>
      </w:pPr>
      <w:r>
        <w:t>Trotter Jones, LLP</w:t>
      </w:r>
    </w:p>
    <w:p/>
    <w:p>
      <w:pPr>
        <w:sectPr>
          <w:endnotePr>
            <w:numFmt w:val="decimal"/>
          </w:endnotePr>
          <w:pgSz w:w="12240" w:h="15840"/>
          <w:pgMar w:top="1440" w:right="1440" w:bottom="1440" w:left="1440" w:header="720" w:footer="720" w:gutter="0"/>
          <w:cols w:space="720"/>
          <w:titlePg/>
          <w:docGrid w:linePitch="360"/>
        </w:sectPr>
      </w:pPr>
    </w:p>
    <w:p>
      <w:pPr>
        <w:pBdr>
          <w:top w:val="single" w:sz="4" w:space="1" w:color="auto"/>
          <w:left w:val="single" w:sz="4" w:space="4" w:color="auto"/>
          <w:bottom w:val="single" w:sz="4" w:space="1" w:color="auto"/>
          <w:right w:val="single" w:sz="4" w:space="4" w:color="auto"/>
        </w:pBdr>
        <w:shd w:val="clear" w:color="auto" w:fill="81BAC5"/>
        <w:jc w:val="both"/>
      </w:pPr>
      <w:r>
        <w:rPr>
          <w:noProof/>
        </w:rPr>
        <w:pict>
          <v:shape id="Picture 66" o:spid="_x0000_s1052" type="#_x0000_t75" alt="Jamie Weston" style="position:absolute;left:0;text-align:left;margin-left:0;margin-top:4.4pt;width:78.9pt;height:118.35pt;z-index:-251653632;visibility:visible" wrapcoords="-206 0 -206 21463 21600 21463 21600 0 -206 0">
            <v:imagedata r:id="rId51" o:title=""/>
            <w10:wrap type="tight"/>
          </v:shape>
        </w:pict>
      </w:r>
      <w:r>
        <w:rPr>
          <w:b/>
        </w:rPr>
        <w:t xml:space="preserve">Jamie Weston </w:t>
      </w:r>
      <w:r>
        <w:t>is of counsel at Trotter Jones, LLP in Augusta, Georgia.  Jamie's practice focuses on professional malpractice defense, commercial litigation, and construction law.  He is on the GDLA's Board of Directors and is the chairman of the Professional Liability Substantive Law Committee.</w:t>
      </w:r>
    </w:p>
    <w:p>
      <w:pPr>
        <w:pStyle w:val="BodyTextFirstIndent"/>
      </w:pPr>
      <w:r>
        <w:t>A reality of practicing certain professions is the possibility of getting sued for malpractice.  Not every professional is subject to a claim for malpractice.  O.C.G.A. § 9-11-9.1 identifies twenty-six separate professions who can be sued for professional negligence, ranging from architects to dieticians to veterinarians.  The “classic” malpractice claim involves a physician who misdiagnoses a patient’s condition or a lawyer who botches a title search.  There are, of course, a myriad of other claims that professionals can face based on facts and theories unique to each profession.  The fact that a unique set of professionals are subject to a unique type of liability requires the attorneys defending them to keep their heads on a swivel for developments in the area of professional malpractice.</w:t>
      </w:r>
    </w:p>
    <w:p>
      <w:pPr>
        <w:pStyle w:val="BodyTextFirstIndent"/>
      </w:pPr>
      <w:r>
        <w:lastRenderedPageBreak/>
        <w:t xml:space="preserve">This article discusses recent, significant developments involving professional malpractice.  All lawyers in Georgia must comprehend the scope of </w:t>
      </w:r>
      <w:r>
        <w:rPr>
          <w:i/>
        </w:rPr>
        <w:t>Villanueva v. First Am. Title Ins. Co.</w:t>
      </w:r>
      <w:r>
        <w:rPr>
          <w:rStyle w:val="EndnoteReference"/>
          <w:rFonts w:ascii="Century Schoolbook" w:hAnsi="Century Schoolbook"/>
        </w:rPr>
        <w:endnoteReference w:id="1074"/>
      </w:r>
      <w:r>
        <w:t xml:space="preserve">  The Georgia Supreme Court clarified what specific types of legal malpractice claims are assignable.  Although no one decision had a similar impact on claims against health care providers, defense attorneys should be cognizant of how the Affordable Care Act has already affected change in Georgia medical malpractice law.  Also discussed below are several appellate decisions which significantly impact particular types of medical malpractice claims.</w:t>
      </w:r>
    </w:p>
    <w:p>
      <w:pPr>
        <w:pStyle w:val="BodyText"/>
        <w:rPr>
          <w:b/>
        </w:rPr>
      </w:pPr>
      <w:r>
        <w:rPr>
          <w:b/>
        </w:rPr>
        <w:t>I.</w:t>
      </w:r>
      <w:r>
        <w:rPr>
          <w:b/>
        </w:rPr>
        <w:tab/>
        <w:t>Legal Malpractice</w:t>
      </w:r>
    </w:p>
    <w:p>
      <w:pPr>
        <w:pStyle w:val="BodyTextFirstIndent"/>
      </w:pPr>
      <w:r>
        <w:t xml:space="preserve">The Georgia Supreme Court’s ruling in </w:t>
      </w:r>
      <w:r>
        <w:rPr>
          <w:i/>
        </w:rPr>
        <w:t>Villanueva v. First Am. Title Ins. Co.</w:t>
      </w:r>
      <w:r>
        <w:t xml:space="preserve"> is the most significant opinion affecting legal malpractice claims in years.  Claims against attorneys that allege a purely financial loss (but not claims for personal injury or fraud) are now assignable under O.C.G.A. § 44-12-24.</w:t>
      </w:r>
      <w:r>
        <w:rPr>
          <w:rStyle w:val="EndnoteReference"/>
          <w:rFonts w:ascii="Century Schoolbook" w:hAnsi="Century Schoolbook"/>
        </w:rPr>
        <w:endnoteReference w:id="1075"/>
      </w:r>
    </w:p>
    <w:p>
      <w:pPr>
        <w:pStyle w:val="BodyTextFirstIndent"/>
      </w:pPr>
      <w:r>
        <w:t xml:space="preserve">The facts in </w:t>
      </w:r>
      <w:r>
        <w:rPr>
          <w:i/>
        </w:rPr>
        <w:t>Villanueva</w:t>
      </w:r>
      <w:r>
        <w:t xml:space="preserve"> were fairly straight-forward.  In closing a mortgage-refinance transaction, a real estate attorney, Villanueva, failed to pay off several outstanding mortgages on the secured property.   The lender’s </w:t>
      </w:r>
      <w:r>
        <w:lastRenderedPageBreak/>
        <w:t>title insurer, First American, satisfied the mortgages.  Under its closing protection letter to the lender, First American was “subrogated to all rights and remedies [the lender] would have had against any person or property . . . .”</w:t>
      </w:r>
      <w:r>
        <w:rPr>
          <w:rStyle w:val="EndnoteReference"/>
          <w:rFonts w:ascii="Century Schoolbook" w:hAnsi="Century Schoolbook"/>
        </w:rPr>
        <w:endnoteReference w:id="1076"/>
      </w:r>
      <w:r>
        <w:t xml:space="preserve">  First American sued, among others, Villanueva for legal malpractice and breach of the contract with the lender.</w:t>
      </w:r>
    </w:p>
    <w:p>
      <w:pPr>
        <w:pStyle w:val="BodyTextFirstIndent"/>
      </w:pPr>
      <w:r>
        <w:t>Villanueva moved for summary judgment on the grounds that legal malpractice claims are “never assignable.”</w:t>
      </w:r>
      <w:r>
        <w:rPr>
          <w:rStyle w:val="EndnoteReference"/>
          <w:rFonts w:ascii="Century Schoolbook" w:hAnsi="Century Schoolbook"/>
        </w:rPr>
        <w:endnoteReference w:id="1077"/>
      </w:r>
      <w:r>
        <w:t xml:space="preserve">  The Georgia Court of Appeals disagreed, finding that O.C.G.A. § 44-12-24 allows assignment of a legal malpractice claim if “it involves injury to property in the form of financial loss and is not based on fraud or does not involve a personal tort.”</w:t>
      </w:r>
      <w:r>
        <w:rPr>
          <w:rStyle w:val="EndnoteReference"/>
          <w:rFonts w:ascii="Century Schoolbook" w:hAnsi="Century Schoolbook"/>
        </w:rPr>
        <w:endnoteReference w:id="1078"/>
      </w:r>
      <w:r>
        <w:t xml:space="preserve">  However, Villanueva was entitled to summary judgment on the breach of contract claim, since he was not a party to the contract with the lender.</w:t>
      </w:r>
      <w:r>
        <w:rPr>
          <w:rStyle w:val="EndnoteReference"/>
          <w:rFonts w:ascii="Century Schoolbook" w:hAnsi="Century Schoolbook"/>
        </w:rPr>
        <w:endnoteReference w:id="1079"/>
      </w:r>
    </w:p>
    <w:p>
      <w:pPr>
        <w:pStyle w:val="BodyTextFirstIndent"/>
      </w:pPr>
      <w:r>
        <w:t xml:space="preserve">Writing for a unanimous court, Justice Benham affirmed the Georgia Court of Appeals.  The justices recognized that O.C.G.A. § 44-12-24 specifically prohibits the assignment of </w:t>
      </w:r>
      <w:r>
        <w:rPr>
          <w:i/>
        </w:rPr>
        <w:t>any</w:t>
      </w:r>
      <w:r>
        <w:t xml:space="preserve"> claim “for personal torts or for injuries arising from fraud to the assignor.”</w:t>
      </w:r>
      <w:r>
        <w:rPr>
          <w:rStyle w:val="EndnoteReference"/>
          <w:rFonts w:ascii="Century Schoolbook" w:hAnsi="Century Schoolbook"/>
        </w:rPr>
        <w:endnoteReference w:id="1080"/>
      </w:r>
      <w:r>
        <w:t xml:space="preserve">  However, Georgia the Supreme Court refused to impose a blanket ban on the assignment of legal malpractice claims.  In so ruling, the Georgia Supreme Court followed the minority position among jurisdictions addressing the issue.</w:t>
      </w:r>
      <w:r>
        <w:rPr>
          <w:rStyle w:val="EndnoteReference"/>
          <w:rFonts w:ascii="Century Schoolbook" w:hAnsi="Century Schoolbook"/>
        </w:rPr>
        <w:endnoteReference w:id="1081"/>
      </w:r>
      <w:r>
        <w:t xml:space="preserve">  Villanueva argued that most states have banned the assignment of legal malpractice claims because it violates public policy.</w:t>
      </w:r>
      <w:r>
        <w:rPr>
          <w:rStyle w:val="EndnoteReference"/>
          <w:rFonts w:ascii="Century Schoolbook" w:hAnsi="Century Schoolbook"/>
        </w:rPr>
        <w:endnoteReference w:id="1082"/>
      </w:r>
      <w:r>
        <w:t xml:space="preserve">  The Georgia Supreme Court </w:t>
      </w:r>
      <w:r>
        <w:lastRenderedPageBreak/>
        <w:t>discussed the reasoning behind non-assignment:</w:t>
      </w:r>
    </w:p>
    <w:p>
      <w:pPr>
        <w:pStyle w:val="BodyText"/>
        <w:ind w:left="720" w:right="720"/>
      </w:pPr>
      <w:r>
        <w:t>The judicial decisions reaching such a conclusion generally find the assignment to be one for personal injury and/or cite the need to preserve the sanctity of the unique and personal relationship between attorney and client; the incompatibility of assignment and an attorney's duty of loyalty and confidentiality; the need to avoid encouragement of the commercialization of legal malpractice claims that could promote champerty and debase the legal profession; and the concern that allowing assignment of such claims would cause attorneys to be hesitant to represent insolvent, underinsured, or judgment-proof defendants for fear that a malpractice claim would be used as tender.</w:t>
      </w:r>
      <w:r>
        <w:rPr>
          <w:rStyle w:val="EndnoteReference"/>
          <w:rFonts w:ascii="Century Schoolbook" w:hAnsi="Century Schoolbook"/>
          <w:color w:val="252525"/>
        </w:rPr>
        <w:endnoteReference w:id="1083"/>
      </w:r>
    </w:p>
    <w:p>
      <w:pPr>
        <w:pStyle w:val="BodyTextFirstIndent"/>
      </w:pPr>
      <w:r>
        <w:t xml:space="preserve">In declining to adopt the majority position, the Georgia Supreme Court essentially applied the plain language of O.C.G.A. § 44-12-24.  While the statute clearly prohibits the assignment of personal tort and fraud claims, it does not preclude – and in fact specifically allows – the assignment of a property right.  Justice Benham pointed to decisions from Pennsylvania, Maine, Oregon, Massachusetts, and Connecticut that </w:t>
      </w:r>
      <w:r>
        <w:lastRenderedPageBreak/>
        <w:t>are consistent with Georgia law regarding the assignability of legal malpractice claims, notwithstanding the fact that they constitute the minority position.</w:t>
      </w:r>
      <w:r>
        <w:rPr>
          <w:rStyle w:val="EndnoteReference"/>
          <w:rFonts w:ascii="Century Schoolbook" w:hAnsi="Century Schoolbook"/>
        </w:rPr>
        <w:endnoteReference w:id="1084"/>
      </w:r>
      <w:r>
        <w:t xml:space="preserve">  The Georgia Supreme Court noted that “[t]he cases from the jurisdictions in the minority generally determine that the legal malpractice action alleges a pecuniary injury similar to a property injury and does not present the concerns raised by the courts that ban the assignment of legal malpractice claims, or suggest that those concerns are overstated.”</w:t>
      </w:r>
      <w:r>
        <w:rPr>
          <w:rStyle w:val="EndnoteReference"/>
          <w:rFonts w:ascii="Century Schoolbook" w:hAnsi="Century Schoolbook"/>
        </w:rPr>
        <w:endnoteReference w:id="1085"/>
      </w:r>
    </w:p>
    <w:p>
      <w:pPr>
        <w:pStyle w:val="BodyTextFirstIndent"/>
      </w:pPr>
      <w:r>
        <w:t>Lastly, the Georgia Supreme Court rejected the argument that it should exercise its “inherent power to govern the practice of law in Georgia” and “carve out an exception to the statutes regarding the assignability of legal malpractice cases.”</w:t>
      </w:r>
      <w:r>
        <w:rPr>
          <w:rStyle w:val="EndnoteReference"/>
          <w:rFonts w:ascii="Century Schoolbook" w:hAnsi="Century Schoolbook"/>
        </w:rPr>
        <w:endnoteReference w:id="1086"/>
      </w:r>
      <w:r>
        <w:t xml:space="preserve">  The specific malpractice claim was that the attorney did not satisfy the outstanding mortgages, which involved “a purely pecuniary injury” and not a “personal tort.”</w:t>
      </w:r>
      <w:r>
        <w:rPr>
          <w:rStyle w:val="EndnoteReference"/>
          <w:rFonts w:ascii="Century Schoolbook" w:hAnsi="Century Schoolbook"/>
        </w:rPr>
        <w:endnoteReference w:id="1087"/>
      </w:r>
      <w:r>
        <w:t xml:space="preserve">  Therefore, the assignment of such a claim raised “neither an issue of professional responsibility nor an issue of illegality.”</w:t>
      </w:r>
      <w:r>
        <w:rPr>
          <w:rStyle w:val="EndnoteReference"/>
          <w:rFonts w:ascii="Century Schoolbook" w:hAnsi="Century Schoolbook"/>
        </w:rPr>
        <w:endnoteReference w:id="1088"/>
      </w:r>
    </w:p>
    <w:p>
      <w:pPr>
        <w:pStyle w:val="BodyTextFirstIndent"/>
      </w:pPr>
      <w:r>
        <w:t xml:space="preserve">It is imperative for all Georgia lawyers to recognize the impact of </w:t>
      </w:r>
      <w:r>
        <w:rPr>
          <w:i/>
        </w:rPr>
        <w:t>Villanueva</w:t>
      </w:r>
      <w:r>
        <w:t>.  Any uncertainty about the assignability of legal malpractice claims – as long as the claim does not involve a personal tort or fraud – has been resolved.</w:t>
      </w:r>
    </w:p>
    <w:p>
      <w:pPr>
        <w:pStyle w:val="BodyText"/>
        <w:ind w:left="720" w:hanging="720"/>
        <w:rPr>
          <w:b/>
        </w:rPr>
      </w:pPr>
      <w:r>
        <w:rPr>
          <w:b/>
        </w:rPr>
        <w:t>II.</w:t>
      </w:r>
      <w:r>
        <w:rPr>
          <w:b/>
        </w:rPr>
        <w:tab/>
        <w:t>Health Care Malpractice Claims</w:t>
      </w:r>
    </w:p>
    <w:p>
      <w:pPr>
        <w:spacing w:after="0"/>
        <w:jc w:val="center"/>
        <w:rPr>
          <w:b/>
        </w:rPr>
      </w:pPr>
      <w:r>
        <w:rPr>
          <w:b/>
        </w:rPr>
        <w:t>A.</w:t>
      </w:r>
      <w:r>
        <w:rPr>
          <w:b/>
        </w:rPr>
        <w:tab/>
        <w:t>The Affordable Care Act and the “Provider Shield” Law</w:t>
      </w:r>
    </w:p>
    <w:p>
      <w:pPr>
        <w:pStyle w:val="BodyTextFirstIndent"/>
      </w:pPr>
      <w:r>
        <w:t xml:space="preserve">Before and after its passage in 2010, the Affordable Care Act (“ACA”) </w:t>
      </w:r>
      <w:r>
        <w:lastRenderedPageBreak/>
        <w:t xml:space="preserve">has consumed much of the country’s interest.  Politicians and pundits have debated – and undoubtedly will continue to debate – the pros and cons of the ACA.  Comparatively little attention has been paid to how the ACA impacts health care malpractice claims.  Although there do not appear to be any specific provisions in the ACA directly applicable to malpractice issues (i.e., caps on damages), it is safe to assume that the legislation will at least indirectly affect claims and defenses arising out of clinical care. </w:t>
      </w:r>
    </w:p>
    <w:p>
      <w:pPr>
        <w:pStyle w:val="BodyTextFirstIndent"/>
      </w:pPr>
      <w:r>
        <w:t>With the enactment of O.C.G.A. § 51-1-52, Georgia became one of the first states to address the interplay of the ACA and malpractice claims.  Subsection (b) of that statute, known as the “Provider Shield” law, states:</w:t>
      </w:r>
    </w:p>
    <w:p>
      <w:pPr>
        <w:pStyle w:val="BodyText"/>
        <w:ind w:left="720" w:right="720"/>
      </w:pPr>
      <w:r>
        <w:t xml:space="preserve">The development, recognition, or implementation of any guideline by any public or private payor or the establishment of any payment standard or reimbursement criteria under any federal laws or regulations related to health care shall not be construed, without competent expert testimony establishing the appropriate standard of care, to establish a legal basis for negligence or the standard of care or duty of care owed by a health care provider to a patient in any civil action for medical malpractice or product liability.  Nor shall compliance with </w:t>
      </w:r>
      <w:r>
        <w:lastRenderedPageBreak/>
        <w:t>such a guideline, standard, or criteria establish a health care provider’s compliance with the standard of care or duty of care owed by a health care provider to a patient in any civil action for medical malpractice or medical product liability without competent expert testimony establishing the appropriate standard of care.</w:t>
      </w:r>
      <w:r>
        <w:rPr>
          <w:rStyle w:val="EndnoteReference"/>
          <w:rFonts w:ascii="Century Schoolbook" w:hAnsi="Century Schoolbook"/>
        </w:rPr>
        <w:endnoteReference w:id="1089"/>
      </w:r>
    </w:p>
    <w:p>
      <w:pPr>
        <w:pStyle w:val="BodyTextFirstIndent"/>
      </w:pPr>
      <w:r>
        <w:t>Although O.C.G.A. § 51-1-52(b) does not identify any specific legislation by name, it is undeniable that the Georgia General Assembly had the ACA in mind when it enacted the Provider Shield law. In fact, the statute’s legislative history shows that the Georgia General Assembly adopted</w:t>
      </w:r>
      <w:r>
        <w:rPr>
          <w:b/>
        </w:rPr>
        <w:t xml:space="preserve"> </w:t>
      </w:r>
      <w:r>
        <w:t>the model legislation drafted by the American Medical Association in response to the passage of the ACA.</w:t>
      </w:r>
      <w:r>
        <w:rPr>
          <w:rStyle w:val="EndnoteReference"/>
          <w:rFonts w:ascii="Century Schoolbook" w:hAnsi="Century Schoolbook"/>
        </w:rPr>
        <w:endnoteReference w:id="1090"/>
      </w:r>
    </w:p>
    <w:p>
      <w:pPr>
        <w:pStyle w:val="BodyTextFirstIndent"/>
      </w:pPr>
      <w:r>
        <w:t xml:space="preserve">A close reading of the language of O.C.G.A. § 51-1-52(b) is necessary to understand its substantive and evidentiary implications for malpractice claims.  The Provider Shield law prohibits, in the absence of a competent expert’s standard of care opinions, the use of public or private payor guidelines to establish </w:t>
      </w:r>
      <w:r>
        <w:rPr>
          <w:i/>
        </w:rPr>
        <w:t>or</w:t>
      </w:r>
      <w:r>
        <w:t xml:space="preserve"> to deny a claim of medical negligence.  The law does not absolutely preclude the use of any such guidelines for standard of care purposes; the offering party can apparently submit them in conjunction with the opinions of an expert who qualifies under O.C.G.A. § 24-7-702.  O.C.G.A. § 51-1-52(b) is </w:t>
      </w:r>
      <w:r>
        <w:lastRenderedPageBreak/>
        <w:t>consistent with general malpractice law requiring, except in rare circumstances, competent expert testimony to prove medical negligence.  It does take the extra step of explicitly precluding defendants from using payor guidelines alone to establish compliance with the standard of care.</w:t>
      </w:r>
    </w:p>
    <w:p>
      <w:pPr>
        <w:pStyle w:val="BodyTextFirstIndent"/>
      </w:pPr>
      <w:r>
        <w:t xml:space="preserve">There is the practical consideration of </w:t>
      </w:r>
      <w:r>
        <w:rPr>
          <w:i/>
        </w:rPr>
        <w:t>if and how</w:t>
      </w:r>
      <w:r>
        <w:t xml:space="preserve"> defense counsel can use payor guidelines to cross examine the plaintiff’s standard of care expert.  A plain reading of O.C.G.A. § 51-1-52(b) indicates that evidence or argument of “</w:t>
      </w:r>
      <w:r>
        <w:rPr>
          <w:color w:val="252525"/>
        </w:rPr>
        <w:t>compliance with such a guideline, standard, or criteria [offered to] establish a health care provider’s compliance with the standard of care” cannot be presented “without competent expert testimony establishing the appropriate standard of care.”</w:t>
      </w:r>
      <w:r>
        <w:rPr>
          <w:rStyle w:val="EndnoteReference"/>
          <w:rFonts w:ascii="Century Schoolbook" w:hAnsi="Century Schoolbook"/>
          <w:color w:val="252525"/>
        </w:rPr>
        <w:endnoteReference w:id="1091"/>
      </w:r>
      <w:r>
        <w:rPr>
          <w:color w:val="252525"/>
        </w:rPr>
        <w:t xml:space="preserve">  </w:t>
      </w:r>
      <w:r>
        <w:t>Must counsel wait until the direct of the defense expert to present the guidelines or can counsel impeach the plaintiff’s expert with the guidelines, subject to connection with the defense expert’s testimony?  If the defendant does not object to the competency of the plaintiff’s expert, can the expert be impeached with the guidelines?  However, in doing so, must defense counsel also concede that the plaintiff’s expert has established the “appropriate standard of care?”  The “competent expert” and “appropriate standard of care” components appear to be dependent on each other.  Without further guidance from our appellate courts, defense counsel should be very cautious when deciding how to use O.C.G.A. § 51-1-52(b) at trial.</w:t>
      </w:r>
    </w:p>
    <w:p>
      <w:pPr>
        <w:pStyle w:val="BodyTextFirstIndent"/>
        <w:rPr>
          <w:color w:val="252525"/>
        </w:rPr>
      </w:pPr>
      <w:r>
        <w:t>There is also an issue of whether presenting evidence of “</w:t>
      </w:r>
      <w:r>
        <w:rPr>
          <w:color w:val="252525"/>
        </w:rPr>
        <w:t xml:space="preserve">public </w:t>
      </w:r>
      <w:r>
        <w:rPr>
          <w:color w:val="252525"/>
        </w:rPr>
        <w:lastRenderedPageBreak/>
        <w:t>or private payor” guidelines violates the collateral source rule.  If the guidelines are only used during direct examination or cross examination of an expert witness, and only relate to standard of care considerations, without reference to the patient’s health insurance (or lack thereof), there does not appear to be a collateral source issue.</w:t>
      </w:r>
    </w:p>
    <w:p>
      <w:pPr>
        <w:pStyle w:val="BodyTextFirstIndent"/>
      </w:pPr>
      <w:r>
        <w:t>O.C.G.A. § 51-1-52(b) presents interesting strategic considerations for both defendant and plaintiff counsels.  It remains to be seen how else the ACA will directly or indirectly affect health care malpractice claims in Georgia.</w:t>
      </w:r>
    </w:p>
    <w:p>
      <w:pPr>
        <w:pStyle w:val="BodyText"/>
        <w:jc w:val="center"/>
        <w:rPr>
          <w:b/>
        </w:rPr>
      </w:pPr>
      <w:r>
        <w:rPr>
          <w:b/>
        </w:rPr>
        <w:t>B.</w:t>
      </w:r>
      <w:r>
        <w:rPr>
          <w:b/>
        </w:rPr>
        <w:tab/>
        <w:t>Emergency Medical Care” Claims</w:t>
      </w:r>
    </w:p>
    <w:p>
      <w:pPr>
        <w:pStyle w:val="BodyTextFirstIndent"/>
      </w:pPr>
      <w:r>
        <w:t>Georgia’s appellate courts continue to grapple with O.C.G.A. § 51-1-29.5, the “emergency medical care” statute.  O.C.G.A. § 51-1-29.5(c) states:</w:t>
      </w:r>
    </w:p>
    <w:p>
      <w:pPr>
        <w:pStyle w:val="BodyText"/>
        <w:ind w:left="720" w:right="720"/>
      </w:pPr>
      <w:r>
        <w:t xml:space="preserve">In an action involving a health care liability claim arising out of the provision of emergency medical care in a hospital emergency department or obstetrical unit or in a surgical suite immediately following the evaluation or treatment of a patient in a hospital emergency department, no physician or health care provider shall be held liable unless it is proven by clear and convincing evidence that the physician or health care provider’s actions </w:t>
      </w:r>
      <w:r>
        <w:lastRenderedPageBreak/>
        <w:t>showed gross negligence.</w:t>
      </w:r>
      <w:r>
        <w:rPr>
          <w:rStyle w:val="EndnoteReference"/>
          <w:rFonts w:ascii="Century Schoolbook" w:hAnsi="Century Schoolbook"/>
        </w:rPr>
        <w:endnoteReference w:id="1092"/>
      </w:r>
      <w:r>
        <w:t xml:space="preserve">  </w:t>
      </w:r>
    </w:p>
    <w:p>
      <w:pPr>
        <w:pStyle w:val="BodyText"/>
      </w:pPr>
      <w:r>
        <w:t>Despite this elevated standard of proof, recent decisions from our appellate courts show that summary judgment for emergency care providers is far from a sure thing.</w:t>
      </w:r>
    </w:p>
    <w:p>
      <w:pPr>
        <w:pStyle w:val="BodyTextFirstIndent"/>
      </w:pPr>
      <w:r>
        <w:t xml:space="preserve">In </w:t>
      </w:r>
      <w:r>
        <w:rPr>
          <w:i/>
        </w:rPr>
        <w:t>Johnson v. Omondi</w:t>
      </w:r>
      <w:r>
        <w:t>, the facts showed that the patient presented in an emergency department with complaints of chest pain.</w:t>
      </w:r>
      <w:r>
        <w:rPr>
          <w:rStyle w:val="EndnoteReference"/>
          <w:rFonts w:ascii="Century Schoolbook" w:hAnsi="Century Schoolbook"/>
        </w:rPr>
        <w:endnoteReference w:id="1093"/>
      </w:r>
      <w:r>
        <w:t xml:space="preserve">  The previous week, he had undergone knee surgery.  The defendant physician, Dr. Omondi, examined the patient and ruled out, among other conditions, pulmonary embolism as the cause of his pain.  Dr. Omondi discharged the patient with a diagnosis of pleurisy with instructions to return to the emergency department if the symptoms persisted.  The patient returned to the emergency department two weeks later, only to die of a pulmonary embolism.</w:t>
      </w:r>
    </w:p>
    <w:p>
      <w:pPr>
        <w:pStyle w:val="BodyTextFirstIndent"/>
      </w:pPr>
      <w:r>
        <w:t>The trial court awarded summary judgment to Dr. Omondi, and the Georgia Court of Appeals affirmed.  The Georgia Supreme Court granted certiorari to determine if the lower courts “properly applied the standards” for a claim brought under O.C.G.A. § 51-1-29.5(c).</w:t>
      </w:r>
      <w:r>
        <w:rPr>
          <w:rStyle w:val="EndnoteReference"/>
          <w:rFonts w:ascii="Century Schoolbook" w:hAnsi="Century Schoolbook"/>
        </w:rPr>
        <w:endnoteReference w:id="1094"/>
      </w:r>
      <w:r>
        <w:t xml:space="preserve">  Writing for the court, Justice Hines noted that although O.C.G.A. § 51-1-29.5 did not define “gross negligence,” the court had previously held in </w:t>
      </w:r>
      <w:r>
        <w:rPr>
          <w:i/>
        </w:rPr>
        <w:t>Gliemmo v. Cousineau</w:t>
      </w:r>
      <w:r>
        <w:t xml:space="preserve">  that “the term carries the general meaning set forth in O.C.G.A. § 51-1-4.”</w:t>
      </w:r>
      <w:r>
        <w:rPr>
          <w:rStyle w:val="EndnoteReference"/>
          <w:rFonts w:ascii="Century Schoolbook" w:hAnsi="Century Schoolbook"/>
        </w:rPr>
        <w:endnoteReference w:id="1095"/>
      </w:r>
      <w:r>
        <w:t xml:space="preserve">  Accordingly, “gross negligence” for purposes of O.C.G.A. § 51-1-29.5 means “the absence of even slight diligence, and slight diligence is defined in O.C.G.A. § 51-1-4 as ‘that </w:t>
      </w:r>
      <w:r>
        <w:lastRenderedPageBreak/>
        <w:t>degree of care which every man of common sense, however inattentive he may be exercises under the same or similar circumstances.’  In other words, gross negligence has been defined as ‘equivalent to (the) failure to exercise even a slight degree of care’ or ‘lack of the diligence that even careless men are accustomed to exercise.’”</w:t>
      </w:r>
      <w:r>
        <w:rPr>
          <w:rStyle w:val="EndnoteReference"/>
          <w:rFonts w:ascii="Century Schoolbook" w:hAnsi="Century Schoolbook"/>
        </w:rPr>
        <w:endnoteReference w:id="1096"/>
      </w:r>
    </w:p>
    <w:p>
      <w:pPr>
        <w:pStyle w:val="BodyTextFirstIndent"/>
      </w:pPr>
      <w:r>
        <w:t>Turning to the facts, Justice Hines found that “a reasonable jury could find, by clear and convincing evidence, that in addressing [the patient’s] symptoms, Dr. Omondi acted with gross negligence, i.e. that he lacked ‘the diligence that even careless men are accustomed to exercise.’”</w:t>
      </w:r>
      <w:r>
        <w:rPr>
          <w:rStyle w:val="EndnoteReference"/>
          <w:rFonts w:ascii="Century Schoolbook" w:hAnsi="Century Schoolbook"/>
        </w:rPr>
        <w:endnoteReference w:id="1097"/>
      </w:r>
      <w:r>
        <w:t xml:space="preserve">  Unfortunately, the analysis of the pertinent evidence provides little guidance for defense lawyers seeking summary judgment in emergency care cases.  For example, Justice Hines noted that Dr. Omondi had pulmonary embolism in his differential diagnosis but ruled it out for several reasons.</w:t>
      </w:r>
      <w:r>
        <w:rPr>
          <w:rStyle w:val="EndnoteReference"/>
          <w:rFonts w:ascii="Century Schoolbook" w:hAnsi="Century Schoolbook"/>
        </w:rPr>
        <w:endnoteReference w:id="1098"/>
      </w:r>
      <w:r>
        <w:t xml:space="preserve">  However, the plaintiff’s expert testified that Dr. Omondi missed “classical” signs of a pulmonary embolism, that the patient’s response to certain medication was “totally irrelevant” to determining if the patient was having a pulmonary embolism, and that Dr. Omondi’s reliance on the apparent therapeutic effect of the medication given to the patient was “ridiculous.”</w:t>
      </w:r>
      <w:r>
        <w:rPr>
          <w:rStyle w:val="EndnoteReference"/>
          <w:rFonts w:ascii="Century Schoolbook" w:hAnsi="Century Schoolbook"/>
        </w:rPr>
        <w:endnoteReference w:id="1099"/>
      </w:r>
      <w:r>
        <w:t xml:space="preserve">  So, will the use of terms such as “ridiculous” and “totally irrelevant” in describing an emergency provider’s care and treatment always be sufficient to defeat summary judgment, despite the heightened evidentiary burden imposed by </w:t>
      </w:r>
      <w:r>
        <w:lastRenderedPageBreak/>
        <w:t xml:space="preserve">O.C.G.A. § 51-1-29.5?  </w:t>
      </w:r>
      <w:r>
        <w:rPr>
          <w:i/>
        </w:rPr>
        <w:t>Omondi</w:t>
      </w:r>
      <w:r>
        <w:t xml:space="preserve"> does not offer much else to explain why the expert’s testimony defeated summary judgment.</w:t>
      </w:r>
    </w:p>
    <w:p>
      <w:pPr>
        <w:pStyle w:val="BodyTextFirstIndent"/>
      </w:pPr>
      <w:r>
        <w:t xml:space="preserve">Also perplexing is Justice Hines’ attempt to distinguish </w:t>
      </w:r>
      <w:r>
        <w:rPr>
          <w:i/>
        </w:rPr>
        <w:t>Omondi</w:t>
      </w:r>
      <w:r>
        <w:t xml:space="preserve"> from </w:t>
      </w:r>
      <w:r>
        <w:rPr>
          <w:i/>
        </w:rPr>
        <w:t>Pottinger v. Smith</w:t>
      </w:r>
      <w:r>
        <w:t>, where summary judgment for the emergency room (“ER”) physician was affirmed.</w:t>
      </w:r>
      <w:r>
        <w:rPr>
          <w:rStyle w:val="EndnoteReference"/>
          <w:rFonts w:ascii="Century Schoolbook" w:hAnsi="Century Schoolbook"/>
        </w:rPr>
        <w:endnoteReference w:id="1100"/>
      </w:r>
      <w:r>
        <w:t xml:space="preserve">   The plaintiff in </w:t>
      </w:r>
      <w:r>
        <w:rPr>
          <w:i/>
        </w:rPr>
        <w:t>Pottinger</w:t>
      </w:r>
      <w:r>
        <w:t xml:space="preserve"> presented expert testimony that the ER physician “failed to recognize a serious leg fracture shown by the x-rays” and failed to consult an orthopedic surgeon about the leg injury.</w:t>
      </w:r>
      <w:r>
        <w:rPr>
          <w:rStyle w:val="EndnoteReference"/>
          <w:rFonts w:ascii="Century Schoolbook" w:hAnsi="Century Schoolbook"/>
        </w:rPr>
        <w:endnoteReference w:id="1101"/>
      </w:r>
      <w:r>
        <w:rPr>
          <w:i/>
        </w:rPr>
        <w:t xml:space="preserve">  </w:t>
      </w:r>
      <w:r>
        <w:t>The ER physician testified that she immediately ordered x-rays on the patient’s leg, that she relied on a radiologist’s interpretation of the x-rays showing there was no serious fracture, and that as a result she did not need an orthopedic surgeon to come to the ER.</w:t>
      </w:r>
      <w:r>
        <w:rPr>
          <w:rStyle w:val="EndnoteReference"/>
          <w:rFonts w:ascii="Century Schoolbook" w:hAnsi="Century Schoolbook"/>
        </w:rPr>
        <w:endnoteReference w:id="1102"/>
      </w:r>
      <w:r>
        <w:t xml:space="preserve">  The Georgia Court of Appeals held that even if the plaintiff’s evidence was sufficient to create a fact issue as to the defendant’s negligence, “there [was] no evidence, and certainly no clear and convincing evidence, by which a jury could reasonably conclude that [the defendant] failed to exercise even slight care and was therefore grossly negligent.”</w:t>
      </w:r>
      <w:r>
        <w:rPr>
          <w:rStyle w:val="EndnoteReference"/>
          <w:rFonts w:ascii="Century Schoolbook" w:hAnsi="Century Schoolbook"/>
        </w:rPr>
        <w:endnoteReference w:id="1103"/>
      </w:r>
      <w:r>
        <w:t xml:space="preserve">  The defendant in </w:t>
      </w:r>
      <w:r>
        <w:rPr>
          <w:i/>
        </w:rPr>
        <w:t>Pottinger</w:t>
      </w:r>
      <w:r>
        <w:t xml:space="preserve"> provided testimony explaining her care of the patient and countering the opinions of the plaintiff’s expert, just as Dr. Omondi did.  What apparently entitled the defendant in </w:t>
      </w:r>
      <w:r>
        <w:rPr>
          <w:i/>
        </w:rPr>
        <w:t>Pottinger</w:t>
      </w:r>
      <w:r>
        <w:t xml:space="preserve"> to summary judgment was the fact that, in addition to ordering x-rays, she relied on “the services of another professional’s evaluation of the x-ray when determining the course of </w:t>
      </w:r>
      <w:r>
        <w:lastRenderedPageBreak/>
        <w:t>treatment.”</w:t>
      </w:r>
      <w:r>
        <w:rPr>
          <w:rStyle w:val="EndnoteReference"/>
          <w:rFonts w:ascii="Century Schoolbook" w:hAnsi="Century Schoolbook"/>
        </w:rPr>
        <w:endnoteReference w:id="1104"/>
      </w:r>
      <w:r>
        <w:t xml:space="preserve">   Otherwise, comparing </w:t>
      </w:r>
      <w:r>
        <w:rPr>
          <w:i/>
        </w:rPr>
        <w:t>Omondi</w:t>
      </w:r>
      <w:r>
        <w:t xml:space="preserve"> and </w:t>
      </w:r>
      <w:r>
        <w:rPr>
          <w:i/>
        </w:rPr>
        <w:t>Pottinger</w:t>
      </w:r>
      <w:r>
        <w:t xml:space="preserve"> shows there is an extremely fine line separating those emergency care cases that are subject to summary judgment from those that are not.</w:t>
      </w:r>
    </w:p>
    <w:p>
      <w:pPr>
        <w:pStyle w:val="BodyTextFirstIndent"/>
      </w:pPr>
      <w:r>
        <w:t xml:space="preserve">One week after </w:t>
      </w:r>
      <w:r>
        <w:rPr>
          <w:i/>
        </w:rPr>
        <w:t>Johnson v. Omondi</w:t>
      </w:r>
      <w:r>
        <w:t xml:space="preserve"> was decided, the Georgia Court of Appeals issued its opinion in </w:t>
      </w:r>
      <w:r>
        <w:rPr>
          <w:i/>
        </w:rPr>
        <w:t>Quinney v. Phoebe Putney Mem. Hosp., Inc</w:t>
      </w:r>
      <w:r>
        <w:t>.</w:t>
      </w:r>
      <w:r>
        <w:rPr>
          <w:rStyle w:val="EndnoteReference"/>
          <w:rFonts w:ascii="Century Schoolbook" w:hAnsi="Century Schoolbook"/>
        </w:rPr>
        <w:endnoteReference w:id="1105"/>
      </w:r>
      <w:r>
        <w:t xml:space="preserve">  Applying </w:t>
      </w:r>
      <w:r>
        <w:rPr>
          <w:i/>
        </w:rPr>
        <w:t>Omondi</w:t>
      </w:r>
      <w:r>
        <w:t xml:space="preserve"> to the case before it, the Georgia Court of Appeals observed “it appears that in the context of a motion for summary judgment, the burden of showing gross negligence (or lack of slight diligence) for the purposes of O.C.G.A. § 51-1-29.5 may in some cases be satisfied through the opinion testimony of a qualified expert.”</w:t>
      </w:r>
      <w:r>
        <w:rPr>
          <w:rStyle w:val="EndnoteReference"/>
          <w:rFonts w:ascii="Century Schoolbook" w:hAnsi="Century Schoolbook"/>
        </w:rPr>
        <w:endnoteReference w:id="1106"/>
      </w:r>
      <w:r>
        <w:t xml:space="preserve">  Interestingly, similar to </w:t>
      </w:r>
      <w:r>
        <w:rPr>
          <w:i/>
        </w:rPr>
        <w:t>Pottinger</w:t>
      </w:r>
      <w:r>
        <w:t xml:space="preserve"> the defendant physician in </w:t>
      </w:r>
      <w:r>
        <w:rPr>
          <w:i/>
        </w:rPr>
        <w:t>Quinney</w:t>
      </w:r>
      <w:r>
        <w:t xml:space="preserve"> ordered a CT scan of the patient and relied on a radiologist’s interpretation of the scan to make his diagnosis.</w:t>
      </w:r>
      <w:r>
        <w:rPr>
          <w:rStyle w:val="EndnoteReference"/>
          <w:rFonts w:ascii="Century Schoolbook" w:hAnsi="Century Schoolbook"/>
        </w:rPr>
        <w:endnoteReference w:id="1107"/>
      </w:r>
      <w:r>
        <w:t xml:space="preserve">  However, there were additional facts that precluded summary judgment for the physician in </w:t>
      </w:r>
      <w:r>
        <w:rPr>
          <w:i/>
        </w:rPr>
        <w:t>Quinney</w:t>
      </w:r>
      <w:r>
        <w:t>, namely his failure to read certain medical records that would have allegedly required him to consult further with a radiologist or a neurosurgeon.</w:t>
      </w:r>
      <w:r>
        <w:rPr>
          <w:rStyle w:val="EndnoteReference"/>
          <w:rFonts w:ascii="Century Schoolbook" w:hAnsi="Century Schoolbook"/>
        </w:rPr>
        <w:endnoteReference w:id="1108"/>
      </w:r>
    </w:p>
    <w:p>
      <w:pPr>
        <w:pStyle w:val="BodyTextFirstIndent"/>
      </w:pPr>
      <w:r>
        <w:t xml:space="preserve">Reading </w:t>
      </w:r>
      <w:r>
        <w:rPr>
          <w:i/>
        </w:rPr>
        <w:t>Omondi</w:t>
      </w:r>
      <w:r>
        <w:t xml:space="preserve">, </w:t>
      </w:r>
      <w:r>
        <w:rPr>
          <w:i/>
        </w:rPr>
        <w:t>Pottinger</w:t>
      </w:r>
      <w:r>
        <w:t xml:space="preserve">, and </w:t>
      </w:r>
      <w:r>
        <w:rPr>
          <w:i/>
        </w:rPr>
        <w:t>Quinney</w:t>
      </w:r>
      <w:r>
        <w:t xml:space="preserve"> together, a common theme for summary judgment purposes appears to be the extent to which an emergency care provider addresses the potential causes of a patient’s clinical issues.   For example, did the provider sufficiently rule out possible explanations for the patient’s problem, either by conducting a thorough enough examination or by consulting with the proper specialists?  The </w:t>
      </w:r>
      <w:r>
        <w:lastRenderedPageBreak/>
        <w:t xml:space="preserve">testimony of the plaintiff’s expert witnesses is also key.  This may be an oversimplification of what is ultimately a very fact-sensitive analysis, but it is recommended that defense counsel study these recent cases closely when handling a case brought under O.C.G.A. § 51-1-29.5. </w:t>
      </w:r>
    </w:p>
    <w:p>
      <w:pPr>
        <w:pStyle w:val="BodyText"/>
        <w:jc w:val="center"/>
        <w:rPr>
          <w:b/>
        </w:rPr>
      </w:pPr>
      <w:r>
        <w:rPr>
          <w:b/>
        </w:rPr>
        <w:t>C.</w:t>
      </w:r>
      <w:r>
        <w:rPr>
          <w:b/>
        </w:rPr>
        <w:tab/>
        <w:t>“Foreign Object” Claims</w:t>
      </w:r>
    </w:p>
    <w:p>
      <w:pPr>
        <w:pStyle w:val="BodyTextFirstIndent"/>
      </w:pPr>
      <w:r>
        <w:t xml:space="preserve">In </w:t>
      </w:r>
      <w:r>
        <w:rPr>
          <w:i/>
        </w:rPr>
        <w:t>Norred v. Teaver</w:t>
      </w:r>
      <w:r>
        <w:t>, the Georgia Court of Appeals overruled extensive precedent in holding the limitation period for a retained “foreign object” claim begins to run on the discovery of the object, regardless of whether it was intentionally or unintentionally left in the body.</w:t>
      </w:r>
      <w:r>
        <w:rPr>
          <w:rStyle w:val="EndnoteReference"/>
          <w:rFonts w:ascii="Century Schoolbook" w:hAnsi="Century Schoolbook"/>
        </w:rPr>
        <w:t xml:space="preserve"> </w:t>
      </w:r>
      <w:r>
        <w:rPr>
          <w:rStyle w:val="EndnoteReference"/>
          <w:rFonts w:ascii="Century Schoolbook" w:hAnsi="Century Schoolbook"/>
        </w:rPr>
        <w:endnoteReference w:id="1109"/>
      </w:r>
      <w:r>
        <w:t xml:space="preserve">  The trial court in </w:t>
      </w:r>
      <w:r>
        <w:rPr>
          <w:i/>
        </w:rPr>
        <w:t>Norred</w:t>
      </w:r>
      <w:r>
        <w:t xml:space="preserve"> granted summary judgment to the defendant dentist based on authority that held malpractice claims arising from objects </w:t>
      </w:r>
      <w:r>
        <w:rPr>
          <w:i/>
        </w:rPr>
        <w:t>intentionally</w:t>
      </w:r>
      <w:r>
        <w:t xml:space="preserve"> left in the body (in this case, a cotton pellet inserted in the plaintiff’s tooth) are subject to O.C.G.A. § 9-3-71(a)’s two-year “general statute of limitation for medical malpractice.”</w:t>
      </w:r>
      <w:r>
        <w:rPr>
          <w:rStyle w:val="EndnoteReference"/>
          <w:rFonts w:ascii="Century Schoolbook" w:hAnsi="Century Schoolbook"/>
        </w:rPr>
        <w:endnoteReference w:id="1110"/>
      </w:r>
      <w:r>
        <w:t xml:space="preserve">  Since the dentist purposefully left the cotton pellet in the plaintiff, it was not considered to be a “foreign object.”</w:t>
      </w:r>
      <w:r>
        <w:rPr>
          <w:rStyle w:val="EndnoteReference"/>
          <w:rFonts w:ascii="Century Schoolbook" w:hAnsi="Century Schoolbook"/>
        </w:rPr>
        <w:endnoteReference w:id="1111"/>
      </w:r>
      <w:r>
        <w:t xml:space="preserve">  Consequently, the trial court held that O.C.G.A. § 9-3-72, which states that a plaintiff has one year from the discovery of foreign object to file suit, did not apply.  The Georgia Court of Appeals reversed, finding that the trial court’s ruling and prior cases applying O.C.G.A. § 9-3-72 were “incorrect and contrary to the plain language of the statute.”</w:t>
      </w:r>
      <w:r>
        <w:rPr>
          <w:rStyle w:val="EndnoteReference"/>
          <w:rFonts w:ascii="Century Schoolbook" w:hAnsi="Century Schoolbook"/>
        </w:rPr>
        <w:endnoteReference w:id="1112"/>
      </w:r>
      <w:r>
        <w:t xml:space="preserve">  Judge Boggs scrutinized the specific statutory language in determining that the application of O.C.G.A. § 9-3-72 did not turn on whether the health </w:t>
      </w:r>
      <w:r>
        <w:lastRenderedPageBreak/>
        <w:t>care provider intended to leave the object in the patient, noting:</w:t>
      </w:r>
    </w:p>
    <w:p>
      <w:pPr>
        <w:pStyle w:val="BodyText"/>
        <w:ind w:left="720" w:right="720"/>
      </w:pPr>
      <w:r>
        <w:t xml:space="preserve">O.C.G.A. § 9-3-72 provides a one-year limitation period following the discovery of “a foreign object” that is “left” in a “patient’s body.”  The term “left” is past tense and past participle of the verb “leave” which is defined as “to cause or allow to remain.”  And “foreign” is defined as “not originating in the person or thing specified”  It follows then, that under the plain language of O.C.G.A. § 9-3-72, the limitation period begins to run upon the discovery of an object not originating in the person’s body that is caused or allowed to remain in the body.  </w:t>
      </w:r>
      <w:r>
        <w:rPr>
          <w:i/>
        </w:rPr>
        <w:t>It is immaterial under the plain meaning of this language whether the object is caused to remain intentionally or unintentionally</w:t>
      </w:r>
      <w:r>
        <w:t>.</w:t>
      </w:r>
      <w:r>
        <w:rPr>
          <w:rStyle w:val="EndnoteReference"/>
          <w:rFonts w:ascii="Century Schoolbook" w:hAnsi="Century Schoolbook"/>
        </w:rPr>
        <w:t xml:space="preserve"> </w:t>
      </w:r>
      <w:r>
        <w:rPr>
          <w:rStyle w:val="EndnoteReference"/>
          <w:rFonts w:ascii="Century Schoolbook" w:hAnsi="Century Schoolbook"/>
        </w:rPr>
        <w:endnoteReference w:id="1113"/>
      </w:r>
    </w:p>
    <w:p>
      <w:pPr>
        <w:pStyle w:val="BodyTextFirstIndent"/>
      </w:pPr>
      <w:r>
        <w:t>Since there was no dispute that the cotton pellet was a “foreign” object, the plaintiff timely filed her complaint within one year of finding it in her tooth.</w:t>
      </w:r>
      <w:r>
        <w:rPr>
          <w:rStyle w:val="EndnoteReference"/>
          <w:rFonts w:ascii="Century Schoolbook" w:hAnsi="Century Schoolbook"/>
        </w:rPr>
        <w:endnoteReference w:id="1114"/>
      </w:r>
    </w:p>
    <w:p>
      <w:pPr>
        <w:pStyle w:val="BodyText"/>
        <w:jc w:val="center"/>
        <w:rPr>
          <w:b/>
        </w:rPr>
      </w:pPr>
      <w:r>
        <w:rPr>
          <w:b/>
        </w:rPr>
        <w:t>D.</w:t>
      </w:r>
      <w:r>
        <w:rPr>
          <w:b/>
        </w:rPr>
        <w:tab/>
        <w:t>Expert Witnesses</w:t>
      </w:r>
    </w:p>
    <w:p>
      <w:pPr>
        <w:pStyle w:val="BodyTextFirstIndent"/>
      </w:pPr>
      <w:r>
        <w:t xml:space="preserve">In most appellate decisions that focus on an expert witness, the legal analysis usually involves the application of </w:t>
      </w:r>
      <w:r>
        <w:rPr>
          <w:i/>
        </w:rPr>
        <w:t>Daubert</w:t>
      </w:r>
      <w:r>
        <w:t xml:space="preserve"> principles or </w:t>
      </w:r>
      <w:r>
        <w:lastRenderedPageBreak/>
        <w:t xml:space="preserve">O.C.G.A. § 9-11-9.1, but that did not hold true in </w:t>
      </w:r>
      <w:r>
        <w:rPr>
          <w:i/>
        </w:rPr>
        <w:t>WellStar Health Sys., Inc. v. Kemp</w:t>
      </w:r>
      <w:r>
        <w:t>.</w:t>
      </w:r>
      <w:r>
        <w:rPr>
          <w:rStyle w:val="EndnoteReference"/>
          <w:rFonts w:ascii="Century Schoolbook" w:hAnsi="Century Schoolbook"/>
        </w:rPr>
        <w:endnoteReference w:id="1115"/>
      </w:r>
      <w:r>
        <w:t xml:space="preserve">  As is discussed below, </w:t>
      </w:r>
      <w:r>
        <w:rPr>
          <w:i/>
        </w:rPr>
        <w:t>Kemp</w:t>
      </w:r>
      <w:r>
        <w:t xml:space="preserve"> is a cautionary tale for all defense attorneys who handle medical malpractice cases.</w:t>
      </w:r>
    </w:p>
    <w:p>
      <w:pPr>
        <w:pStyle w:val="BodyTextFirstIndent"/>
      </w:pPr>
      <w:r>
        <w:t xml:space="preserve">The central issues in </w:t>
      </w:r>
      <w:r>
        <w:rPr>
          <w:i/>
        </w:rPr>
        <w:t>Kemp</w:t>
      </w:r>
      <w:r>
        <w:t xml:space="preserve"> arose out of communications with and about the plaintiff’s expert witness, Dr. William Stinnette.  The plaintiff filed a malpractice suit against WellStar and submitted with her complaint an affidavit from Dr. Stinnette pursuant to O.C.G.A. § 9-11-9.1.  Dr. Stinnette worked at Northside Hospital.  The alleged facts were that the attorneys defending WellStar contacted in-house counsel for Northside about Dr. Stinnette’s serving as an expert witness in a case against WellStar.  There was some confusion about whether Dr. Stinnette was merely submitting an affidavit or if he was going to actually testify for the plaintiff.</w:t>
      </w:r>
      <w:r>
        <w:rPr>
          <w:rStyle w:val="EndnoteReference"/>
          <w:rFonts w:ascii="Century Schoolbook" w:hAnsi="Century Schoolbook"/>
        </w:rPr>
        <w:endnoteReference w:id="1116"/>
      </w:r>
      <w:r>
        <w:t xml:space="preserve">  When it became apparent that he was going to testify, WellStar’s defense counsel again contacted Northside’s in-house counsel three days before the deposition.  After speaking with WellStar’s counsel, Northside’s counsel contacted Dr. Stinnette and told him, among other things, that “a WellStar representative” had requested that he cease his involvement in the case.</w:t>
      </w:r>
      <w:r>
        <w:rPr>
          <w:rStyle w:val="EndnoteReference"/>
          <w:rFonts w:ascii="Century Schoolbook" w:hAnsi="Century Schoolbook"/>
        </w:rPr>
        <w:endnoteReference w:id="1117"/>
      </w:r>
      <w:r>
        <w:t xml:space="preserve">  Upset by his conversation with Northside’s counsel, Dr. Stinnette contacted plaintiff’s counsel and requested to “postpone his deposition because he was concerned his testimony might impact his employment.”</w:t>
      </w:r>
      <w:r>
        <w:rPr>
          <w:rStyle w:val="EndnoteReference"/>
          <w:rFonts w:ascii="Century Schoolbook" w:hAnsi="Century Schoolbook"/>
        </w:rPr>
        <w:endnoteReference w:id="1118"/>
      </w:r>
      <w:r>
        <w:t xml:space="preserve">  Dr. Stinnette called plaintiff’s counsel again at 4:00 a.m. the next morning and said that, based </w:t>
      </w:r>
      <w:r>
        <w:lastRenderedPageBreak/>
        <w:t>on his conversations with Northside’s counsel, “he could not continue as [plaintiff’s] expert because he felt he might lose everything.”</w:t>
      </w:r>
      <w:r>
        <w:rPr>
          <w:rStyle w:val="EndnoteReference"/>
          <w:rFonts w:ascii="Century Schoolbook" w:hAnsi="Century Schoolbook"/>
        </w:rPr>
        <w:endnoteReference w:id="1119"/>
      </w:r>
      <w:r>
        <w:t xml:space="preserve">  </w:t>
      </w:r>
    </w:p>
    <w:p>
      <w:pPr>
        <w:pStyle w:val="BodyTextFirstIndent"/>
      </w:pPr>
      <w:r>
        <w:t>The plaintiff filed a motion to disqualify WellStar’s defense counsel “for tampering with her expert witness.”</w:t>
      </w:r>
      <w:r>
        <w:rPr>
          <w:rStyle w:val="EndnoteReference"/>
          <w:rFonts w:ascii="Century Schoolbook" w:hAnsi="Century Schoolbook"/>
        </w:rPr>
        <w:endnoteReference w:id="1120"/>
      </w:r>
      <w:r>
        <w:t xml:space="preserve">  She also moved to strike WellStar’s answer.  In conjunction with her motions, she subpoenaed WellStar’s defense counsel and Northside’s in-house counsel for depositions, and she also sought production of documents involving communications between Northside’s counsel and Dr. Stinnette.  The WellStar and Northside attorneys moved to quash the subpoenas and motion to produce the documents.  The trial court denied the motion to quash and allowed the plaintiff to depose WellStar’s defense counsel.  The trial court also ruled that it would conduct an in camera review of any documents before producing them to plaintiff.</w:t>
      </w:r>
    </w:p>
    <w:p>
      <w:pPr>
        <w:pStyle w:val="BodyTextFirstIndent"/>
      </w:pPr>
      <w:r>
        <w:t>The trial court conducted a subsequent hearing on the plaintiff’s motion to disqualify.  Finding that WellStar’s defense counsel “deliberately interfered with an expert witness by contacting [Northside’s in-house counsel] in order for her to pressure Stinnette into withdrawing from the case,” the trial judge ordered the disqualification of WellStar’s defense counsel.</w:t>
      </w:r>
      <w:r>
        <w:rPr>
          <w:rStyle w:val="EndnoteReference"/>
          <w:rFonts w:ascii="Century Schoolbook" w:hAnsi="Century Schoolbook"/>
        </w:rPr>
        <w:endnoteReference w:id="1121"/>
      </w:r>
      <w:r>
        <w:t xml:space="preserve">  Another hearing was held on the motion to strike.  The trial court ruled that “striking WellStar’s answer was appropriate given that the attempts to prevent Stinnette from testifying were repeated and intentional, and the intimidation of Kemp’s key expert witness, known to be such by WellStar </w:t>
      </w:r>
      <w:r>
        <w:lastRenderedPageBreak/>
        <w:t>for over a year, constituted an egregious injury to Kemp’s case at that stage of litigation.”</w:t>
      </w:r>
      <w:r>
        <w:rPr>
          <w:rStyle w:val="EndnoteReference"/>
          <w:rFonts w:ascii="Century Schoolbook" w:hAnsi="Century Schoolbook"/>
        </w:rPr>
        <w:endnoteReference w:id="1122"/>
      </w:r>
      <w:r>
        <w:t xml:space="preserve">  The case was tried on damages only, and the jury returned a verdict for approximately $718,875.00.</w:t>
      </w:r>
    </w:p>
    <w:p>
      <w:pPr>
        <w:pStyle w:val="BodyTextFirstIndent"/>
      </w:pPr>
      <w:r>
        <w:t>On appeal, the Georgia Court of Appeals affirmed the disqualification of WellStar’s defense counsel and the overruling of the motions to quash.  While recognizing the “considerable reluctance” courts have shown in disqualifying trial counsel, the Georgia Court of Appeals determined that it was not an abuse of the trial court’s discretion to have done so under the facts at issue.</w:t>
      </w:r>
      <w:r>
        <w:rPr>
          <w:rStyle w:val="EndnoteReference"/>
          <w:rFonts w:ascii="Century Schoolbook" w:hAnsi="Century Schoolbook"/>
        </w:rPr>
        <w:endnoteReference w:id="1123"/>
      </w:r>
      <w:r>
        <w:t xml:space="preserve">  Evidence of defense counsel’s “repeated and intentional” efforts to prevent Dr. Stinnette from testifying, coupled with “discrepancies” in the testimony of both hospitals’ attorneys, authorized the trial court to order disqualification.</w:t>
      </w:r>
      <w:r>
        <w:rPr>
          <w:rStyle w:val="EndnoteReference"/>
          <w:rFonts w:ascii="Century Schoolbook" w:hAnsi="Century Schoolbook"/>
        </w:rPr>
        <w:endnoteReference w:id="1124"/>
      </w:r>
      <w:r>
        <w:t xml:space="preserve">  In affirming the denial of the motions to quash, the court of appeals noted that defense counsel “had discoverable facts relevant to the disqualification issue that were not protected by work product or other privilege.  The trial court properly conducted in camera review of the documents produced and properly limited the scope of the depositions to the issue of the lawyers’ conduct related to Stinnette . . . .”</w:t>
      </w:r>
      <w:r>
        <w:rPr>
          <w:rStyle w:val="EndnoteReference"/>
          <w:rFonts w:ascii="Century Schoolbook" w:hAnsi="Century Schoolbook"/>
        </w:rPr>
        <w:endnoteReference w:id="1125"/>
      </w:r>
    </w:p>
    <w:p>
      <w:pPr>
        <w:pStyle w:val="BodyTextFirstIndent"/>
      </w:pPr>
      <w:r>
        <w:t>However, the Georgia Court of Appeals reversed the order striking WellStar’s answer and remanded the case for reconsideration of a more appropriate sanction.</w:t>
      </w:r>
      <w:r>
        <w:rPr>
          <w:rStyle w:val="EndnoteReference"/>
          <w:rFonts w:ascii="Century Schoolbook" w:hAnsi="Century Schoolbook"/>
        </w:rPr>
        <w:endnoteReference w:id="1126"/>
      </w:r>
      <w:r>
        <w:t xml:space="preserve">  The court found:</w:t>
      </w:r>
    </w:p>
    <w:p>
      <w:pPr>
        <w:pStyle w:val="BodyText"/>
        <w:ind w:left="720" w:right="720"/>
      </w:pPr>
      <w:r>
        <w:t xml:space="preserve">We are mindful that the trial court’s finding of an </w:t>
      </w:r>
      <w:r>
        <w:lastRenderedPageBreak/>
        <w:t>intentional, unethical act is well supported by the record, and we are also mindful that as the trial court recognized, it is a hardship to Kemp to secure another expert in support of his case and that the expert’s testimony is central thereto, but these hardships can be addressed by the trial court with a number of less severe sanctions than the complete foreclosure of WellStar’s defenses to liability.</w:t>
      </w:r>
      <w:r>
        <w:rPr>
          <w:rStyle w:val="EndnoteReference"/>
          <w:rFonts w:ascii="Century Schoolbook" w:hAnsi="Century Schoolbook"/>
        </w:rPr>
        <w:endnoteReference w:id="1127"/>
      </w:r>
      <w:r>
        <w:t xml:space="preserve">   </w:t>
      </w:r>
    </w:p>
    <w:p>
      <w:pPr>
        <w:pStyle w:val="BodyTextFirstIndent"/>
      </w:pPr>
      <w:r>
        <w:rPr>
          <w:i/>
        </w:rPr>
        <w:t>Kemp</w:t>
      </w:r>
      <w:r>
        <w:t xml:space="preserve"> provides lessons (and warnings) about aggressive advocacy.  Every defense lawyer in a medical malpractice must attack the opinions and credibility of the plaintiff’s experts, but those efforts do have their limits.</w:t>
      </w:r>
    </w:p>
    <w:p>
      <w:pPr>
        <w:pStyle w:val="BodyText"/>
        <w:rPr>
          <w:b/>
        </w:rPr>
      </w:pPr>
      <w:r>
        <w:rPr>
          <w:b/>
        </w:rPr>
        <w:t>II.</w:t>
      </w:r>
      <w:r>
        <w:rPr>
          <w:b/>
        </w:rPr>
        <w:tab/>
        <w:t>Conclusion</w:t>
      </w:r>
    </w:p>
    <w:p>
      <w:pPr>
        <w:pStyle w:val="BodyTextFirstIndent"/>
      </w:pPr>
      <w:r>
        <w:t xml:space="preserve">As is shown above in </w:t>
      </w:r>
      <w:r>
        <w:rPr>
          <w:i/>
        </w:rPr>
        <w:t>Villanueva</w:t>
      </w:r>
      <w:r>
        <w:t xml:space="preserve"> and </w:t>
      </w:r>
      <w:r>
        <w:rPr>
          <w:i/>
        </w:rPr>
        <w:t>Norred</w:t>
      </w:r>
      <w:r>
        <w:t>, the law applicable to specific types of professional malpractice claims has recently experienced a sea change.  It remains to be seen to what extent (if any) the Affordable Care Act will affect health care negligence claims.  There should be little doubt that professional malpractice law will continue to evolve, and defense attorneys should remain vigilant of any developments in this law, on both the national and state levels.</w:t>
      </w:r>
    </w:p>
    <w:p>
      <w:pPr>
        <w:spacing w:after="0"/>
        <w:jc w:val="center"/>
        <w:rPr>
          <w:b/>
          <w:u w:val="single"/>
        </w:rPr>
      </w:pPr>
      <w:r>
        <w:rPr>
          <w:b/>
          <w:u w:val="single"/>
        </w:rPr>
        <w:t>End Notes</w:t>
      </w:r>
    </w:p>
    <w:p>
      <w:pPr>
        <w:spacing w:after="0"/>
        <w:jc w:val="both"/>
        <w:rPr>
          <w:b/>
          <w:u w:val="single"/>
        </w:rPr>
      </w:pPr>
    </w:p>
    <w:p>
      <w:pPr>
        <w:spacing w:after="0"/>
        <w:jc w:val="both"/>
        <w:rPr>
          <w:b/>
          <w:u w:val="single"/>
        </w:rPr>
        <w:sectPr>
          <w:endnotePr>
            <w:numFmt w:val="decimal"/>
            <w:numRestart w:val="eachSect"/>
          </w:endnotePr>
          <w:type w:val="continuous"/>
          <w:pgSz w:w="12240" w:h="15840"/>
          <w:pgMar w:top="1440" w:right="1440" w:bottom="1440" w:left="1440" w:header="720" w:footer="720" w:gutter="0"/>
          <w:cols w:num="2" w:space="720"/>
          <w:titlePg/>
          <w:rtlGutter/>
          <w:docGrid w:linePitch="360"/>
        </w:sectPr>
      </w:pPr>
    </w:p>
    <w:p>
      <w:pPr>
        <w:pStyle w:val="Heading1"/>
      </w:pPr>
      <w:bookmarkStart w:id="266" w:name="_Toc387223623"/>
      <w:r>
        <w:lastRenderedPageBreak/>
        <w:t>Getting Holt Demands Back on Track:</w:t>
      </w:r>
      <w:r>
        <w:br/>
        <w:t>Significant Court Decisions and the Impact of 2013 Legislation</w:t>
      </w:r>
      <w:bookmarkEnd w:id="266"/>
    </w:p>
    <w:p/>
    <w:p>
      <w:pPr>
        <w:pStyle w:val="Author"/>
      </w:pPr>
      <w:r>
        <w:t>By: Thomas Peter Allen III</w:t>
      </w:r>
    </w:p>
    <w:p>
      <w:pPr>
        <w:pStyle w:val="Author"/>
      </w:pPr>
      <w:r>
        <w:t>Martin Snow, LLP</w:t>
      </w:r>
    </w:p>
    <w:p>
      <w:pPr>
        <w:pStyle w:val="Header"/>
        <w:jc w:val="center"/>
      </w:pPr>
    </w:p>
    <w:p>
      <w:pPr>
        <w:spacing w:after="0"/>
        <w:jc w:val="both"/>
        <w:rPr>
          <w:b/>
          <w:u w:val="single"/>
        </w:rPr>
      </w:pPr>
    </w:p>
    <w:p>
      <w:pPr>
        <w:spacing w:after="0"/>
        <w:jc w:val="both"/>
        <w:rPr>
          <w:b/>
          <w:u w:val="single"/>
        </w:rPr>
        <w:sectPr>
          <w:endnotePr>
            <w:numFmt w:val="decimal"/>
          </w:endnotePr>
          <w:pgSz w:w="12240" w:h="15840"/>
          <w:pgMar w:top="1440" w:right="1440" w:bottom="1440" w:left="1440" w:header="720" w:footer="720" w:gutter="0"/>
          <w:cols w:space="720"/>
          <w:titlePg/>
          <w:docGrid w:linePitch="360"/>
        </w:sectPr>
      </w:pPr>
    </w:p>
    <w:p>
      <w:pPr>
        <w:pBdr>
          <w:top w:val="single" w:sz="4" w:space="1" w:color="auto"/>
          <w:left w:val="single" w:sz="4" w:space="4" w:color="auto"/>
          <w:bottom w:val="single" w:sz="4" w:space="1" w:color="auto"/>
          <w:right w:val="single" w:sz="4" w:space="4" w:color="auto"/>
        </w:pBdr>
        <w:shd w:val="clear" w:color="auto" w:fill="81BAC5"/>
        <w:spacing w:after="0"/>
        <w:jc w:val="both"/>
        <w:rPr>
          <w:b/>
          <w:u w:val="single"/>
        </w:rPr>
      </w:pPr>
      <w:r>
        <w:rPr>
          <w:noProof/>
        </w:rPr>
        <w:pict>
          <v:shape id="Picture 67" o:spid="_x0000_s1053" type="#_x0000_t75" alt="PeterThomasAllen" style="position:absolute;left:0;text-align:left;margin-left:-.6pt;margin-top:29.1pt;width:93.9pt;height:125.25pt;z-index:-251652608;visibility:visible" wrapcoords="-173 0 -173 21471 21600 21471 21600 0 -173 0">
            <v:imagedata r:id="rId52" o:title=""/>
            <w10:wrap type="tight"/>
          </v:shape>
        </w:pict>
      </w:r>
      <w:r>
        <w:rPr>
          <w:b/>
        </w:rPr>
        <w:t xml:space="preserve">Thomas Peter Allen III </w:t>
      </w:r>
      <w:r>
        <w:t>is a partner with Martin Snow, LLP in Macon.  He pursues a civil litigation practice, representing insurers in matters of coverage, settlement negotiations, and allegations of bad faith, as well as defending their insureds upon various and sundry claims.  On the appellate side, he has several reported cases to his credit, including a number touching specifically upon insurance-related issues.  He is a long-time member of the GDLA, and, for the last two years, has served as a faculty member for the GDLA’s “Pre-Trial Discovery/Deposition Boot Camp.”</w:t>
      </w:r>
    </w:p>
    <w:p>
      <w:pPr>
        <w:pStyle w:val="BodyTextFirstIndent"/>
      </w:pPr>
      <w:r>
        <w:t>O.C.G.A. § 9-11-67.1, an entirely new addition to the Georgia Code, took effect July 1, 2013.  No doubt defense lawyers who represent automobile insurers and their insureds in this state hope that date will prove to be a watershed moment.  The hope lies in the fact the statute defines certain minimum parameters to be honored henceforth by claimants’ attorneys “offer[ing] to settle a tort claim for personal injury, bodily injury, or death arising from the use of a motor vehicle” before filing suit.</w:t>
      </w:r>
      <w:r>
        <w:rPr>
          <w:vertAlign w:val="superscript"/>
        </w:rPr>
        <w:endnoteReference w:id="1128"/>
      </w:r>
      <w:r>
        <w:t xml:space="preserve">  To be more specific, the statute goes so far as to require an offering attorney to include and to be very explicit in </w:t>
      </w:r>
      <w:r>
        <w:lastRenderedPageBreak/>
        <w:t xml:space="preserve">writing about certain “material” settlement terms – </w:t>
      </w:r>
      <w:r>
        <w:rPr>
          <w:i/>
        </w:rPr>
        <w:t>i.e.</w:t>
      </w:r>
      <w:r>
        <w:t xml:space="preserve"> the time for acceptance, the amount to be paid, the parties to be released, the type of release to be executed, and the claims to be released – and then mandates that any such offer can be accepted by way of a writing adopting those material terms “in their entirety.”</w:t>
      </w:r>
      <w:r>
        <w:rPr>
          <w:vertAlign w:val="superscript"/>
        </w:rPr>
        <w:endnoteReference w:id="1129"/>
      </w:r>
      <w:r>
        <w:t xml:space="preserve">  Looking back across the Elysian Fields of your practice at the many pre-suit claims put to rest, you might believe such matters can be taken for granted and are unworthy of statutory attention.  They are, after all, eminently reasonable.  So you may ask yourself, who wishing to settle a claim with another party </w:t>
      </w:r>
      <w:r>
        <w:rPr>
          <w:i/>
        </w:rPr>
        <w:t>would not</w:t>
      </w:r>
      <w:r>
        <w:t xml:space="preserve"> say with reasonable clarity what it is he demands and what it is he is willing to grant in return?  And when could a writing declaring unmitigated assent to a tendered offer </w:t>
      </w:r>
      <w:r>
        <w:rPr>
          <w:i/>
        </w:rPr>
        <w:t>not</w:t>
      </w:r>
      <w:r>
        <w:t xml:space="preserve"> be deemed an acceptance?  Do we really need Marquess of Queensberry rules for negotiations where compromise is the goal?  If such questions occur to you, you cannot have been on the front lines in one of the all-too-numerous battles lately over whether an insurer willing to pay its policy limits met a laundry list of conditions in a pre-suit settlement demand from a claimant’s attorney who never really intended to accept the policy limits in settlement.  First some background is necessary.</w:t>
      </w:r>
    </w:p>
    <w:p>
      <w:pPr>
        <w:pStyle w:val="BodyText"/>
        <w:ind w:left="720" w:hanging="720"/>
        <w:rPr>
          <w:b/>
        </w:rPr>
      </w:pPr>
      <w:r>
        <w:rPr>
          <w:b/>
        </w:rPr>
        <w:lastRenderedPageBreak/>
        <w:t>I.</w:t>
      </w:r>
      <w:r>
        <w:rPr>
          <w:b/>
        </w:rPr>
        <w:tab/>
        <w:t>The Beginning of Bad Faith Claims</w:t>
      </w:r>
    </w:p>
    <w:p>
      <w:pPr>
        <w:pStyle w:val="BodyTextFirstIndent"/>
        <w:rPr>
          <w:rFonts w:ascii="Century" w:hAnsi="Century"/>
        </w:rPr>
      </w:pPr>
      <w:r>
        <w:t>For</w:t>
      </w:r>
      <w:r>
        <w:rPr>
          <w:rFonts w:ascii="Century" w:hAnsi="Century"/>
        </w:rPr>
        <w:t xml:space="preserve"> roughly sixty-seven years, the appellate courts of Georgia have recognized the importance of protecting insureds under duly-purchased policies of liability insurance from being needlessly dragged to trial to face the prospect of ruinous personal liability.  Deeming the encouragement of pre-trial resolution of injury claims to be a matter of sound public policy, Georgia’s judiciary long ago followed the lead of other states and declared as early as 1947 that “an automobile liability insurance company may be held liable for damages to its insured for failing to adjust or compromise a claim covered by its policy of insurance, where the insurer is guilty of negligence or of fraud or bad faith in failing to adjust or compromise the claim to the injury of the insured.”</w:t>
      </w:r>
      <w:r>
        <w:rPr>
          <w:rFonts w:ascii="Century" w:hAnsi="Century"/>
          <w:vertAlign w:val="superscript"/>
        </w:rPr>
        <w:endnoteReference w:id="1130"/>
      </w:r>
      <w:r>
        <w:rPr>
          <w:rFonts w:ascii="Century" w:hAnsi="Century"/>
        </w:rPr>
        <w:t xml:space="preserve">  Two distinct yet interdependent thoughts seemingly underlay that idea.  One was that insurance companies, having at stake only their policy limits, would – if not constrained to show due regard for the risks to their insureds – tend to avoid settlements and take cases to trial in hopes of either getting low verdicts and saving some money off the limits or, even better, getting defense verdicts and having to pay nothing.  The second idea was that injured claimants who entered into settlement dialogues with insurers would be sincerely desirous of settling their claims.  The courts felt little need to foster this latter consideration, though; it was taken as a given.  Thus, seeking chiefly to check the perceived </w:t>
      </w:r>
      <w:r>
        <w:rPr>
          <w:rFonts w:ascii="Century" w:hAnsi="Century"/>
        </w:rPr>
        <w:lastRenderedPageBreak/>
        <w:t>tendency of liability insurers to discount the interests of those who pay their premiums, the resulting jurisprudence emphasized “the company owes to the insured a duty independent of the contract not to injure him . . . .”</w:t>
      </w:r>
      <w:r>
        <w:rPr>
          <w:rFonts w:ascii="Century" w:hAnsi="Century"/>
          <w:vertAlign w:val="superscript"/>
        </w:rPr>
        <w:endnoteReference w:id="1131"/>
      </w:r>
      <w:r>
        <w:rPr>
          <w:rFonts w:ascii="Century" w:hAnsi="Century"/>
        </w:rPr>
        <w:t xml:space="preserve">  “As the champion of the insured,” said the Georgia Court of Appeals almost fifty years ago, “[the insurer] must consider as paramount </w:t>
      </w:r>
      <w:r>
        <w:rPr>
          <w:rFonts w:ascii="Century" w:hAnsi="Century"/>
          <w:i/>
        </w:rPr>
        <w:t>his interests</w:t>
      </w:r>
      <w:r>
        <w:rPr>
          <w:rFonts w:ascii="Century" w:hAnsi="Century"/>
        </w:rPr>
        <w:t>, rather than its own, and may not gamble with his funds.”</w:t>
      </w:r>
      <w:r>
        <w:rPr>
          <w:rFonts w:ascii="Century" w:hAnsi="Century"/>
          <w:vertAlign w:val="superscript"/>
        </w:rPr>
        <w:endnoteReference w:id="1132"/>
      </w:r>
      <w:r>
        <w:rPr>
          <w:rFonts w:ascii="Century" w:hAnsi="Century"/>
        </w:rPr>
        <w:t xml:space="preserve">    Holding this same line, the Georgia Supreme Court issued over twenty years ago what has become the seminal case in such matters, </w:t>
      </w:r>
      <w:r>
        <w:rPr>
          <w:rFonts w:ascii="Century" w:hAnsi="Century"/>
          <w:i/>
        </w:rPr>
        <w:t>Southern General Insurance Company v. Holt</w:t>
      </w:r>
      <w:r>
        <w:rPr>
          <w:rFonts w:ascii="Century" w:hAnsi="Century"/>
        </w:rPr>
        <w:t xml:space="preserve">: </w:t>
      </w:r>
    </w:p>
    <w:p>
      <w:pPr>
        <w:pStyle w:val="BodyText"/>
        <w:ind w:left="720" w:right="720"/>
      </w:pPr>
      <w:r>
        <w:t>An insurance company may be liable for damages to its insured for failing to settle the claim of an injured person where the insurer is guilty of negligence, fraud, or bad faith in failing to compromise the claim.  In deciding whether to settle a claim within the policy limits, the insurance company must give equal consideration to the interests of the insured.  The jury generally must decide whether the insurer, in view of the existing circumstances, has accorded the insured “the same faithful consideration it gives its own interest.”</w:t>
      </w:r>
      <w:r>
        <w:rPr>
          <w:vertAlign w:val="superscript"/>
        </w:rPr>
        <w:endnoteReference w:id="1133"/>
      </w:r>
      <w:r>
        <w:t xml:space="preserve"> </w:t>
      </w:r>
    </w:p>
    <w:p>
      <w:pPr>
        <w:pStyle w:val="BodyText"/>
      </w:pPr>
      <w:r>
        <w:t>“Equal consideration” was the key.</w:t>
      </w:r>
      <w:r>
        <w:rPr>
          <w:rStyle w:val="EndnoteReference"/>
          <w:rFonts w:ascii="Century" w:hAnsi="Century"/>
        </w:rPr>
        <w:endnoteReference w:id="1134"/>
      </w:r>
      <w:r>
        <w:t xml:space="preserve">  Although even at that the </w:t>
      </w:r>
      <w:r>
        <w:rPr>
          <w:i/>
        </w:rPr>
        <w:t>Holt</w:t>
      </w:r>
      <w:r>
        <w:t xml:space="preserve"> court </w:t>
      </w:r>
      <w:r>
        <w:lastRenderedPageBreak/>
        <w:t>went a little further in declaring a liability insurer had an affirmative duty to respond to a time-limited settlement demand within the policy limits.</w:t>
      </w:r>
      <w:r>
        <w:rPr>
          <w:vertAlign w:val="superscript"/>
        </w:rPr>
        <w:endnoteReference w:id="1135"/>
      </w:r>
      <w:r>
        <w:t xml:space="preserve">  Thus did the state’s highest court recognize the tort of bad faith against an insurance company for unreasonably failing to accept a time-limited settlement demand within the applicable insurance policy limits and, in so doing, put its imprimatur on the now-standard manner in which claimants’ attorneys attempt to force insurers to settle.  Apparently still seeing insurer intransigence as the chief impediment to assuring Georgia liability insurance policyholders they would not have to go to trial unnecessarily (and, to be fair, the facts of </w:t>
      </w:r>
      <w:r>
        <w:rPr>
          <w:i/>
        </w:rPr>
        <w:t>Holt</w:t>
      </w:r>
      <w:r>
        <w:t xml:space="preserve"> as recounted by the appellate court could fairly be said to describe the insurer’s conduct as somewhat intransigent), it seems the Georgia Supreme Court intended by its unanimous </w:t>
      </w:r>
      <w:r>
        <w:rPr>
          <w:i/>
        </w:rPr>
        <w:t>Holt</w:t>
      </w:r>
      <w:r>
        <w:t xml:space="preserve"> decision to give injured claimants means of bringing reasonable pressure to bear.  The court expressly decried any suggestion the intention was to tip the balance in the claimants’ favor such that every settlement negotiation becomes a prospective bad faith claim, however.  Said the </w:t>
      </w:r>
      <w:r>
        <w:rPr>
          <w:i/>
        </w:rPr>
        <w:t>Holt</w:t>
      </w:r>
      <w:r>
        <w:t xml:space="preserve"> court in that regard: </w:t>
      </w:r>
    </w:p>
    <w:p>
      <w:pPr>
        <w:pStyle w:val="BodyText"/>
        <w:ind w:left="720" w:right="720"/>
      </w:pPr>
      <w:r>
        <w:t xml:space="preserve">Nothing in this decision is intended to lay down a rule of law that would mean that a plaintiff’s attorney under similar circumstances could “set up” an insurer for an excess judgment merely by offering to settle within the policy limits and by imposing an </w:t>
      </w:r>
      <w:r>
        <w:lastRenderedPageBreak/>
        <w:t>unreasonably short time within which the offer would remain open.</w:t>
      </w:r>
      <w:r>
        <w:rPr>
          <w:vertAlign w:val="superscript"/>
        </w:rPr>
        <w:endnoteReference w:id="1136"/>
      </w:r>
    </w:p>
    <w:p>
      <w:pPr>
        <w:pStyle w:val="BodyText"/>
        <w:rPr>
          <w:rFonts w:ascii="Century" w:hAnsi="Century"/>
        </w:rPr>
      </w:pPr>
      <w:r>
        <w:t>The</w:t>
      </w:r>
      <w:r>
        <w:rPr>
          <w:rFonts w:ascii="Century" w:hAnsi="Century"/>
        </w:rPr>
        <w:t xml:space="preserve"> Supreme Court can thus be credited in </w:t>
      </w:r>
      <w:r>
        <w:rPr>
          <w:rFonts w:ascii="Century" w:hAnsi="Century"/>
          <w:i/>
        </w:rPr>
        <w:t>Holt</w:t>
      </w:r>
      <w:r>
        <w:rPr>
          <w:rFonts w:ascii="Century" w:hAnsi="Century"/>
        </w:rPr>
        <w:t xml:space="preserve"> with having immediately anticipated the potential for claimants (or, more precisely, their attorneys) to try to take undue advantage of strictures placed on insurers’ acceptable conduct to avoid settlement themselves and try to open up policy limits via bad faith claims.  Nevertheless, the court can also be criticized for doing nothing about it.  For one thing, apart from the rather-nebulous talk about “equal consideration” </w:t>
      </w:r>
      <w:r>
        <w:rPr>
          <w:rFonts w:ascii="Century" w:hAnsi="Century"/>
          <w:i/>
        </w:rPr>
        <w:t>Holt</w:t>
      </w:r>
      <w:r>
        <w:rPr>
          <w:rFonts w:ascii="Century" w:hAnsi="Century"/>
        </w:rPr>
        <w:t xml:space="preserve"> gave no practical guidance as to particular factors to be considered in weighing the reasonableness of insurance companies’ responses to time-limited settlement demands.  Even worse, while certainly holding insurers’ feet to the fire lest they “[fail] to settle the claim,” the </w:t>
      </w:r>
      <w:r>
        <w:rPr>
          <w:rFonts w:ascii="Century" w:hAnsi="Century"/>
          <w:i/>
        </w:rPr>
        <w:t>Holt</w:t>
      </w:r>
      <w:r>
        <w:rPr>
          <w:rFonts w:ascii="Century" w:hAnsi="Century"/>
        </w:rPr>
        <w:t xml:space="preserve"> court gave no indication as to what, if any, specific information a claimant’s attorney should in fairness provide to an insurance carrier to enable the carrier to offer an informed response.</w:t>
      </w:r>
      <w:r>
        <w:rPr>
          <w:rStyle w:val="EndnoteReference"/>
          <w:rFonts w:ascii="Century" w:hAnsi="Century"/>
        </w:rPr>
        <w:endnoteReference w:id="1137"/>
      </w:r>
      <w:r>
        <w:rPr>
          <w:rFonts w:ascii="Century" w:hAnsi="Century"/>
        </w:rPr>
        <w:t xml:space="preserve">  So, in short, </w:t>
      </w:r>
      <w:r>
        <w:rPr>
          <w:rFonts w:ascii="Century" w:hAnsi="Century"/>
          <w:i/>
        </w:rPr>
        <w:t>Holt</w:t>
      </w:r>
      <w:r>
        <w:rPr>
          <w:rFonts w:ascii="Century" w:hAnsi="Century"/>
        </w:rPr>
        <w:t xml:space="preserve"> said unequivocally insurers could be liable for not being reasonable in responding to time-limited settlement demands, but said nothing about whether claimants themselves needed to be reasonable in presenting them above hinting “unreasonably short time[s]” for acceptance were disfavored.</w:t>
      </w:r>
      <w:r>
        <w:rPr>
          <w:rStyle w:val="EndnoteReference"/>
          <w:rFonts w:ascii="Century" w:hAnsi="Century"/>
        </w:rPr>
        <w:endnoteReference w:id="1138"/>
      </w:r>
      <w:r>
        <w:rPr>
          <w:rFonts w:ascii="Century" w:hAnsi="Century"/>
        </w:rPr>
        <w:t xml:space="preserve">  Given the tack the claimants’ bar would take in dealing with insurers following </w:t>
      </w:r>
      <w:r>
        <w:rPr>
          <w:rFonts w:ascii="Century" w:hAnsi="Century"/>
          <w:i/>
        </w:rPr>
        <w:t>Holt</w:t>
      </w:r>
      <w:r>
        <w:rPr>
          <w:rFonts w:ascii="Century" w:hAnsi="Century"/>
        </w:rPr>
        <w:t xml:space="preserve">, the court’s tepid statement about not desiring “set-ups” brings to mind the old saying about the road to </w:t>
      </w:r>
      <w:r>
        <w:rPr>
          <w:rFonts w:ascii="Century" w:hAnsi="Century"/>
        </w:rPr>
        <w:lastRenderedPageBreak/>
        <w:t>perdition being paved with good intentions.</w:t>
      </w:r>
      <w:r>
        <w:rPr>
          <w:rFonts w:ascii="Century" w:hAnsi="Century"/>
          <w:vertAlign w:val="superscript"/>
        </w:rPr>
        <w:endnoteReference w:id="1139"/>
      </w:r>
      <w:r>
        <w:rPr>
          <w:rFonts w:ascii="Century" w:hAnsi="Century"/>
        </w:rPr>
        <w:t xml:space="preserve">  After all, the new points of battle along the line between insurers and injured claimants’ attorneys started showing almost immediately.</w:t>
      </w:r>
    </w:p>
    <w:p>
      <w:pPr>
        <w:pStyle w:val="BodyText"/>
        <w:ind w:left="720" w:hanging="720"/>
        <w:jc w:val="left"/>
        <w:rPr>
          <w:rFonts w:ascii="Century" w:hAnsi="Century"/>
          <w:b/>
        </w:rPr>
      </w:pPr>
      <w:r>
        <w:rPr>
          <w:rFonts w:ascii="Century" w:hAnsi="Century"/>
        </w:rPr>
        <w:t>II.</w:t>
      </w:r>
      <w:r>
        <w:rPr>
          <w:rFonts w:ascii="Century" w:hAnsi="Century"/>
        </w:rPr>
        <w:tab/>
      </w:r>
      <w:r>
        <w:rPr>
          <w:rFonts w:ascii="Century" w:hAnsi="Century"/>
          <w:b/>
        </w:rPr>
        <w:t xml:space="preserve">Leveraging </w:t>
      </w:r>
      <w:r>
        <w:rPr>
          <w:rFonts w:ascii="Century" w:hAnsi="Century"/>
          <w:b/>
          <w:i/>
        </w:rPr>
        <w:t>Holt</w:t>
      </w:r>
      <w:r>
        <w:rPr>
          <w:rFonts w:ascii="Century" w:hAnsi="Century"/>
          <w:b/>
        </w:rPr>
        <w:t>:  The First Attempt</w:t>
      </w:r>
    </w:p>
    <w:p>
      <w:pPr>
        <w:pStyle w:val="BodyTextFirstIndent"/>
      </w:pPr>
      <w:r>
        <w:t xml:space="preserve">In 1994, the Georgia Court of Appeals decided </w:t>
      </w:r>
      <w:r>
        <w:rPr>
          <w:i/>
        </w:rPr>
        <w:t>Herring v. Dunning</w:t>
      </w:r>
      <w:r>
        <w:t xml:space="preserve"> and affirmed a trial court’s enforcement of a settlement agreement reached via direct communications between the plaintiff’s and the defendant’s respective counsel.</w:t>
      </w:r>
      <w:r>
        <w:rPr>
          <w:vertAlign w:val="superscript"/>
        </w:rPr>
        <w:endnoteReference w:id="1140"/>
      </w:r>
      <w:r>
        <w:t xml:space="preserve">  What is notable about </w:t>
      </w:r>
      <w:r>
        <w:rPr>
          <w:i/>
        </w:rPr>
        <w:t>Herring</w:t>
      </w:r>
      <w:r>
        <w:t xml:space="preserve"> is not the stated rationale for the decision – the case was decided upon routine contract principles – but that it involved a plaintiff’s attorney’s trying very hard to disavow settlement of the case in exchange for the insurer’s payment of the policy limits where (1) the insurer tendered the available limits before they were even demanded and (2) the plaintiff’s attorney had himself expressed in writing a willingness to accept the policy limits in settlement after they were tendered.  So, the rather obvious question:  Why would a plaintiff’s attorney litigate the enforceability of a policy-limits settlement to the highest echelons of our state’s judicial branch when he earlier said his client would accept the policy limits in settlement of the case?  In other words, why was he beseeching so earnestly to be excused from doing nothing more than precisely what he told the defense attorney he and his client were willing to do?  The Georgia Court of Appeals did not say, but the timing of the </w:t>
      </w:r>
      <w:r>
        <w:lastRenderedPageBreak/>
        <w:t xml:space="preserve">dispute seems instructive.  </w:t>
      </w:r>
      <w:r>
        <w:rPr>
          <w:i/>
        </w:rPr>
        <w:t>Herring</w:t>
      </w:r>
      <w:r>
        <w:t xml:space="preserve"> was decided roughly two years after </w:t>
      </w:r>
      <w:r>
        <w:rPr>
          <w:i/>
        </w:rPr>
        <w:t>Holt</w:t>
      </w:r>
      <w:r>
        <w:t xml:space="preserve">, but, as the facts described by the Georgia Court of Appeals show, the actual negotiations giving rise to the dispute began just months after the </w:t>
      </w:r>
      <w:r>
        <w:rPr>
          <w:i/>
        </w:rPr>
        <w:t>Holt</w:t>
      </w:r>
      <w:r>
        <w:t xml:space="preserve"> decision was announced.  And since an alleged failure to submit the policy limits payment and an acceptable release within the specific time frame he prescribed in his written demand was the lynchpin of the plaintiff’s attorney’s position on the matter, there can be little doubt he had </w:t>
      </w:r>
      <w:r>
        <w:rPr>
          <w:i/>
        </w:rPr>
        <w:t>Holt</w:t>
      </w:r>
      <w:r>
        <w:t xml:space="preserve"> on his mind.  In striving to have the court relieve him and his client from having to live with the offer they extended, it seems very likely he was trying to create a scenario where it could be said the insurer failed to compromise the claim in response to a time-limited demand and there was therefore a basis for a jury to weigh upon the reasonableness of the insurer’s response to determine if the insurer had acted in bad faith, </w:t>
      </w:r>
      <w:r>
        <w:rPr>
          <w:i/>
        </w:rPr>
        <w:t>a la Holt</w:t>
      </w:r>
      <w:r>
        <w:t>.</w:t>
      </w:r>
    </w:p>
    <w:p>
      <w:pPr>
        <w:pStyle w:val="BodyTextFirstIndent"/>
      </w:pPr>
      <w:r>
        <w:rPr>
          <w:rFonts w:ascii="Century" w:hAnsi="Century"/>
        </w:rPr>
        <w:t xml:space="preserve">Surmising thusly, we must of necessity take a bit of a leap since, in enforcing the settlement, the </w:t>
      </w:r>
      <w:r>
        <w:rPr>
          <w:rFonts w:ascii="Century" w:hAnsi="Century"/>
          <w:i/>
        </w:rPr>
        <w:t>Herring</w:t>
      </w:r>
      <w:r>
        <w:rPr>
          <w:rFonts w:ascii="Century" w:hAnsi="Century"/>
        </w:rPr>
        <w:t xml:space="preserve"> court said nothing along these lines and failed even to mention </w:t>
      </w:r>
      <w:r>
        <w:rPr>
          <w:rFonts w:ascii="Century" w:hAnsi="Century"/>
          <w:i/>
        </w:rPr>
        <w:t>Holt</w:t>
      </w:r>
      <w:r>
        <w:rPr>
          <w:rFonts w:ascii="Century" w:hAnsi="Century"/>
        </w:rPr>
        <w:t xml:space="preserve">.  But the jump is not that far.  Nothing else makes any sense.  What other incentive could the plaintiff’s attorney have had except to open up the policy limits on a bad faith claim?  Interestingly, it is clear the insurer’s conduct in </w:t>
      </w:r>
      <w:r>
        <w:rPr>
          <w:rFonts w:ascii="Century" w:hAnsi="Century"/>
          <w:i/>
        </w:rPr>
        <w:t>Herring</w:t>
      </w:r>
      <w:r>
        <w:rPr>
          <w:rFonts w:ascii="Century" w:hAnsi="Century"/>
        </w:rPr>
        <w:t xml:space="preserve"> was in no way akin to that of the insurer in </w:t>
      </w:r>
      <w:r>
        <w:rPr>
          <w:rFonts w:ascii="Century" w:hAnsi="Century"/>
          <w:i/>
        </w:rPr>
        <w:t>Holt</w:t>
      </w:r>
      <w:r>
        <w:rPr>
          <w:rFonts w:ascii="Century" w:hAnsi="Century"/>
        </w:rPr>
        <w:t xml:space="preserve">, </w:t>
      </w:r>
      <w:r>
        <w:rPr>
          <w:rFonts w:ascii="Century" w:hAnsi="Century"/>
          <w:i/>
        </w:rPr>
        <w:t>i.e.</w:t>
      </w:r>
      <w:r>
        <w:rPr>
          <w:rFonts w:ascii="Century" w:hAnsi="Century"/>
        </w:rPr>
        <w:t xml:space="preserve"> in agreeing from the outset to pay its policy limits, there was no point at which it could be said the insurer put its interest (saving money off its </w:t>
      </w:r>
      <w:r>
        <w:rPr>
          <w:rFonts w:ascii="Century" w:hAnsi="Century"/>
        </w:rPr>
        <w:lastRenderedPageBreak/>
        <w:t>limits) ahead of its insured’s (avoiding the financial burden of a judgment).  The only hiccup was the supposed failure to meet an arbitrary deadline set by the plaintiff’s attorney.  Can we say “attempted ‘set up,’” anyone?</w:t>
      </w:r>
    </w:p>
    <w:p>
      <w:pPr>
        <w:pStyle w:val="BodyText"/>
        <w:ind w:left="720" w:hanging="720"/>
        <w:jc w:val="left"/>
        <w:rPr>
          <w:b/>
        </w:rPr>
      </w:pPr>
      <w:r>
        <w:rPr>
          <w:b/>
        </w:rPr>
        <w:t>III.</w:t>
      </w:r>
      <w:r>
        <w:rPr>
          <w:b/>
          <w:i/>
        </w:rPr>
        <w:tab/>
        <w:t>Brightman</w:t>
      </w:r>
      <w:r>
        <w:rPr>
          <w:b/>
        </w:rPr>
        <w:t>’s</w:t>
      </w:r>
      <w:r>
        <w:rPr>
          <w:b/>
          <w:i/>
        </w:rPr>
        <w:t xml:space="preserve"> </w:t>
      </w:r>
      <w:r>
        <w:rPr>
          <w:b/>
        </w:rPr>
        <w:t>Seeming Shift</w:t>
      </w:r>
    </w:p>
    <w:p>
      <w:pPr>
        <w:pStyle w:val="BodyTextFirstIndent"/>
        <w:rPr>
          <w:rFonts w:ascii="Century" w:hAnsi="Century"/>
        </w:rPr>
      </w:pPr>
      <w:r>
        <w:rPr>
          <w:rFonts w:ascii="Century" w:hAnsi="Century"/>
        </w:rPr>
        <w:t xml:space="preserve">The Georgia Supreme Court’s next visitation on these subjects, 2003’s decision in </w:t>
      </w:r>
      <w:r>
        <w:rPr>
          <w:rFonts w:ascii="Century" w:hAnsi="Century"/>
          <w:i/>
        </w:rPr>
        <w:t>Cotton States Mutual Insurance Company v. Brightman</w:t>
      </w:r>
      <w:r>
        <w:rPr>
          <w:rFonts w:ascii="Century" w:hAnsi="Century"/>
        </w:rPr>
        <w:t xml:space="preserve">, ultimately failed to buck the trend for future settlement negotiations the plaintiff’s attorney’s conduct in </w:t>
      </w:r>
      <w:r>
        <w:rPr>
          <w:rFonts w:ascii="Century" w:hAnsi="Century"/>
          <w:i/>
        </w:rPr>
        <w:t>Herring</w:t>
      </w:r>
      <w:r>
        <w:rPr>
          <w:rFonts w:ascii="Century" w:hAnsi="Century"/>
        </w:rPr>
        <w:t xml:space="preserve"> portended, but it appeared to intend a different result.</w:t>
      </w:r>
      <w:r>
        <w:rPr>
          <w:rFonts w:ascii="Century" w:hAnsi="Century"/>
          <w:vertAlign w:val="superscript"/>
        </w:rPr>
        <w:endnoteReference w:id="1141"/>
      </w:r>
      <w:r>
        <w:rPr>
          <w:rFonts w:ascii="Century" w:hAnsi="Century"/>
        </w:rPr>
        <w:t xml:space="preserve">  In </w:t>
      </w:r>
      <w:r>
        <w:rPr>
          <w:rFonts w:ascii="Century" w:hAnsi="Century"/>
          <w:i/>
        </w:rPr>
        <w:t>Brightman</w:t>
      </w:r>
      <w:r>
        <w:rPr>
          <w:rFonts w:ascii="Century" w:hAnsi="Century"/>
        </w:rPr>
        <w:t xml:space="preserve">, an automobile liability insurer which had failed even to respond to a time-limited demand for its policy limits appealed an adverse jury verdict in the ensuing bad faith claim on the basis it could not be liable in bad faith where the demand tendered imposed a condition over which it had no control.  You see, the particular written settlement demand to which the insurer pinned its defense had demanded payment both from that insurer and another having additional coverage.  Because it could not control whether the other insurer paid, and thus could not accept the offer as made, the insurer argued there was no “opportunity to make an effective compromise” and thus no implication of any duties under </w:t>
      </w:r>
      <w:r>
        <w:rPr>
          <w:rFonts w:ascii="Century" w:hAnsi="Century"/>
          <w:i/>
        </w:rPr>
        <w:t>Holt</w:t>
      </w:r>
      <w:r>
        <w:rPr>
          <w:rFonts w:ascii="Century" w:hAnsi="Century"/>
        </w:rPr>
        <w:t>.</w:t>
      </w:r>
      <w:r>
        <w:rPr>
          <w:rStyle w:val="EndnoteReference"/>
          <w:rFonts w:ascii="Century" w:hAnsi="Century"/>
        </w:rPr>
        <w:endnoteReference w:id="1142"/>
      </w:r>
      <w:r>
        <w:rPr>
          <w:rFonts w:ascii="Century" w:hAnsi="Century"/>
        </w:rPr>
        <w:t xml:space="preserve">  “The question here,” said the court rather simply, “is whether [the insurer] is excused, as a matter of law, from tendering its policy limits because the plaintiff’s demand contained a condition over which [said insurer] had no control.”</w:t>
      </w:r>
      <w:r>
        <w:rPr>
          <w:rStyle w:val="EndnoteReference"/>
          <w:rFonts w:ascii="Century" w:hAnsi="Century"/>
        </w:rPr>
        <w:endnoteReference w:id="1143"/>
      </w:r>
      <w:r>
        <w:rPr>
          <w:rFonts w:ascii="Century" w:hAnsi="Century"/>
        </w:rPr>
        <w:t xml:space="preserve">  The court </w:t>
      </w:r>
      <w:r>
        <w:rPr>
          <w:rFonts w:ascii="Century" w:hAnsi="Century"/>
        </w:rPr>
        <w:lastRenderedPageBreak/>
        <w:t>answered that question just as simply with a clear “no”:</w:t>
      </w:r>
    </w:p>
    <w:p>
      <w:pPr>
        <w:pStyle w:val="BodyText"/>
        <w:ind w:left="720" w:right="720"/>
      </w:pPr>
      <w:r>
        <w:t>We hold that an insurance company in a case involving multiple insurers may be liable to its insured on a bad faith claim when it fails to tender its policy limits in response to a settlement offer solely because the offer also seeks the policy limits from other insurers.</w:t>
      </w:r>
      <w:r>
        <w:rPr>
          <w:rStyle w:val="EndnoteReference"/>
          <w:rFonts w:ascii="Century" w:hAnsi="Century"/>
        </w:rPr>
        <w:endnoteReference w:id="1144"/>
      </w:r>
    </w:p>
    <w:p>
      <w:pPr>
        <w:pStyle w:val="BodyText"/>
      </w:pPr>
      <w:r>
        <w:t xml:space="preserve">So there.  The jury who heard the case below was justified in finding the insurer who failed to respond to a time-limited demand for its policy limits – which everyone agreed contained a condition the insurer could not control and thus could not have been accepted by said insurer as made – had “acted unreasonably in failing to tender its policy limits in response to [the] settlement offer,” </w:t>
      </w:r>
      <w:r>
        <w:rPr>
          <w:i/>
        </w:rPr>
        <w:t>i.e.</w:t>
      </w:r>
      <w:r>
        <w:t xml:space="preserve"> in bad faith.</w:t>
      </w:r>
      <w:r>
        <w:rPr>
          <w:rStyle w:val="EndnoteReference"/>
          <w:rFonts w:ascii="Century" w:hAnsi="Century"/>
        </w:rPr>
        <w:endnoteReference w:id="1145"/>
      </w:r>
      <w:r>
        <w:t xml:space="preserve">  In rendering it decision, the Georgia Supreme Court reminded its audience of the tension between the competing pecuniary interests of insurers and their insureds.</w:t>
      </w:r>
      <w:r>
        <w:rPr>
          <w:vertAlign w:val="superscript"/>
        </w:rPr>
        <w:endnoteReference w:id="1146"/>
      </w:r>
      <w:r>
        <w:t xml:space="preserve">  The insurer’s apparent failing in </w:t>
      </w:r>
      <w:r>
        <w:rPr>
          <w:i/>
        </w:rPr>
        <w:t>Brightman</w:t>
      </w:r>
      <w:r>
        <w:t xml:space="preserve"> had been its unwillingness to take the initiative to relieve that tension, </w:t>
      </w:r>
      <w:r>
        <w:rPr>
          <w:i/>
        </w:rPr>
        <w:t>i.e.</w:t>
      </w:r>
      <w:r>
        <w:t xml:space="preserve"> to go ahead and forfeit its own interest by offering to pay its policy limits even though doing so would have in no way assured a settlement.  “If [the insurer] had tendered its policy limits while the plaintiff’s offer was pending, it would have done everything within its control to accept the plaintiff’s offer and thus protect its policyholder from an excess verdict,” the unanimous </w:t>
      </w:r>
      <w:r>
        <w:rPr>
          <w:i/>
        </w:rPr>
        <w:lastRenderedPageBreak/>
        <w:t>Brightman</w:t>
      </w:r>
      <w:r>
        <w:t xml:space="preserve"> court opined.</w:t>
      </w:r>
      <w:r>
        <w:rPr>
          <w:rStyle w:val="EndnoteReference"/>
          <w:rFonts w:ascii="Century" w:hAnsi="Century"/>
        </w:rPr>
        <w:endnoteReference w:id="1147"/>
      </w:r>
      <w:r>
        <w:t xml:space="preserve">  “In that situation, the insurance company would have given equal consideration to its insured’s financial interests </w:t>
      </w:r>
      <w:r>
        <w:rPr>
          <w:i/>
        </w:rPr>
        <w:t>and fulfilled its duty to her</w:t>
      </w:r>
      <w:r>
        <w:t>.”</w:t>
      </w:r>
      <w:r>
        <w:rPr>
          <w:rStyle w:val="EndnoteReference"/>
          <w:rFonts w:ascii="Century" w:hAnsi="Century"/>
        </w:rPr>
        <w:endnoteReference w:id="1148"/>
      </w:r>
    </w:p>
    <w:p>
      <w:pPr>
        <w:pStyle w:val="BodyTextFirstIndent"/>
      </w:pPr>
      <w:r>
        <w:t xml:space="preserve">That pronouncement is certainly clear on its face.  The important takeaway from </w:t>
      </w:r>
      <w:r>
        <w:rPr>
          <w:i/>
        </w:rPr>
        <w:t>Brightman</w:t>
      </w:r>
      <w:r>
        <w:t xml:space="preserve"> appeared therefore to be that a liability insurer could avoid a bad faith claim as a matter of law simply by tendering its limits when they are demanded so as to evidence indisputable “equal consideration” of its insured’s financial interest, never mind that doing so could not guarantee settlement of the claim.  And that understanding was fostered by the </w:t>
      </w:r>
      <w:r>
        <w:rPr>
          <w:i/>
        </w:rPr>
        <w:t>Brightman</w:t>
      </w:r>
      <w:r>
        <w:t xml:space="preserve"> court’s express disapproval of language in the Georgia Court of Appeals’ decision in the same case “placing an affirmative duty on the company to engage in negotiations concerning a settlement demand that is in excess of the insurance policy’s limits” and its declared “unwilling[ness] to ascribe a duty to insurers to make a counteroffer to every settlement demand that involves a condition beyond their control.”</w:t>
      </w:r>
      <w:r>
        <w:rPr>
          <w:rStyle w:val="EndnoteReference"/>
          <w:rFonts w:ascii="Century" w:hAnsi="Century"/>
        </w:rPr>
        <w:endnoteReference w:id="1149"/>
      </w:r>
      <w:r>
        <w:t xml:space="preserve">  The court continued:</w:t>
      </w:r>
    </w:p>
    <w:p>
      <w:pPr>
        <w:pStyle w:val="BodyText"/>
        <w:ind w:left="720" w:right="720"/>
      </w:pPr>
      <w:r>
        <w:t xml:space="preserve">. . . [W]e conclude that an insurance company faced with a demand involving multiple insurers can create a safe harbor from liability for an insured’s bad faith claim under </w:t>
      </w:r>
      <w:r>
        <w:rPr>
          <w:i/>
        </w:rPr>
        <w:t>Holt</w:t>
      </w:r>
      <w:r>
        <w:t xml:space="preserve"> by meeting the portion of the demand over which it has control, thus doing what it can to effectuate the settlement of the claims against its </w:t>
      </w:r>
      <w:r>
        <w:lastRenderedPageBreak/>
        <w:t>insured.  This rule is intended to protect the financial interests of policyholders in cases where continued litigation would expose them to a judgment exceeding their policy limits while protecting insurers from bad faith claims when there are conditions involved in the settlement demand over which they have no control.</w:t>
      </w:r>
      <w:r>
        <w:rPr>
          <w:rStyle w:val="EndnoteReference"/>
          <w:rFonts w:ascii="Century" w:hAnsi="Century"/>
        </w:rPr>
        <w:endnoteReference w:id="1150"/>
      </w:r>
    </w:p>
    <w:p>
      <w:pPr>
        <w:pStyle w:val="BodyText"/>
      </w:pPr>
      <w:r>
        <w:t xml:space="preserve">In case you are wondering, you read that right.  The Georgia Supreme Court ostensibly undertook in </w:t>
      </w:r>
      <w:r>
        <w:rPr>
          <w:i/>
        </w:rPr>
        <w:t>Brightman</w:t>
      </w:r>
      <w:r>
        <w:t xml:space="preserve"> to define a “safe harbor from liability” expressly aimed at – the court said “intended” – “protecting insurers from bad faith claims,” and the key was clearly the insurer’s promptly coughing up its policy limits even where that would not ensure settlement of the case.</w:t>
      </w:r>
      <w:r>
        <w:rPr>
          <w:rStyle w:val="EndnoteReference"/>
          <w:rFonts w:ascii="Century" w:hAnsi="Century"/>
        </w:rPr>
        <w:endnoteReference w:id="1151"/>
      </w:r>
      <w:r>
        <w:t xml:space="preserve">  Actually achieving settlement seemed a secondary consideration in assessing the existence of bad faith.  At least on the surface, then, the </w:t>
      </w:r>
      <w:r>
        <w:rPr>
          <w:i/>
        </w:rPr>
        <w:t>Brightman</w:t>
      </w:r>
      <w:r>
        <w:t xml:space="preserve"> court had put the ability to avoid </w:t>
      </w:r>
      <w:r>
        <w:rPr>
          <w:i/>
        </w:rPr>
        <w:t>Holt</w:t>
      </w:r>
      <w:r>
        <w:t xml:space="preserve">-inspired “set-ups” entirely within insurers’ own control.  “Tender your limits when asked, no matter what else the claimant’s attorney demands of you,” the court seemed to be saying, “and there can be no bad faith claim even if the claim is not settled.”  In light of the particular facts of </w:t>
      </w:r>
      <w:r>
        <w:rPr>
          <w:i/>
        </w:rPr>
        <w:t>Brightman</w:t>
      </w:r>
      <w:r>
        <w:t xml:space="preserve"> (the insurer had refused several opportunities to settle the case for its limits even before the final time-limited demand at issue), one cannot be blamed for believing the </w:t>
      </w:r>
      <w:r>
        <w:lastRenderedPageBreak/>
        <w:t xml:space="preserve">decision was something of a net positive for insurers – so long he or she did not tarry in that belief too long.  Enter </w:t>
      </w:r>
      <w:r>
        <w:rPr>
          <w:i/>
        </w:rPr>
        <w:t>Herring</w:t>
      </w:r>
      <w:r>
        <w:t xml:space="preserve"> redux, a.k.a </w:t>
      </w:r>
      <w:r>
        <w:rPr>
          <w:i/>
        </w:rPr>
        <w:t>Frickey v. Jones</w:t>
      </w:r>
      <w:r>
        <w:t>.</w:t>
      </w:r>
      <w:r>
        <w:rPr>
          <w:vertAlign w:val="superscript"/>
        </w:rPr>
        <w:endnoteReference w:id="1152"/>
      </w:r>
    </w:p>
    <w:p>
      <w:pPr>
        <w:pStyle w:val="BodyText"/>
        <w:ind w:left="720" w:hanging="720"/>
        <w:jc w:val="left"/>
        <w:rPr>
          <w:b/>
        </w:rPr>
      </w:pPr>
      <w:r>
        <w:rPr>
          <w:b/>
        </w:rPr>
        <w:t>IV.</w:t>
      </w:r>
      <w:r>
        <w:rPr>
          <w:b/>
        </w:rPr>
        <w:tab/>
        <w:t xml:space="preserve">Leveraging </w:t>
      </w:r>
      <w:r>
        <w:rPr>
          <w:b/>
          <w:i/>
        </w:rPr>
        <w:t>Holt</w:t>
      </w:r>
      <w:r>
        <w:rPr>
          <w:b/>
        </w:rPr>
        <w:t>:  Second Time’s a Charm</w:t>
      </w:r>
    </w:p>
    <w:p>
      <w:pPr>
        <w:pStyle w:val="BodyTextFirstIndent"/>
      </w:pPr>
      <w:r>
        <w:t xml:space="preserve">For the purposes of this overview, not much needs to be said about </w:t>
      </w:r>
      <w:r>
        <w:rPr>
          <w:i/>
        </w:rPr>
        <w:t>Frickey</w:t>
      </w:r>
      <w:r>
        <w:t xml:space="preserve"> except that it succeeded where </w:t>
      </w:r>
      <w:r>
        <w:rPr>
          <w:i/>
        </w:rPr>
        <w:t>Herring</w:t>
      </w:r>
      <w:r>
        <w:t xml:space="preserve"> failed and did so in a higher court.  In </w:t>
      </w:r>
      <w:r>
        <w:rPr>
          <w:i/>
        </w:rPr>
        <w:t>Frickey</w:t>
      </w:r>
      <w:r>
        <w:t xml:space="preserve">, an automobile liability insurer faced with a situation where its insured driver “seriously injured” the claimant, intimated its willingness to tender the policy limits on multiple occasions before suit was filed and before any demand was made.  When the claimant’s time-limited settlement demand did come, the insurer promptly tendered its limits, requested a signed release, and noted the “complication” to consummation of the settlement presented by an extant hospital lien and a potential claim for reimbursement.  There was never a point where the insurer sought to save anything off its limits, meaning there was never a time when the insurer put its interests as defined by the </w:t>
      </w:r>
      <w:r>
        <w:rPr>
          <w:i/>
        </w:rPr>
        <w:t>Holt</w:t>
      </w:r>
      <w:r>
        <w:t xml:space="preserve"> court above those of its insured.  Nevertheless, when a few months went by without payment actually being made (presumably because the insurer was awaiting resolution of the lien which the plaintiff’s attorney had said he was working to provide), the plaintiff’s attorney reneged and refused to settle.  The Georgia Court of Appeals reversed the trial court’s enforcement of the settlement, and the Georgia Supreme Court affirmed.  Specifically differentiating the </w:t>
      </w:r>
      <w:r>
        <w:rPr>
          <w:i/>
        </w:rPr>
        <w:t>Herring</w:t>
      </w:r>
      <w:r>
        <w:t xml:space="preserve"> </w:t>
      </w:r>
      <w:r>
        <w:lastRenderedPageBreak/>
        <w:t xml:space="preserve">decision because of what it saw as a particular variance between the plaintiff’s attorney’s offer and the insurer’s purported acceptance – what it called the “critical distinguishing factor” – the </w:t>
      </w:r>
      <w:r>
        <w:rPr>
          <w:i/>
        </w:rPr>
        <w:t>Frickey</w:t>
      </w:r>
      <w:r>
        <w:t xml:space="preserve"> court referred to relatively-nondescript rules of contract formation and said the insurer had plainly made a counteroffer, not a deal.</w:t>
      </w:r>
      <w:r>
        <w:rPr>
          <w:rStyle w:val="EndnoteReference"/>
          <w:rFonts w:ascii="Century" w:hAnsi="Century"/>
        </w:rPr>
        <w:endnoteReference w:id="1153"/>
      </w:r>
    </w:p>
    <w:p>
      <w:pPr>
        <w:pStyle w:val="BodyTextFirstIndent"/>
        <w:rPr>
          <w:rFonts w:ascii="Century" w:hAnsi="Century"/>
        </w:rPr>
      </w:pPr>
      <w:r>
        <w:rPr>
          <w:rFonts w:ascii="Century" w:hAnsi="Century"/>
        </w:rPr>
        <w:t xml:space="preserve">By right, </w:t>
      </w:r>
      <w:r>
        <w:rPr>
          <w:rFonts w:ascii="Century" w:hAnsi="Century"/>
          <w:i/>
        </w:rPr>
        <w:t>Frickey</w:t>
      </w:r>
      <w:r>
        <w:rPr>
          <w:rFonts w:ascii="Century" w:hAnsi="Century"/>
        </w:rPr>
        <w:t xml:space="preserve"> should have been one of those “case-by-case basis” decisions wholly dependent on the particular facts.  You know, the kind with no far-reaching implications, </w:t>
      </w:r>
      <w:r>
        <w:rPr>
          <w:rFonts w:ascii="Century" w:hAnsi="Century"/>
          <w:i/>
        </w:rPr>
        <w:t>i.e.</w:t>
      </w:r>
      <w:r>
        <w:rPr>
          <w:rFonts w:ascii="Century" w:hAnsi="Century"/>
        </w:rPr>
        <w:t xml:space="preserve"> where routine precepts are applied to facts and the end result is best rationalized by “sometimes you win, sometimes you lose.”  After all, strictly speaking it was not a “bad faith” case in the line of </w:t>
      </w:r>
      <w:r>
        <w:rPr>
          <w:rFonts w:ascii="Century" w:hAnsi="Century"/>
          <w:i/>
        </w:rPr>
        <w:t>Holt</w:t>
      </w:r>
      <w:r>
        <w:rPr>
          <w:rFonts w:ascii="Century" w:hAnsi="Century"/>
        </w:rPr>
        <w:t xml:space="preserve"> and </w:t>
      </w:r>
      <w:r>
        <w:rPr>
          <w:rFonts w:ascii="Century" w:hAnsi="Century"/>
          <w:i/>
        </w:rPr>
        <w:t>Brightman</w:t>
      </w:r>
      <w:r>
        <w:rPr>
          <w:rFonts w:ascii="Century" w:hAnsi="Century"/>
        </w:rPr>
        <w:t xml:space="preserve">.  But </w:t>
      </w:r>
      <w:r>
        <w:rPr>
          <w:rFonts w:ascii="Century" w:hAnsi="Century"/>
          <w:i/>
        </w:rPr>
        <w:t>Frickey</w:t>
      </w:r>
      <w:r>
        <w:rPr>
          <w:rFonts w:ascii="Century" w:hAnsi="Century"/>
        </w:rPr>
        <w:t xml:space="preserve"> took on greater significance because it presented another instance when a plaintiff’s attorney tried very hard (no doubt by design) to resist an insurer’s efforts to enforce a policy-limits settlement in spite of the fact he had previously written a time-limited demand letter to the insurer saying he would accept one and, unlike in </w:t>
      </w:r>
      <w:r>
        <w:rPr>
          <w:rFonts w:ascii="Century" w:hAnsi="Century"/>
          <w:i/>
        </w:rPr>
        <w:t>Herring</w:t>
      </w:r>
      <w:r>
        <w:rPr>
          <w:rFonts w:ascii="Century" w:hAnsi="Century"/>
        </w:rPr>
        <w:t xml:space="preserve">, he succeeded.  The high court had called “no joy.”  The implication of that, as we all now know, is that it told Georgia plaintiff’s attorneys it was indeed possible to tender a time-limited settlement demand for the policy limits – a prerequisite under </w:t>
      </w:r>
      <w:r>
        <w:rPr>
          <w:rFonts w:ascii="Century" w:hAnsi="Century"/>
          <w:i/>
        </w:rPr>
        <w:t>Holt</w:t>
      </w:r>
      <w:r>
        <w:rPr>
          <w:rFonts w:ascii="Century" w:hAnsi="Century"/>
        </w:rPr>
        <w:t xml:space="preserve"> for implicating the insurer’s duty to respond in good faith – and yet avoid having actually to settle for the policy limits even if the company offered to pay them.  Put differently, </w:t>
      </w:r>
      <w:r>
        <w:rPr>
          <w:rFonts w:ascii="Century" w:hAnsi="Century"/>
          <w:i/>
        </w:rPr>
        <w:t>pace</w:t>
      </w:r>
      <w:r>
        <w:rPr>
          <w:rFonts w:ascii="Century" w:hAnsi="Century"/>
        </w:rPr>
        <w:t xml:space="preserve"> the Georgia Supreme Court’s </w:t>
      </w:r>
      <w:r>
        <w:rPr>
          <w:rFonts w:ascii="Century" w:hAnsi="Century"/>
        </w:rPr>
        <w:lastRenderedPageBreak/>
        <w:t xml:space="preserve">contrary cautionary instruction in </w:t>
      </w:r>
      <w:r>
        <w:rPr>
          <w:rFonts w:ascii="Century" w:hAnsi="Century"/>
          <w:i/>
        </w:rPr>
        <w:t>Holt</w:t>
      </w:r>
      <w:r>
        <w:rPr>
          <w:rFonts w:ascii="Century" w:hAnsi="Century"/>
        </w:rPr>
        <w:t xml:space="preserve">, it told Georgia plaintiff’s attorneys they could still set up insurers for bad faith claims.  And begin setting them up they did, as policy-limits demand letters sent after the </w:t>
      </w:r>
      <w:r>
        <w:rPr>
          <w:rFonts w:ascii="Century" w:hAnsi="Century"/>
          <w:i/>
        </w:rPr>
        <w:t>Frickey</w:t>
      </w:r>
      <w:r>
        <w:rPr>
          <w:rFonts w:ascii="Century" w:hAnsi="Century"/>
        </w:rPr>
        <w:t xml:space="preserve"> decision were awash in labyrinthine conditions (</w:t>
      </w:r>
      <w:r>
        <w:rPr>
          <w:rFonts w:ascii="Century" w:hAnsi="Century"/>
          <w:i/>
        </w:rPr>
        <w:t>e.g.</w:t>
      </w:r>
      <w:r>
        <w:rPr>
          <w:rFonts w:ascii="Century" w:hAnsi="Century"/>
        </w:rPr>
        <w:t xml:space="preserve"> setting extremely short time frames, requiring unconventional manners of payment, declaring full performance as being the exclusive means of acceptance, using odd times of day as ultimate deadlines, </w:t>
      </w:r>
      <w:r>
        <w:rPr>
          <w:rFonts w:ascii="Century" w:hAnsi="Century"/>
          <w:i/>
        </w:rPr>
        <w:t>etc.</w:t>
      </w:r>
      <w:r>
        <w:rPr>
          <w:rFonts w:ascii="Century" w:hAnsi="Century"/>
        </w:rPr>
        <w:t>) intended to make the prospect of actually meeting the demand in each and every particular impossible.</w:t>
      </w:r>
      <w:r>
        <w:rPr>
          <w:rStyle w:val="EndnoteReference"/>
          <w:rFonts w:ascii="Century" w:hAnsi="Century"/>
        </w:rPr>
        <w:endnoteReference w:id="1154"/>
      </w:r>
      <w:r>
        <w:rPr>
          <w:rFonts w:ascii="Century" w:hAnsi="Century"/>
        </w:rPr>
        <w:t xml:space="preserve">  To be sure, </w:t>
      </w:r>
      <w:r>
        <w:rPr>
          <w:rFonts w:ascii="Century" w:hAnsi="Century"/>
          <w:i/>
        </w:rPr>
        <w:t>Frickey</w:t>
      </w:r>
      <w:r>
        <w:rPr>
          <w:rFonts w:ascii="Century" w:hAnsi="Century"/>
        </w:rPr>
        <w:t xml:space="preserve"> did nothing to make settling cases easier for insurers and their attorneys.</w:t>
      </w:r>
      <w:r>
        <w:rPr>
          <w:rStyle w:val="EndnoteReference"/>
          <w:rFonts w:ascii="Century" w:hAnsi="Century"/>
        </w:rPr>
        <w:endnoteReference w:id="1155"/>
      </w:r>
    </w:p>
    <w:p>
      <w:pPr>
        <w:pStyle w:val="BodyTextFirstIndent"/>
        <w:rPr>
          <w:rFonts w:ascii="Century" w:hAnsi="Century"/>
        </w:rPr>
      </w:pPr>
      <w:r>
        <w:rPr>
          <w:rFonts w:ascii="Century" w:hAnsi="Century"/>
        </w:rPr>
        <w:t xml:space="preserve">But let us be kind.  Maybe it is an overstatement to suggest </w:t>
      </w:r>
      <w:r>
        <w:rPr>
          <w:rFonts w:ascii="Century" w:hAnsi="Century"/>
          <w:i/>
        </w:rPr>
        <w:t>Frickey</w:t>
      </w:r>
      <w:r>
        <w:rPr>
          <w:rFonts w:ascii="Century" w:hAnsi="Century"/>
        </w:rPr>
        <w:t xml:space="preserve"> tacitly endorsed setting up insurers for bad faith claims.  Again, </w:t>
      </w:r>
      <w:r>
        <w:rPr>
          <w:rFonts w:ascii="Century" w:hAnsi="Century"/>
          <w:i/>
        </w:rPr>
        <w:t>Frickey</w:t>
      </w:r>
      <w:r>
        <w:rPr>
          <w:rFonts w:ascii="Century" w:hAnsi="Century"/>
        </w:rPr>
        <w:t xml:space="preserve"> was not a bad faith case.  It was a “was-there-a-settlement-contract-or-not” case arising in the course of a garden-variety tort suit, so it is possible the high court simply failed to anticipate the effect </w:t>
      </w:r>
      <w:r>
        <w:rPr>
          <w:rFonts w:ascii="Century" w:hAnsi="Century"/>
          <w:i/>
        </w:rPr>
        <w:t>Frickey</w:t>
      </w:r>
      <w:r>
        <w:rPr>
          <w:rFonts w:ascii="Century" w:hAnsi="Century"/>
        </w:rPr>
        <w:t xml:space="preserve">’s strict application of the “mirror rule” of contract formation would have on settlement negotiations and ensuing bad faith claims.  If what was said in </w:t>
      </w:r>
      <w:r>
        <w:rPr>
          <w:rFonts w:ascii="Century" w:hAnsi="Century"/>
          <w:i/>
        </w:rPr>
        <w:t>Holt</w:t>
      </w:r>
      <w:r>
        <w:rPr>
          <w:rFonts w:ascii="Century" w:hAnsi="Century"/>
        </w:rPr>
        <w:t xml:space="preserve"> is to be believed, the court certainly favored no such result.  On the other hand, it is just as likely none of that was lost on the </w:t>
      </w:r>
      <w:r>
        <w:rPr>
          <w:rFonts w:ascii="Century" w:hAnsi="Century"/>
          <w:i/>
        </w:rPr>
        <w:t>Frickey</w:t>
      </w:r>
      <w:r>
        <w:rPr>
          <w:rFonts w:ascii="Century" w:hAnsi="Century"/>
        </w:rPr>
        <w:t xml:space="preserve"> court, but the court simply felt it was best to compartmentalize such matters because resolution of bad faith issues should await actual assertion of bad faith claims.  That would explain how the same court that decided both </w:t>
      </w:r>
      <w:r>
        <w:rPr>
          <w:rFonts w:ascii="Century" w:hAnsi="Century"/>
          <w:i/>
        </w:rPr>
        <w:t>Holt</w:t>
      </w:r>
      <w:r>
        <w:rPr>
          <w:rFonts w:ascii="Century" w:hAnsi="Century"/>
        </w:rPr>
        <w:t xml:space="preserve"> </w:t>
      </w:r>
      <w:r>
        <w:rPr>
          <w:rFonts w:ascii="Century" w:hAnsi="Century"/>
        </w:rPr>
        <w:lastRenderedPageBreak/>
        <w:t xml:space="preserve">(“no set-ups”) and </w:t>
      </w:r>
      <w:r>
        <w:rPr>
          <w:rFonts w:ascii="Century" w:hAnsi="Century"/>
          <w:i/>
        </w:rPr>
        <w:t>Brightman</w:t>
      </w:r>
      <w:r>
        <w:rPr>
          <w:rFonts w:ascii="Century" w:hAnsi="Century"/>
        </w:rPr>
        <w:t xml:space="preserve"> (“safe harbor”) could then decide </w:t>
      </w:r>
      <w:r>
        <w:rPr>
          <w:rFonts w:ascii="Century" w:hAnsi="Century"/>
          <w:i/>
        </w:rPr>
        <w:t>Frickey</w:t>
      </w:r>
      <w:r>
        <w:rPr>
          <w:rFonts w:ascii="Century" w:hAnsi="Century"/>
        </w:rPr>
        <w:t xml:space="preserve"> upon narrow contract principles knowing full well the plaintiff’s attorney was working an angle against the insurer.  And viewing it that way, it becomes entirely plausible the court felt, attempted set-up or not, </w:t>
      </w:r>
      <w:r>
        <w:rPr>
          <w:rFonts w:ascii="Century" w:hAnsi="Century"/>
          <w:i/>
        </w:rPr>
        <w:t>Frickey</w:t>
      </w:r>
      <w:r>
        <w:rPr>
          <w:rFonts w:ascii="Century" w:hAnsi="Century"/>
        </w:rPr>
        <w:t xml:space="preserve"> just did not present a proper occasion for dealing with the question of an insurer’s bad faith or even with a plaintiff’s attorney’s gamesmanship in raising one.  After all, under the “safe harbor” verbiage of </w:t>
      </w:r>
      <w:r>
        <w:rPr>
          <w:rFonts w:ascii="Century" w:hAnsi="Century"/>
          <w:i/>
        </w:rPr>
        <w:t>Brightman</w:t>
      </w:r>
      <w:r>
        <w:rPr>
          <w:rFonts w:ascii="Century" w:hAnsi="Century"/>
        </w:rPr>
        <w:t xml:space="preserve">, that kind of thing was going to get cunning claimants’ attorneys only so far anyway.  If the insurer tendered its limits in response to the requisite time-limited settlement demand, the bad faith game would be over before it got started, enforceable settlement or no, right?  </w:t>
      </w:r>
      <w:r>
        <w:rPr>
          <w:rFonts w:ascii="Century" w:hAnsi="Century"/>
          <w:i/>
        </w:rPr>
        <w:t>Frickey</w:t>
      </w:r>
      <w:r>
        <w:rPr>
          <w:rFonts w:ascii="Century" w:hAnsi="Century"/>
        </w:rPr>
        <w:t xml:space="preserve"> could thus be seen as an exercise in judicial temperance.  The Georgia Supreme Court might simply have been willing to endure some deliberate torpedoing of would-be policy-limits settlements while it awaited a proper case – a </w:t>
      </w:r>
      <w:r>
        <w:rPr>
          <w:rFonts w:ascii="Century" w:hAnsi="Century"/>
          <w:i/>
        </w:rPr>
        <w:t>bad faith</w:t>
      </w:r>
      <w:r>
        <w:rPr>
          <w:rFonts w:ascii="Century" w:hAnsi="Century"/>
        </w:rPr>
        <w:t xml:space="preserve"> case where the insurer tendered its limits from the outset in response to a policy limits demand – to give clear effect to the broad protection it expressly afforded insurers in </w:t>
      </w:r>
      <w:r>
        <w:rPr>
          <w:rFonts w:ascii="Century" w:hAnsi="Century"/>
          <w:i/>
        </w:rPr>
        <w:t>Brightman</w:t>
      </w:r>
      <w:r>
        <w:rPr>
          <w:rFonts w:ascii="Century" w:hAnsi="Century"/>
        </w:rPr>
        <w:t xml:space="preserve">.  Well, whatever the court might have been thinking about such things at the time </w:t>
      </w:r>
      <w:r>
        <w:rPr>
          <w:rFonts w:ascii="Century" w:hAnsi="Century"/>
          <w:i/>
        </w:rPr>
        <w:t>Frickey</w:t>
      </w:r>
      <w:r>
        <w:rPr>
          <w:rFonts w:ascii="Century" w:hAnsi="Century"/>
        </w:rPr>
        <w:t xml:space="preserve"> was decided, with a few turns of the world things just got worse.  In 2009, the Georgia Supreme Court decided </w:t>
      </w:r>
      <w:r>
        <w:rPr>
          <w:rFonts w:ascii="Century" w:hAnsi="Century"/>
          <w:i/>
        </w:rPr>
        <w:t>Fortner v. Grange Mutual Casualty Company</w:t>
      </w:r>
      <w:r>
        <w:rPr>
          <w:rFonts w:ascii="Century" w:hAnsi="Century"/>
        </w:rPr>
        <w:t>.</w:t>
      </w:r>
      <w:r>
        <w:rPr>
          <w:rFonts w:ascii="Century" w:hAnsi="Century"/>
          <w:vertAlign w:val="superscript"/>
        </w:rPr>
        <w:endnoteReference w:id="1156"/>
      </w:r>
      <w:r>
        <w:rPr>
          <w:rFonts w:ascii="Century" w:hAnsi="Century"/>
        </w:rPr>
        <w:t xml:space="preserve">  The </w:t>
      </w:r>
      <w:r>
        <w:rPr>
          <w:rFonts w:ascii="Century" w:hAnsi="Century"/>
          <w:i/>
        </w:rPr>
        <w:t>Fortner</w:t>
      </w:r>
      <w:r>
        <w:rPr>
          <w:rFonts w:ascii="Century" w:hAnsi="Century"/>
        </w:rPr>
        <w:t xml:space="preserve"> decision sadly leads one to the inescapable conclusion that, even if </w:t>
      </w:r>
      <w:r>
        <w:rPr>
          <w:rFonts w:ascii="Century" w:hAnsi="Century"/>
          <w:i/>
        </w:rPr>
        <w:t>Frickey</w:t>
      </w:r>
      <w:r>
        <w:rPr>
          <w:rFonts w:ascii="Century" w:hAnsi="Century"/>
        </w:rPr>
        <w:t xml:space="preserve"> was not intended by the Supreme Court to </w:t>
      </w:r>
      <w:r>
        <w:rPr>
          <w:rFonts w:ascii="Century" w:hAnsi="Century"/>
        </w:rPr>
        <w:lastRenderedPageBreak/>
        <w:t xml:space="preserve">approve using bait-and-switch tactics to manufacture </w:t>
      </w:r>
      <w:r>
        <w:rPr>
          <w:rFonts w:ascii="Century" w:hAnsi="Century"/>
          <w:i/>
        </w:rPr>
        <w:t>Holt</w:t>
      </w:r>
      <w:r>
        <w:rPr>
          <w:rFonts w:ascii="Century" w:hAnsi="Century"/>
        </w:rPr>
        <w:t xml:space="preserve"> scenarios, the court simply had no interest in stopping them.</w:t>
      </w:r>
    </w:p>
    <w:p>
      <w:pPr>
        <w:pStyle w:val="BodyText"/>
        <w:ind w:left="720" w:hanging="720"/>
        <w:jc w:val="left"/>
        <w:rPr>
          <w:b/>
        </w:rPr>
      </w:pPr>
      <w:r>
        <w:rPr>
          <w:b/>
        </w:rPr>
        <w:t>V.</w:t>
      </w:r>
      <w:r>
        <w:rPr>
          <w:b/>
        </w:rPr>
        <w:tab/>
        <w:t>Safe Harbor, Schmafe Harbor</w:t>
      </w:r>
    </w:p>
    <w:p>
      <w:pPr>
        <w:pStyle w:val="BodyTextFirstIndent"/>
        <w:rPr>
          <w:rFonts w:ascii="Century" w:hAnsi="Century"/>
        </w:rPr>
      </w:pPr>
      <w:r>
        <w:rPr>
          <w:rFonts w:ascii="Century" w:hAnsi="Century"/>
        </w:rPr>
        <w:t xml:space="preserve">In </w:t>
      </w:r>
      <w:r>
        <w:rPr>
          <w:rFonts w:ascii="Century" w:hAnsi="Century"/>
          <w:i/>
        </w:rPr>
        <w:t>Fortner</w:t>
      </w:r>
      <w:r>
        <w:rPr>
          <w:rFonts w:ascii="Century" w:hAnsi="Century"/>
        </w:rPr>
        <w:t xml:space="preserve">, like in </w:t>
      </w:r>
      <w:r>
        <w:rPr>
          <w:rFonts w:ascii="Century" w:hAnsi="Century"/>
          <w:i/>
        </w:rPr>
        <w:t>Brightman</w:t>
      </w:r>
      <w:r>
        <w:rPr>
          <w:rFonts w:ascii="Century" w:hAnsi="Century"/>
        </w:rPr>
        <w:t>, the plaintiff’s attorney made a joint time-limited demand to settle his client’s tort claims to two different insurers.  The primary carrier’s liability limits – only $50,000 – were demanded.  The secondary liability carrier’s limits were not required, it being asked for only $750,000 of its $1,000,000 policy.  The demand letter said expressly that settlement for the primary carrier’s limits was “contingent upon” the secondary carrier’s payment.</w:t>
      </w:r>
      <w:r>
        <w:rPr>
          <w:rStyle w:val="EndnoteReference"/>
          <w:rFonts w:ascii="Century" w:hAnsi="Century"/>
        </w:rPr>
        <w:endnoteReference w:id="1157"/>
      </w:r>
      <w:r>
        <w:rPr>
          <w:rFonts w:ascii="Century" w:hAnsi="Century"/>
        </w:rPr>
        <w:t xml:space="preserve">  Having no control at all over whether the other carrier would pay, and thus being entirely unable to accept the plaintiff’s demand as made, the primary carrier acted to protect its insured’s interests at the expense of its own by immediately offering its $50,000 limits in return for a release.  The plaintiff rejected that offer, went on to get a substantial excess verdict in the tort case ($7 million), and then brought an assigned bad faith claim against the primary insurer for failing to achieve a settlement.  The bad faith case was tried to a jury who, having been charged on </w:t>
      </w:r>
      <w:r>
        <w:rPr>
          <w:rFonts w:ascii="Century" w:hAnsi="Century"/>
          <w:i/>
        </w:rPr>
        <w:t>Brightman</w:t>
      </w:r>
      <w:r>
        <w:rPr>
          <w:rFonts w:ascii="Century" w:hAnsi="Century"/>
        </w:rPr>
        <w:t xml:space="preserve">’s “safe harbor,” absolved the insurer of any wrongdoing.  The Georgia Court of Appeals affirmed, specifically saying that in </w:t>
      </w:r>
      <w:r>
        <w:rPr>
          <w:rFonts w:ascii="Century" w:hAnsi="Century"/>
          <w:i/>
        </w:rPr>
        <w:t>Brightman</w:t>
      </w:r>
      <w:r>
        <w:rPr>
          <w:rFonts w:ascii="Century" w:hAnsi="Century"/>
        </w:rPr>
        <w:t xml:space="preserve"> “the Supreme Court of Georgia noted that industry experts had agreed that in cases involving multiple defendants and insurance companies, one company </w:t>
      </w:r>
      <w:r>
        <w:rPr>
          <w:rFonts w:ascii="Century" w:hAnsi="Century"/>
        </w:rPr>
        <w:lastRenderedPageBreak/>
        <w:t>can offer its policy limits in response to a demand and then let the plaintiff negotiate with the remaining insurers.”</w:t>
      </w:r>
      <w:r>
        <w:rPr>
          <w:rStyle w:val="EndnoteReference"/>
          <w:rFonts w:ascii="Century" w:hAnsi="Century"/>
        </w:rPr>
        <w:endnoteReference w:id="1158"/>
      </w:r>
      <w:r>
        <w:rPr>
          <w:rFonts w:ascii="Century" w:hAnsi="Century"/>
        </w:rPr>
        <w:t xml:space="preserve">  The Supreme Court then took up the matter, presumably simply to affirm the lower courts’ decisions and acknowledge “safe harbor” under </w:t>
      </w:r>
      <w:r>
        <w:rPr>
          <w:rFonts w:ascii="Century" w:hAnsi="Century"/>
          <w:i/>
        </w:rPr>
        <w:t>Brightman</w:t>
      </w:r>
      <w:r>
        <w:rPr>
          <w:rFonts w:ascii="Century" w:hAnsi="Century"/>
        </w:rPr>
        <w:t xml:space="preserve"> for the compliant insurer which had tendered its limits while the plaintiff’s offer was still pending and had therefore done precisely what the court had said the insurer in </w:t>
      </w:r>
      <w:r>
        <w:rPr>
          <w:rFonts w:ascii="Century" w:hAnsi="Century"/>
          <w:i/>
        </w:rPr>
        <w:t>Brightman</w:t>
      </w:r>
      <w:r>
        <w:rPr>
          <w:rFonts w:ascii="Century" w:hAnsi="Century"/>
        </w:rPr>
        <w:t xml:space="preserve"> should have done, but that was not to be.  The </w:t>
      </w:r>
      <w:r>
        <w:rPr>
          <w:rFonts w:ascii="Century" w:hAnsi="Century"/>
          <w:i/>
        </w:rPr>
        <w:t>Fortner</w:t>
      </w:r>
      <w:r>
        <w:rPr>
          <w:rFonts w:ascii="Century" w:hAnsi="Century"/>
        </w:rPr>
        <w:t xml:space="preserve"> court instead reversed.  Criticizing the fact the trial court gave a charge to the jury on </w:t>
      </w:r>
      <w:r>
        <w:rPr>
          <w:rFonts w:ascii="Century" w:hAnsi="Century"/>
          <w:i/>
        </w:rPr>
        <w:t>Brightman</w:t>
      </w:r>
      <w:r>
        <w:rPr>
          <w:rFonts w:ascii="Century" w:hAnsi="Century"/>
        </w:rPr>
        <w:t>’s safe harbor, the Georgia Supreme Court noted the insurer did not just tender its limits; it had the temerity to ask for a release for its insured, too.  “The trial court’s charge would have been appropriate, and [the insurer] would have been entitled to the ‘safe harbor from liability,’ if [the insurer] had responded to the settlement condition beyond its control simply by offering its policy limits,” said the court flatly (and without any regard to what a blanket tender without a release of any kind would have meant for the insured).</w:t>
      </w:r>
      <w:r>
        <w:rPr>
          <w:rStyle w:val="EndnoteReference"/>
          <w:rFonts w:ascii="Century" w:hAnsi="Century"/>
        </w:rPr>
        <w:endnoteReference w:id="1159"/>
      </w:r>
      <w:r>
        <w:rPr>
          <w:rFonts w:ascii="Century" w:hAnsi="Century"/>
        </w:rPr>
        <w:t xml:space="preserve">  Because the company asked for a release instead of just paying, and had thereby endeavored to impose an additional condition on the plaintiff within its own control, there was no safe harbor.  The jury should therefore have decided whether the company acted in bad faith without being told about one.  The case would have to be retried.</w:t>
      </w:r>
    </w:p>
    <w:p>
      <w:pPr>
        <w:pStyle w:val="BodyTextFirstIndent"/>
        <w:rPr>
          <w:rFonts w:ascii="Century" w:hAnsi="Century"/>
        </w:rPr>
      </w:pPr>
      <w:r>
        <w:rPr>
          <w:rFonts w:ascii="Century" w:hAnsi="Century"/>
        </w:rPr>
        <w:t xml:space="preserve">The upshot of </w:t>
      </w:r>
      <w:r>
        <w:rPr>
          <w:rFonts w:ascii="Century" w:hAnsi="Century"/>
          <w:i/>
        </w:rPr>
        <w:t>Fortner</w:t>
      </w:r>
      <w:r>
        <w:rPr>
          <w:rFonts w:ascii="Century" w:hAnsi="Century"/>
        </w:rPr>
        <w:t xml:space="preserve"> – because how can an insurer give proper consideration to its insured’s own </w:t>
      </w:r>
      <w:r>
        <w:rPr>
          <w:rFonts w:ascii="Century" w:hAnsi="Century"/>
        </w:rPr>
        <w:lastRenderedPageBreak/>
        <w:t xml:space="preserve">interests without seeking at least some kind of protection from personal liability? – was that, under the house </w:t>
      </w:r>
      <w:r>
        <w:rPr>
          <w:rFonts w:ascii="Century" w:hAnsi="Century"/>
          <w:i/>
        </w:rPr>
        <w:t>Holt</w:t>
      </w:r>
      <w:r>
        <w:rPr>
          <w:rFonts w:ascii="Century" w:hAnsi="Century"/>
        </w:rPr>
        <w:t xml:space="preserve"> built, coughing up the limits immediately would never be enough, in and of itself, to forestall a bad faith claim completely.  There simply was no genuine “safe harbor” apart from achieving a settlement.  Thus, claims for alleged bad faith in the wake of failed-by-design settlements would always be tried to juries who would not – indeed </w:t>
      </w:r>
      <w:r>
        <w:rPr>
          <w:rFonts w:ascii="Century" w:hAnsi="Century"/>
          <w:i/>
        </w:rPr>
        <w:t>could not</w:t>
      </w:r>
      <w:r>
        <w:rPr>
          <w:rFonts w:ascii="Century" w:hAnsi="Century"/>
        </w:rPr>
        <w:t xml:space="preserve"> – be told how the state’s highest court once said paying the limits was a “fulfillment” of its duty to its insureds.</w:t>
      </w:r>
      <w:r>
        <w:rPr>
          <w:rStyle w:val="EndnoteReference"/>
          <w:rFonts w:ascii="Century" w:hAnsi="Century"/>
        </w:rPr>
        <w:endnoteReference w:id="1160"/>
      </w:r>
      <w:r>
        <w:rPr>
          <w:rFonts w:ascii="Century" w:hAnsi="Century"/>
        </w:rPr>
        <w:t xml:space="preserve">  Instead of acting to squelch bad faith claims where insurers readily agreed to pay the limits, then, the </w:t>
      </w:r>
      <w:r>
        <w:rPr>
          <w:rFonts w:ascii="Century" w:hAnsi="Century"/>
          <w:i/>
        </w:rPr>
        <w:t>Fortner</w:t>
      </w:r>
      <w:r>
        <w:rPr>
          <w:rFonts w:ascii="Century" w:hAnsi="Century"/>
        </w:rPr>
        <w:t xml:space="preserve"> court actually fostered a perfect environment for propagating more and more of them.  </w:t>
      </w:r>
      <w:r>
        <w:rPr>
          <w:rFonts w:ascii="Century" w:hAnsi="Century"/>
          <w:i/>
        </w:rPr>
        <w:t>Frickey</w:t>
      </w:r>
      <w:r>
        <w:rPr>
          <w:rFonts w:ascii="Century" w:hAnsi="Century"/>
        </w:rPr>
        <w:t xml:space="preserve"> telegraphed bad faith claims can be manufactured; </w:t>
      </w:r>
      <w:r>
        <w:rPr>
          <w:rFonts w:ascii="Century" w:hAnsi="Century"/>
          <w:i/>
        </w:rPr>
        <w:t>Fortner</w:t>
      </w:r>
      <w:r>
        <w:rPr>
          <w:rFonts w:ascii="Century" w:hAnsi="Century"/>
        </w:rPr>
        <w:t xml:space="preserve"> said they would get to juries.  Really, who on the claimants’ side would </w:t>
      </w:r>
      <w:r>
        <w:rPr>
          <w:rFonts w:ascii="Century" w:hAnsi="Century"/>
          <w:i/>
        </w:rPr>
        <w:t>not</w:t>
      </w:r>
      <w:r>
        <w:rPr>
          <w:rFonts w:ascii="Century" w:hAnsi="Century"/>
        </w:rPr>
        <w:t xml:space="preserve"> have been incentivized at this point to try to set one up with every time-limited demand?</w:t>
      </w:r>
      <w:r>
        <w:rPr>
          <w:rFonts w:ascii="Century" w:hAnsi="Century"/>
          <w:vertAlign w:val="superscript"/>
        </w:rPr>
        <w:endnoteReference w:id="1161"/>
      </w:r>
    </w:p>
    <w:p>
      <w:pPr>
        <w:pStyle w:val="BodyTextFirstIndent"/>
        <w:rPr>
          <w:rFonts w:ascii="Century" w:hAnsi="Century"/>
        </w:rPr>
      </w:pPr>
      <w:r>
        <w:rPr>
          <w:rFonts w:ascii="Century" w:hAnsi="Century"/>
        </w:rPr>
        <w:t xml:space="preserve">And therein lay the great, gaping problem with how the line of case authority on these matters developed since </w:t>
      </w:r>
      <w:r>
        <w:rPr>
          <w:rFonts w:ascii="Century" w:hAnsi="Century"/>
          <w:i/>
        </w:rPr>
        <w:t>Holt</w:t>
      </w:r>
      <w:r>
        <w:rPr>
          <w:rFonts w:ascii="Century" w:hAnsi="Century"/>
        </w:rPr>
        <w:t xml:space="preserve"> was first announced.  From a policy perspective, </w:t>
      </w:r>
      <w:r>
        <w:rPr>
          <w:rFonts w:ascii="Century" w:hAnsi="Century"/>
          <w:i/>
        </w:rPr>
        <w:t>Holt’</w:t>
      </w:r>
      <w:r>
        <w:rPr>
          <w:rFonts w:ascii="Century" w:hAnsi="Century"/>
        </w:rPr>
        <w:t xml:space="preserve">s chief purpose was to motivate insurers to pay claims made within the policy limits promptly so their insureds would not get dragged to court simply because they hoped to save a few bucks.  In pressing that goal, the </w:t>
      </w:r>
      <w:r>
        <w:rPr>
          <w:rFonts w:ascii="Century" w:hAnsi="Century"/>
          <w:i/>
        </w:rPr>
        <w:t>Holt</w:t>
      </w:r>
      <w:r>
        <w:rPr>
          <w:rFonts w:ascii="Century" w:hAnsi="Century"/>
        </w:rPr>
        <w:t xml:space="preserve"> court specifically denied any intention to grant claimants’ attorneys license to manufacture bad faith claims.  Yet, that same court’s decisions in </w:t>
      </w:r>
      <w:r>
        <w:rPr>
          <w:rFonts w:ascii="Century" w:hAnsi="Century"/>
          <w:i/>
        </w:rPr>
        <w:t>Brightman</w:t>
      </w:r>
      <w:r>
        <w:rPr>
          <w:rFonts w:ascii="Century" w:hAnsi="Century"/>
        </w:rPr>
        <w:t xml:space="preserve">, </w:t>
      </w:r>
      <w:r>
        <w:rPr>
          <w:rFonts w:ascii="Century" w:hAnsi="Century"/>
          <w:i/>
        </w:rPr>
        <w:t>Frickey</w:t>
      </w:r>
      <w:r>
        <w:rPr>
          <w:rFonts w:ascii="Century" w:hAnsi="Century"/>
        </w:rPr>
        <w:t xml:space="preserve">, and </w:t>
      </w:r>
      <w:r>
        <w:rPr>
          <w:rFonts w:ascii="Century" w:hAnsi="Century"/>
          <w:i/>
        </w:rPr>
        <w:lastRenderedPageBreak/>
        <w:t>Fortner</w:t>
      </w:r>
      <w:r>
        <w:rPr>
          <w:rFonts w:ascii="Century" w:hAnsi="Century"/>
        </w:rPr>
        <w:t xml:space="preserve"> had the effect of encouraging set-up practice to the point that, even where insurers readily offered the limits, insureds were still being dragged to court and subjected to excess verdicts because claimants’ attorneys hoped to strike it big in bad faith claims against the insurers.   In that sense, </w:t>
      </w:r>
      <w:r>
        <w:rPr>
          <w:rFonts w:ascii="Century" w:hAnsi="Century"/>
          <w:i/>
        </w:rPr>
        <w:t>Holt</w:t>
      </w:r>
      <w:r>
        <w:rPr>
          <w:rFonts w:ascii="Century" w:hAnsi="Century"/>
        </w:rPr>
        <w:t xml:space="preserve"> had been turned on its head and something needed to give.  Thankfully, something did give with the passage of O.C.G.A. § 9-11-67.1, which gets us back to where this article began.</w:t>
      </w:r>
    </w:p>
    <w:p>
      <w:pPr>
        <w:pStyle w:val="BodyText"/>
        <w:ind w:left="720" w:hanging="720"/>
        <w:jc w:val="left"/>
        <w:rPr>
          <w:b/>
        </w:rPr>
      </w:pPr>
      <w:r>
        <w:rPr>
          <w:b/>
        </w:rPr>
        <w:t>VI.</w:t>
      </w:r>
      <w:r>
        <w:rPr>
          <w:b/>
        </w:rPr>
        <w:tab/>
        <w:t>The General Assembly Restores (Some) Order</w:t>
      </w:r>
    </w:p>
    <w:p>
      <w:pPr>
        <w:pStyle w:val="BodyTextFirstIndent"/>
        <w:rPr>
          <w:rFonts w:ascii="Century" w:hAnsi="Century"/>
        </w:rPr>
      </w:pPr>
      <w:r>
        <w:rPr>
          <w:rFonts w:ascii="Century" w:hAnsi="Century"/>
        </w:rPr>
        <w:t xml:space="preserve">The good news for those of us who do represent insurers and their policyholders is the new statute – which reportedly came about as a compromise between the plaintiffs and defense bars – may well temper the worst trends in settlement negotiations to fall out from </w:t>
      </w:r>
      <w:r>
        <w:rPr>
          <w:rFonts w:ascii="Century" w:hAnsi="Century"/>
          <w:i/>
        </w:rPr>
        <w:t>Holt</w:t>
      </w:r>
      <w:r>
        <w:rPr>
          <w:rFonts w:ascii="Century" w:hAnsi="Century"/>
        </w:rPr>
        <w:t xml:space="preserve">, </w:t>
      </w:r>
      <w:r>
        <w:rPr>
          <w:rFonts w:ascii="Century" w:hAnsi="Century"/>
          <w:i/>
        </w:rPr>
        <w:t>Brightman</w:t>
      </w:r>
      <w:r>
        <w:rPr>
          <w:rFonts w:ascii="Century" w:hAnsi="Century"/>
        </w:rPr>
        <w:t xml:space="preserve">, </w:t>
      </w:r>
      <w:r>
        <w:rPr>
          <w:rFonts w:ascii="Century" w:hAnsi="Century"/>
          <w:i/>
        </w:rPr>
        <w:t>Frickey</w:t>
      </w:r>
      <w:r>
        <w:rPr>
          <w:rFonts w:ascii="Century" w:hAnsi="Century"/>
        </w:rPr>
        <w:t xml:space="preserve">, </w:t>
      </w:r>
      <w:r>
        <w:rPr>
          <w:rFonts w:ascii="Century" w:hAnsi="Century"/>
          <w:i/>
        </w:rPr>
        <w:t>Fortner</w:t>
      </w:r>
      <w:r>
        <w:rPr>
          <w:rFonts w:ascii="Century" w:hAnsi="Century"/>
        </w:rPr>
        <w:t>, and all the cases in between.  The bad news is that “tempering” something is not the same thing as “stopping” it, and the statute is neither an absolute proscription against bad faith claim set-ups nor a positive enactment of a safe harbor from liability.  Thus, the possibility of set-ups still exists.  Nevertheless, O.C.G.A. § 9-11-67.1 may prove itself to be an effective and long-overdue check on the proverbial pendulum’s swing; a gentle push, as it were, to send it back the other way.</w:t>
      </w:r>
      <w:r>
        <w:rPr>
          <w:rStyle w:val="EndnoteReference"/>
          <w:rFonts w:ascii="Century" w:hAnsi="Century"/>
        </w:rPr>
        <w:endnoteReference w:id="1162"/>
      </w:r>
    </w:p>
    <w:p>
      <w:pPr>
        <w:pStyle w:val="BodyTextFirstIndent"/>
        <w:rPr>
          <w:rFonts w:ascii="Century" w:hAnsi="Century"/>
        </w:rPr>
      </w:pPr>
      <w:r>
        <w:rPr>
          <w:rFonts w:ascii="Century" w:hAnsi="Century"/>
        </w:rPr>
        <w:t xml:space="preserve">By its express terms, the statute covers “any offer to settle a tort claim for personal injury, bodily injury, or death arising from the use of a motor vehicle and prepared by or </w:t>
      </w:r>
      <w:r>
        <w:rPr>
          <w:rFonts w:ascii="Century" w:hAnsi="Century"/>
        </w:rPr>
        <w:lastRenderedPageBreak/>
        <w:t>with the assistance of an attorney on behalf of a claimant or claimants.”</w:t>
      </w:r>
      <w:r>
        <w:rPr>
          <w:rStyle w:val="EndnoteReference"/>
          <w:rFonts w:ascii="Century" w:hAnsi="Century"/>
        </w:rPr>
        <w:endnoteReference w:id="1163"/>
      </w:r>
      <w:r>
        <w:rPr>
          <w:rFonts w:ascii="Century" w:hAnsi="Century"/>
        </w:rPr>
        <w:t xml:space="preserve">  At first blush, the narrowly-defined purview may seem unnecessarily restrictive since it only concerns offers for motor vehicle accident claims prepared by (or with help from) attorneys.  But, in truth, it is not.  Each of the principal cases discussed herein involved settlement offers prepared by attorneys on motor vehicle accident claims.  The reason for that is intuitive, if not obvious.  Recall the minimum limits for automobile liability coverage in Georgia are relatively low (now $25,000) and, at least since the advent of </w:t>
      </w:r>
      <w:r>
        <w:rPr>
          <w:rFonts w:ascii="Century" w:hAnsi="Century"/>
          <w:i/>
        </w:rPr>
        <w:t>Holt</w:t>
      </w:r>
      <w:r>
        <w:rPr>
          <w:rFonts w:ascii="Century" w:hAnsi="Century"/>
        </w:rPr>
        <w:t xml:space="preserve">, it has not been at all unusual for liability coverage which meets the state’s requirement for compulsory insurance yet to fall short in car accident cases because of catastrophic injury and high special damages.  By definition, the archetypal </w:t>
      </w:r>
      <w:r>
        <w:rPr>
          <w:rFonts w:ascii="Century" w:hAnsi="Century"/>
          <w:i/>
        </w:rPr>
        <w:t>Holt</w:t>
      </w:r>
      <w:r>
        <w:rPr>
          <w:rFonts w:ascii="Century" w:hAnsi="Century"/>
        </w:rPr>
        <w:t xml:space="preserve"> scenario involves a case that is plainly worth more than the available policy limits.  Add to that it is typically much easier to collect money damages from an institutional payor like an insurance company than it is to collect from an individual or a non-insurer company, and you find to a degree not present in other contexts there exists in car accident cases a clear incentive to set up bad faith claims and (hopefully) secure additional insurance “coverage.”  Arguably, then, O.C.G.A. § 9-11-67.1’s limited reach is not an undesirable circumscription.  It is confirmation that the statute’s authors intended to offer a pin-point response to a very specific problem.</w:t>
      </w:r>
    </w:p>
    <w:p>
      <w:pPr>
        <w:pStyle w:val="BodyTextFirstIndent"/>
        <w:rPr>
          <w:rFonts w:ascii="Century" w:hAnsi="Century"/>
        </w:rPr>
      </w:pPr>
      <w:r>
        <w:rPr>
          <w:rFonts w:ascii="Century" w:hAnsi="Century"/>
        </w:rPr>
        <w:t xml:space="preserve">And that is not a blanket failing.  While the statute’s sphere of </w:t>
      </w:r>
      <w:r>
        <w:rPr>
          <w:rFonts w:ascii="Century" w:hAnsi="Century"/>
        </w:rPr>
        <w:lastRenderedPageBreak/>
        <w:t>application might be purposely narrow, its scope within that sphere is decidedly comprehensive.  Note, by its terms “any” offer falling under its provisions “shall” meet the specified requirements, which include, among other things, referencing the Code section itself.</w:t>
      </w:r>
      <w:r>
        <w:rPr>
          <w:rStyle w:val="EndnoteReference"/>
          <w:rFonts w:ascii="Century" w:hAnsi="Century"/>
        </w:rPr>
        <w:endnoteReference w:id="1164"/>
      </w:r>
      <w:r>
        <w:rPr>
          <w:rFonts w:ascii="Century" w:hAnsi="Century"/>
        </w:rPr>
        <w:t xml:space="preserve">  Taking the statutory language at face value, then, conformity therewith is soundly mandated.  So, what is to be done in the event of noncompliance?  The statute specifies no penalty.  However, the fact it appears in the Georgia Civil Practice Act and begins with the words “[p]rior to the filing of a civil action” suggest strongly it is on the order of a prerequisite.</w:t>
      </w:r>
      <w:r>
        <w:rPr>
          <w:rStyle w:val="EndnoteReference"/>
          <w:rFonts w:ascii="Century" w:hAnsi="Century"/>
        </w:rPr>
        <w:endnoteReference w:id="1165"/>
      </w:r>
      <w:r>
        <w:rPr>
          <w:rFonts w:ascii="Century" w:hAnsi="Century"/>
        </w:rPr>
        <w:t xml:space="preserve">  Any claimant’s attorney who wishes to preserve the prospect of pursuing a </w:t>
      </w:r>
      <w:r>
        <w:rPr>
          <w:rFonts w:ascii="Century" w:hAnsi="Century"/>
          <w:i/>
        </w:rPr>
        <w:t>Holt</w:t>
      </w:r>
      <w:r>
        <w:rPr>
          <w:rFonts w:ascii="Century" w:hAnsi="Century"/>
        </w:rPr>
        <w:t>-style bad faith claim against an insurer would do well to comply prior to filing an underlying tort claim, lest he find that an offer that does not comply with the prescribed terms is deemed a fatal deficiency – like for example, a demand for an amount above the policy limits.  In other words, it seems future bad faith claims arising in the context of motor vehicle accident claims (which, again, is where the most troublesome ones have come from) must be premised upon offers passing muster under O.C.G.A. § 9-11-67.1 to have any semblance of viability.</w:t>
      </w:r>
    </w:p>
    <w:p>
      <w:pPr>
        <w:pStyle w:val="BodyTextFirstIndent"/>
        <w:rPr>
          <w:rFonts w:ascii="Century" w:hAnsi="Century"/>
        </w:rPr>
      </w:pPr>
      <w:r>
        <w:rPr>
          <w:rFonts w:ascii="Century" w:hAnsi="Century"/>
        </w:rPr>
        <w:t>Hence why the implementation of the new statutory scheme provides hope for the insurance bar.  Any offer that complies with O.C.G.A. § 9-11-67.1 is not going to present a “moving target” like so many post-</w:t>
      </w:r>
      <w:r>
        <w:rPr>
          <w:rFonts w:ascii="Century" w:hAnsi="Century"/>
          <w:i/>
        </w:rPr>
        <w:t>Frickey</w:t>
      </w:r>
      <w:r>
        <w:rPr>
          <w:rFonts w:ascii="Century" w:hAnsi="Century"/>
        </w:rPr>
        <w:t xml:space="preserve"> offers have up to this point.  The offer must specify a definite time for </w:t>
      </w:r>
      <w:r>
        <w:rPr>
          <w:rFonts w:ascii="Century" w:hAnsi="Century"/>
        </w:rPr>
        <w:lastRenderedPageBreak/>
        <w:t>acceptance, and it cannot be less than thirty days.</w:t>
      </w:r>
      <w:r>
        <w:rPr>
          <w:rStyle w:val="EndnoteReference"/>
          <w:rFonts w:ascii="Century" w:hAnsi="Century"/>
        </w:rPr>
        <w:endnoteReference w:id="1166"/>
      </w:r>
      <w:r>
        <w:rPr>
          <w:rFonts w:ascii="Century" w:hAnsi="Century"/>
        </w:rPr>
        <w:t xml:space="preserve">  So there should be no confusion about the time window open for consideration, and the considering party (most often the insurer) is guaranteed a minimum period that should be suitable in many, if not most, circumstances.  The identities of the parties to be released, the particular claims to be released, and the exact type of release to be executed must all be specified as part of the initial offer, so there will be no more </w:t>
      </w:r>
      <w:r>
        <w:rPr>
          <w:rFonts w:ascii="Century" w:hAnsi="Century"/>
          <w:i/>
        </w:rPr>
        <w:t>Herring</w:t>
      </w:r>
      <w:r>
        <w:rPr>
          <w:rFonts w:ascii="Century" w:hAnsi="Century"/>
        </w:rPr>
        <w:t>-like disruptions over whether a formal release is part of the deal.</w:t>
      </w:r>
      <w:r>
        <w:rPr>
          <w:rStyle w:val="EndnoteReference"/>
          <w:rFonts w:ascii="Century" w:hAnsi="Century"/>
        </w:rPr>
        <w:endnoteReference w:id="1167"/>
      </w:r>
      <w:r>
        <w:rPr>
          <w:rFonts w:ascii="Century" w:hAnsi="Century"/>
        </w:rPr>
        <w:t xml:space="preserve">  The amount of the payment demanded must also be specified (although that has never really been a problem) and six different means of payment – any one of which can be used at the option of the payor – are listed.</w:t>
      </w:r>
      <w:r>
        <w:rPr>
          <w:rStyle w:val="EndnoteReference"/>
          <w:rFonts w:ascii="Century" w:hAnsi="Century"/>
        </w:rPr>
        <w:endnoteReference w:id="1168"/>
      </w:r>
      <w:r>
        <w:rPr>
          <w:rFonts w:ascii="Century" w:hAnsi="Century"/>
        </w:rPr>
        <w:t xml:space="preserve">  Such offers can only be sent via “certified mail or statutory overnight delivery, receipt requested” so as to provide independent verification of their being both sent and received.</w:t>
      </w:r>
      <w:r>
        <w:rPr>
          <w:rStyle w:val="EndnoteReference"/>
          <w:rFonts w:ascii="Century" w:hAnsi="Century"/>
        </w:rPr>
        <w:endnoteReference w:id="1169"/>
      </w:r>
      <w:r>
        <w:rPr>
          <w:rFonts w:ascii="Century" w:hAnsi="Century"/>
        </w:rPr>
        <w:t xml:space="preserve">  Offers thus made can be accepted by way of written acceptance of their material terms “in their entirety” – full performance cannot be required for mere acceptance – and at least ten additional days must be permitted after written acceptance is tendered for payment to be made.</w:t>
      </w:r>
      <w:r>
        <w:rPr>
          <w:rStyle w:val="EndnoteReference"/>
          <w:rFonts w:ascii="Century" w:hAnsi="Century"/>
        </w:rPr>
        <w:endnoteReference w:id="1170"/>
      </w:r>
      <w:r>
        <w:rPr>
          <w:rFonts w:ascii="Century" w:hAnsi="Century"/>
        </w:rPr>
        <w:t xml:space="preserve">  Most notably, the statute completely and directly diffuses the particular issue that blew up in </w:t>
      </w:r>
      <w:r>
        <w:rPr>
          <w:rFonts w:ascii="Century" w:hAnsi="Century"/>
          <w:i/>
        </w:rPr>
        <w:t>Frickey</w:t>
      </w:r>
      <w:r>
        <w:rPr>
          <w:rFonts w:ascii="Century" w:hAnsi="Century"/>
        </w:rPr>
        <w:t>, to wit:</w:t>
      </w:r>
    </w:p>
    <w:p>
      <w:pPr>
        <w:pStyle w:val="BodyText"/>
        <w:ind w:left="720" w:right="720"/>
      </w:pPr>
      <w:r>
        <w:t xml:space="preserve">Upon receipt of an offer to settle set forth in subsection (a) of this Code section, the recipients shall have the right to seek clarification regarding terms, liens, </w:t>
      </w:r>
      <w:r>
        <w:lastRenderedPageBreak/>
        <w:t xml:space="preserve">subrogation claims, standing to release claims, medical bills, medical records, and other relevant facts.  An attempt to seek reasonable clarification </w:t>
      </w:r>
      <w:r>
        <w:rPr>
          <w:i/>
        </w:rPr>
        <w:t>shall not be deemed a counteroffer</w:t>
      </w:r>
      <w:r>
        <w:t>.</w:t>
      </w:r>
      <w:r>
        <w:rPr>
          <w:rStyle w:val="EndnoteReference"/>
          <w:rFonts w:ascii="Century" w:hAnsi="Century"/>
        </w:rPr>
        <w:endnoteReference w:id="1171"/>
      </w:r>
    </w:p>
    <w:p>
      <w:pPr>
        <w:pStyle w:val="BodyTextFirstIndent"/>
        <w:rPr>
          <w:rFonts w:ascii="Century" w:hAnsi="Century"/>
        </w:rPr>
      </w:pPr>
      <w:r>
        <w:rPr>
          <w:rFonts w:ascii="Century" w:hAnsi="Century"/>
        </w:rPr>
        <w:t xml:space="preserve">As the italicized language makes clear, then, O.C.G.A. § 9-11-67.1 is aimed at restoring some measure of authenticity to pre-suit settlement negotiations in car accident cases by forcing all offers into a mold conducive to reaching an agreement.  It does that of course by removing a great deal of latitude given claimants’ attorneys in recent years via decisions like </w:t>
      </w:r>
      <w:r>
        <w:rPr>
          <w:rFonts w:ascii="Century" w:hAnsi="Century"/>
          <w:i/>
        </w:rPr>
        <w:t>Holt</w:t>
      </w:r>
      <w:r>
        <w:rPr>
          <w:rFonts w:ascii="Century" w:hAnsi="Century"/>
        </w:rPr>
        <w:t xml:space="preserve">, </w:t>
      </w:r>
      <w:r>
        <w:rPr>
          <w:rFonts w:ascii="Century" w:hAnsi="Century"/>
          <w:i/>
        </w:rPr>
        <w:t>Brightman</w:t>
      </w:r>
      <w:r>
        <w:rPr>
          <w:rFonts w:ascii="Century" w:hAnsi="Century"/>
        </w:rPr>
        <w:t xml:space="preserve">, </w:t>
      </w:r>
      <w:r>
        <w:rPr>
          <w:rFonts w:ascii="Century" w:hAnsi="Century"/>
          <w:i/>
        </w:rPr>
        <w:t>Frickey</w:t>
      </w:r>
      <w:r>
        <w:rPr>
          <w:rFonts w:ascii="Century" w:hAnsi="Century"/>
        </w:rPr>
        <w:t xml:space="preserve">, and </w:t>
      </w:r>
      <w:r>
        <w:rPr>
          <w:rFonts w:ascii="Century" w:hAnsi="Century"/>
          <w:i/>
        </w:rPr>
        <w:t>Fortner</w:t>
      </w:r>
      <w:r>
        <w:rPr>
          <w:rFonts w:ascii="Century" w:hAnsi="Century"/>
        </w:rPr>
        <w:t xml:space="preserve"> to craft “offers” that were just set-ups, not authentic overtures to compromise.  That its provisions are intended chiefly to address claimants’ attorneys having such designs is manifest in the statute’s declaring plainly it is not intended “to prohibit parties from reaching a settlement agreement in a manner and under terms otherwise agreeable to the parties.”</w:t>
      </w:r>
      <w:r>
        <w:rPr>
          <w:rStyle w:val="EndnoteReference"/>
          <w:rFonts w:ascii="Century" w:hAnsi="Century"/>
        </w:rPr>
        <w:endnoteReference w:id="1172"/>
      </w:r>
      <w:r>
        <w:rPr>
          <w:rFonts w:ascii="Century" w:hAnsi="Century"/>
        </w:rPr>
        <w:t xml:space="preserve">  Simply put, if the parties can work together to negotiate a resolution, the statute has no application.  It comes into play only where someone is operating at cross purposes.</w:t>
      </w:r>
    </w:p>
    <w:p>
      <w:pPr>
        <w:pStyle w:val="BodyText"/>
        <w:ind w:left="720" w:hanging="720"/>
        <w:jc w:val="left"/>
        <w:rPr>
          <w:b/>
        </w:rPr>
      </w:pPr>
      <w:r>
        <w:rPr>
          <w:b/>
        </w:rPr>
        <w:t>VII.</w:t>
      </w:r>
      <w:r>
        <w:rPr>
          <w:b/>
        </w:rPr>
        <w:tab/>
        <w:t>Conclusion</w:t>
      </w:r>
    </w:p>
    <w:p>
      <w:pPr>
        <w:pStyle w:val="BodyTextFirstIndent"/>
        <w:rPr>
          <w:rFonts w:ascii="Century" w:hAnsi="Century"/>
        </w:rPr>
      </w:pPr>
      <w:r>
        <w:rPr>
          <w:rFonts w:ascii="Century" w:hAnsi="Century"/>
        </w:rPr>
        <w:t xml:space="preserve">To be clear, O.C.G.A. § 9-11-67.1 will not end bad faith claims against insurance companies.  It will not even end “set ups” by wily claimants’ attorneys on car accident cases in the near term (it is applicable </w:t>
      </w:r>
      <w:r>
        <w:rPr>
          <w:rFonts w:ascii="Century" w:hAnsi="Century"/>
        </w:rPr>
        <w:lastRenderedPageBreak/>
        <w:t>only to claims arising “on or after July 1, 2013”), and it does nothing to prevent future bad faith set-ups by astute pro se litigants (again, it applies only to offers made by or with the help of attorneys) or in contexts other than car accident cases.  But it has potential to do much more than anything else in post-</w:t>
      </w:r>
      <w:r>
        <w:rPr>
          <w:rFonts w:ascii="Century" w:hAnsi="Century"/>
          <w:i/>
        </w:rPr>
        <w:t>Holt</w:t>
      </w:r>
      <w:r>
        <w:rPr>
          <w:rFonts w:ascii="Century" w:hAnsi="Century"/>
        </w:rPr>
        <w:t xml:space="preserve"> jurisprudence to change the present atmosphere and move Georgia automobile accident cases toward actual settlement.  If it succeeds, and thereby gives effect to the </w:t>
      </w:r>
      <w:r>
        <w:rPr>
          <w:rFonts w:ascii="Century" w:hAnsi="Century"/>
          <w:i/>
        </w:rPr>
        <w:t>Holt</w:t>
      </w:r>
      <w:r>
        <w:rPr>
          <w:rFonts w:ascii="Century" w:hAnsi="Century"/>
        </w:rPr>
        <w:t xml:space="preserve"> court’s goal of reducing the likelihood an insured who has dutifully complied with the law and paid his premiums will yet be made to stand in the dock because someone else – be it his insurer or the injured party’s attorney – hopes to gain something more for himself or herself, that is a good thing.  As such, while the new law is not a complete cure for all the ills wrought by </w:t>
      </w:r>
      <w:r>
        <w:rPr>
          <w:rFonts w:ascii="Century" w:hAnsi="Century"/>
          <w:i/>
        </w:rPr>
        <w:t>Holt</w:t>
      </w:r>
      <w:r>
        <w:rPr>
          <w:rFonts w:ascii="Century" w:hAnsi="Century"/>
        </w:rPr>
        <w:t>’s progeny in recent years, it is definitely a positive step in getting things back on track.</w:t>
      </w:r>
    </w:p>
    <w:p>
      <w:pPr>
        <w:jc w:val="center"/>
        <w:rPr>
          <w:b/>
          <w:u w:val="single"/>
        </w:rPr>
      </w:pPr>
      <w:r>
        <w:rPr>
          <w:b/>
          <w:u w:val="single"/>
        </w:rPr>
        <w:t>End Notes</w:t>
      </w:r>
    </w:p>
    <w:p>
      <w:pPr>
        <w:jc w:val="center"/>
        <w:rPr>
          <w:b/>
          <w:u w:val="single"/>
        </w:rPr>
      </w:pPr>
    </w:p>
    <w:p>
      <w:pPr>
        <w:rPr>
          <w:b/>
          <w:u w:val="single"/>
        </w:rPr>
        <w:sectPr>
          <w:endnotePr>
            <w:numFmt w:val="decimal"/>
            <w:numRestart w:val="eachSect"/>
          </w:endnotePr>
          <w:type w:val="continuous"/>
          <w:pgSz w:w="12240" w:h="15840"/>
          <w:pgMar w:top="1440" w:right="1440" w:bottom="1440" w:left="1440" w:header="720" w:footer="720" w:gutter="0"/>
          <w:cols w:num="2" w:space="720"/>
          <w:titlePg/>
          <w:rtlGutter/>
          <w:docGrid w:linePitch="360"/>
        </w:sectPr>
      </w:pPr>
    </w:p>
    <w:p>
      <w:pPr>
        <w:spacing w:line="276" w:lineRule="auto"/>
        <w:jc w:val="both"/>
        <w:rPr>
          <w:b/>
        </w:rPr>
      </w:pPr>
      <w:r>
        <w:rPr>
          <w:rFonts w:ascii="Century" w:hAnsi="Century"/>
        </w:rPr>
        <w:lastRenderedPageBreak/>
        <w:t xml:space="preserve"> </w:t>
      </w:r>
    </w:p>
    <w:p>
      <w:pPr>
        <w:pStyle w:val="BodyTextFirstIndent"/>
        <w:sectPr>
          <w:endnotePr>
            <w:numFmt w:val="decimal"/>
          </w:endnotePr>
          <w:type w:val="continuous"/>
          <w:pgSz w:w="12240" w:h="15840"/>
          <w:pgMar w:top="1440" w:right="1440" w:bottom="1440" w:left="1440" w:header="720" w:footer="720" w:gutter="0"/>
          <w:cols w:num="2" w:space="720"/>
          <w:titlePg/>
          <w:docGrid w:linePitch="360"/>
        </w:sectPr>
      </w:pPr>
    </w:p>
    <w:p>
      <w:pPr>
        <w:pStyle w:val="Heading1"/>
      </w:pPr>
      <w:bookmarkStart w:id="267" w:name="_Toc387223625"/>
      <w:r>
        <w:lastRenderedPageBreak/>
        <w:t>Construction Law Update</w:t>
      </w:r>
      <w:bookmarkEnd w:id="267"/>
    </w:p>
    <w:p/>
    <w:p>
      <w:pPr>
        <w:pStyle w:val="Author"/>
      </w:pPr>
      <w:r>
        <w:t>By: Angela H. Smith, Chair, GDLA Construction Law Committee</w:t>
      </w:r>
    </w:p>
    <w:p>
      <w:pPr>
        <w:pStyle w:val="Author"/>
      </w:pPr>
      <w:r>
        <w:t>Moore, Ingram, Johnson &amp; Steele, LLP</w:t>
      </w:r>
    </w:p>
    <w:p>
      <w:pPr>
        <w:spacing w:after="0"/>
        <w:jc w:val="center"/>
        <w:rPr>
          <w:sz w:val="27"/>
          <w:szCs w:val="27"/>
        </w:rPr>
      </w:pPr>
    </w:p>
    <w:p>
      <w:pPr>
        <w:spacing w:after="0"/>
        <w:jc w:val="both"/>
        <w:rPr>
          <w:sz w:val="21"/>
          <w:szCs w:val="21"/>
        </w:rPr>
      </w:pPr>
    </w:p>
    <w:p>
      <w:pPr>
        <w:spacing w:after="0"/>
        <w:jc w:val="both"/>
        <w:rPr>
          <w:sz w:val="21"/>
          <w:szCs w:val="21"/>
        </w:rPr>
        <w:sectPr>
          <w:endnotePr>
            <w:numFmt w:val="decimal"/>
          </w:endnotePr>
          <w:pgSz w:w="12240" w:h="15840" w:code="1"/>
          <w:pgMar w:top="1440" w:right="1440" w:bottom="1440" w:left="1440" w:header="720" w:footer="720" w:gutter="0"/>
          <w:cols w:space="720"/>
          <w:docGrid w:linePitch="360"/>
        </w:sectPr>
      </w:pPr>
    </w:p>
    <w:p>
      <w:pPr>
        <w:pBdr>
          <w:top w:val="single" w:sz="4" w:space="1" w:color="auto"/>
          <w:left w:val="single" w:sz="4" w:space="4" w:color="auto"/>
          <w:bottom w:val="single" w:sz="4" w:space="1" w:color="auto"/>
          <w:right w:val="single" w:sz="4" w:space="4" w:color="auto"/>
        </w:pBdr>
        <w:shd w:val="clear" w:color="auto" w:fill="81BAC5"/>
        <w:spacing w:after="0"/>
        <w:jc w:val="both"/>
        <w:rPr>
          <w:sz w:val="21"/>
          <w:szCs w:val="21"/>
        </w:rPr>
      </w:pPr>
      <w:r>
        <w:rPr>
          <w:noProof/>
        </w:rPr>
        <w:pict>
          <v:shape id="Picture 74" o:spid="_x0000_s1054" type="#_x0000_t75" alt="AngieSmith" style="position:absolute;left:0;text-align:left;margin-left:0;margin-top:.55pt;width:82pt;height:123pt;z-index:-251651584;visibility:visible" wrapcoords="-198 0 -198 21468 21600 21468 21600 0 -198 0">
            <v:imagedata r:id="rId53" o:title=""/>
            <w10:wrap type="tight"/>
          </v:shape>
        </w:pict>
      </w:r>
      <w:r>
        <w:rPr>
          <w:b/>
          <w:noProof/>
          <w:sz w:val="21"/>
          <w:szCs w:val="21"/>
        </w:rPr>
        <w:t>Angela H. Smith</w:t>
      </w:r>
      <w:r>
        <w:rPr>
          <w:sz w:val="21"/>
          <w:szCs w:val="21"/>
        </w:rPr>
        <w:t xml:space="preserve"> is a partner with Moore Ingram Johnson &amp; Steele, LLP, specializing in insurance defense litigation and coverage issues.  She is also the firm’s intellectual property partner.</w:t>
      </w:r>
    </w:p>
    <w:p>
      <w:pPr>
        <w:pBdr>
          <w:top w:val="single" w:sz="4" w:space="1" w:color="auto"/>
          <w:left w:val="single" w:sz="4" w:space="4" w:color="auto"/>
          <w:bottom w:val="single" w:sz="4" w:space="1" w:color="auto"/>
          <w:right w:val="single" w:sz="4" w:space="4" w:color="auto"/>
        </w:pBdr>
        <w:shd w:val="clear" w:color="auto" w:fill="81BAC5"/>
        <w:spacing w:after="0"/>
        <w:jc w:val="both"/>
      </w:pPr>
    </w:p>
    <w:p>
      <w:pPr>
        <w:jc w:val="both"/>
      </w:pPr>
    </w:p>
    <w:p>
      <w:pPr>
        <w:pStyle w:val="BodyTextFirstIndent"/>
      </w:pPr>
      <w:r>
        <w:t>This article will provide an overview of the major developments in the area of construction law in Georgia over the past year with a focus on the recent decisions of Georgia Appellate Courts.  The article will address recent changes or notable decisions regarding insurance coverage for construction claims, construction contracts and their impact on the relationship of parties to those contracts, the Right to Repair Act, and will specifically discuss the interaction of contribution, indemnity and apportionment in relationships between general contractors, subcontractors, developers and property owners.</w:t>
      </w:r>
    </w:p>
    <w:p>
      <w:pPr>
        <w:pStyle w:val="BodyText"/>
        <w:ind w:left="720" w:hanging="720"/>
        <w:jc w:val="left"/>
        <w:rPr>
          <w:b/>
        </w:rPr>
      </w:pPr>
      <w:r>
        <w:rPr>
          <w:b/>
        </w:rPr>
        <w:t>I.</w:t>
      </w:r>
      <w:r>
        <w:rPr>
          <w:b/>
        </w:rPr>
        <w:tab/>
        <w:t>Court of Appeals Broadens Definition of “Occurrence” to Include Construction Defects</w:t>
      </w:r>
    </w:p>
    <w:p>
      <w:pPr>
        <w:pStyle w:val="BodyTextFirstIndent"/>
      </w:pPr>
      <w:r>
        <w:t xml:space="preserve">The Georgia Supreme Court recently addressed the definition of an “occurrence”, as appearing in a standard Commercial General Liability (“CGL”) policy of insurance, as that term relates to property </w:t>
      </w:r>
      <w:r>
        <w:lastRenderedPageBreak/>
        <w:t>damage associated with defective construction.</w:t>
      </w:r>
      <w:r>
        <w:rPr>
          <w:rStyle w:val="EndnoteReference"/>
          <w:rFonts w:ascii="Century Schoolbook" w:hAnsi="Century Schoolbook"/>
        </w:rPr>
        <w:endnoteReference w:id="1173"/>
      </w:r>
      <w:r>
        <w:t xml:space="preserve">  Without the existence of additional exclusions, such as the “Your Work” exclusion contained in business risk exclusions, damage to the insured’s completed work constitutes an occurrence under a standard CGL policy.</w:t>
      </w:r>
    </w:p>
    <w:p>
      <w:pPr>
        <w:pStyle w:val="BodyTextFirstIndent"/>
      </w:pPr>
      <w:r>
        <w:t xml:space="preserve">The case involved a class action brought by out of state property owners who alleged that a homebuilder had improperly constructed concrete foundations.  The homebuilder’s insurance carrier filed a declaratory judgment action in the Northern District of Georgia seeking a ruling that the defective construction was not an “occurrence” as it impacted only the work of the insured.  The Northern District issued a declaratory judgment to that effect and the homebuilder appealed.  </w:t>
      </w:r>
    </w:p>
    <w:p>
      <w:pPr>
        <w:pStyle w:val="BodyTextFirstIndent"/>
      </w:pPr>
      <w:r>
        <w:t>In answering a certified question from the U.S. Court of Appeals for the Eleventh Circuit,</w:t>
      </w:r>
      <w:r>
        <w:rPr>
          <w:rStyle w:val="EndnoteReference"/>
          <w:rFonts w:ascii="Century Schoolbook" w:hAnsi="Century Schoolbook"/>
        </w:rPr>
        <w:endnoteReference w:id="1174"/>
      </w:r>
      <w:r>
        <w:t xml:space="preserve"> the Georgia Supreme Court held that the finding of an “occurrence” under a policy of insurance does not require a determination that the property or work of someone other than the insured was damaged.  In so doing, the Supreme Court brought Georgia in line with the majority of jurisdictions addressing the issue.  </w:t>
      </w:r>
    </w:p>
    <w:p>
      <w:pPr>
        <w:pStyle w:val="BodyTextFirstIndent"/>
      </w:pPr>
      <w:r>
        <w:t xml:space="preserve">The Court went on to explain that an “occurrence” is, by its nature, accidental, and, thus, intentional </w:t>
      </w:r>
      <w:r>
        <w:lastRenderedPageBreak/>
        <w:t xml:space="preserve">actions, such as fraud, would not constitute an “occurrence”.  Moreover, the decision was not meant to undermine provisions in a policy tending to limit the insurer’s liability for property damage or bodily injury.  </w:t>
      </w:r>
    </w:p>
    <w:p>
      <w:pPr>
        <w:pStyle w:val="BodyTextFirstIndent"/>
      </w:pPr>
      <w:r>
        <w:t>The Court held that limitations on liability must be read independently from the threshold issue of whether or not there was an “occurrence”, meaning a business risk coverage exclusion could still apply to exclude coverage for defective construction even where that construction was an “occurrence”.  Not until the entire policy is analyzed and met does an insurer have liability for the acts or omissions of its insured, even where there is an “occurrence”.</w:t>
      </w:r>
    </w:p>
    <w:p>
      <w:pPr>
        <w:pStyle w:val="BodyText"/>
        <w:ind w:left="720" w:hanging="720"/>
        <w:jc w:val="left"/>
        <w:rPr>
          <w:b/>
        </w:rPr>
      </w:pPr>
      <w:r>
        <w:rPr>
          <w:b/>
        </w:rPr>
        <w:t>II.</w:t>
      </w:r>
      <w:r>
        <w:rPr>
          <w:b/>
        </w:rPr>
        <w:tab/>
        <w:t>Contracts for Construction and Contracts Between General Contractors and Subcontractors Will Be Interpreted Based On The Clear and Unambiguous Language Contained in Those Contracts</w:t>
      </w:r>
    </w:p>
    <w:p>
      <w:pPr>
        <w:pStyle w:val="BodyTextFirstIndent"/>
      </w:pPr>
      <w:r>
        <w:t>Georgia Courts have addressed contract terms and, in keeping with Georgia’s traditional strict adherence to contractual terms, found that the plain language of a contract would control and any ambiguity would be resolved against the drafter.</w:t>
      </w:r>
    </w:p>
    <w:p>
      <w:pPr>
        <w:pStyle w:val="BodyText"/>
        <w:ind w:left="720" w:hanging="720"/>
        <w:jc w:val="left"/>
        <w:rPr>
          <w:b/>
        </w:rPr>
      </w:pPr>
      <w:r>
        <w:rPr>
          <w:b/>
        </w:rPr>
        <w:t>III.</w:t>
      </w:r>
      <w:r>
        <w:rPr>
          <w:b/>
        </w:rPr>
        <w:tab/>
        <w:t>Terms Used in a Contract Must Be Specific and Distinct to Avoid Ambiguity</w:t>
      </w:r>
    </w:p>
    <w:p>
      <w:pPr>
        <w:pStyle w:val="BodyTextFirstIndent"/>
      </w:pPr>
      <w:r>
        <w:t xml:space="preserve">The Georgia Court of Appeals recently considered a case where a subcontractor sued a general contractor for terminating the </w:t>
      </w:r>
      <w:r>
        <w:lastRenderedPageBreak/>
        <w:t>subcontract on the basis of alleged safety violations by the subcontractor.</w:t>
      </w:r>
      <w:r>
        <w:rPr>
          <w:rStyle w:val="EndnoteReference"/>
          <w:rFonts w:ascii="Century Schoolbook" w:hAnsi="Century Schoolbook"/>
        </w:rPr>
        <w:endnoteReference w:id="1175"/>
      </w:r>
    </w:p>
    <w:p>
      <w:pPr>
        <w:pStyle w:val="BodyTextFirstIndent"/>
      </w:pPr>
      <w:r>
        <w:t>The general contractor contracted with the Metropolitan Atlanta Rapid Transit Authority (“MARTA”) to repair escalators in MARTA stations throughout metro-Atlanta.  The general contractor contracted out certain electrical work to the subcontractor.  Nearly two years into the project, MARTA began to cite the subcontractor for violations of certain safety conditions.  After four such alleged violations, MARTA met with the general contractor and revoked the subcontractor’s access to the project.</w:t>
      </w:r>
    </w:p>
    <w:p>
      <w:pPr>
        <w:pStyle w:val="BodyTextFirstIndent"/>
      </w:pPr>
      <w:r>
        <w:t>Soon after the meeting revoking the subcontractor’s access to the project, the general contractor sent a letter to the subcontractor referencing “repeated” problems.  A few days later, MARTA directed the general contractor to remove the subcontractor from the project.  The general contractor did so and suit commenced.</w:t>
      </w:r>
    </w:p>
    <w:p>
      <w:pPr>
        <w:pStyle w:val="BodyTextFirstIndent"/>
      </w:pPr>
      <w:r>
        <w:t>At issue was a provision of the Subcontract that provided:</w:t>
      </w:r>
    </w:p>
    <w:p>
      <w:pPr>
        <w:pStyle w:val="BodyText"/>
        <w:ind w:left="720" w:right="720"/>
      </w:pPr>
      <w:r>
        <w:t xml:space="preserve">If the Subcontractor repeatedly fails or neglects to carry out the Work in accordance with the Subcontract Documents or otherwise to perform in accordance with this Subcontract and fails within a ten-day period after receipt of written notice to commence and continue correction of such default or neglect with diligence and promptness, the </w:t>
      </w:r>
      <w:r>
        <w:lastRenderedPageBreak/>
        <w:t>Contractor may have, terminate the Subcontract and finish the Subcontractor’s Work by whatever method the Contractor may deem expedient. . . ..</w:t>
      </w:r>
    </w:p>
    <w:p>
      <w:pPr>
        <w:pStyle w:val="BodyTextFirstIndent"/>
      </w:pPr>
      <w:r>
        <w:t xml:space="preserve">The general contractor argued that these terms justified termination of the subcontractor, and the trial court agreed granting summary judgment.  The Court of Appeals reversed and held that the question of whether or not the subcontractor had “repeatedly” failed to carry out its work was one for the jury.  </w:t>
      </w:r>
    </w:p>
    <w:p>
      <w:pPr>
        <w:pStyle w:val="BodyTextFirstIndent"/>
      </w:pPr>
      <w:r>
        <w:t>The Court noted that the term “Repeatedly” was not defined.  Furthermore, “Repeatedly” had no “usual and common significance.”  Thus, it would be for the trier of fact to decide whether the four violations constituted “repeated” failures.  The issue could not be decided on summary judgment.</w:t>
      </w:r>
    </w:p>
    <w:p>
      <w:pPr>
        <w:pStyle w:val="BodyText"/>
        <w:ind w:left="720" w:hanging="720"/>
        <w:jc w:val="left"/>
        <w:rPr>
          <w:b/>
        </w:rPr>
      </w:pPr>
      <w:r>
        <w:rPr>
          <w:b/>
        </w:rPr>
        <w:t>IV.</w:t>
      </w:r>
      <w:r>
        <w:rPr>
          <w:b/>
        </w:rPr>
        <w:tab/>
        <w:t>Where the Contract Terms Are Clear, Strict Compliance Is Necessary</w:t>
      </w:r>
    </w:p>
    <w:p>
      <w:pPr>
        <w:pStyle w:val="BodyTextFirstIndent"/>
      </w:pPr>
      <w:r>
        <w:t xml:space="preserve">On the flip-side of the </w:t>
      </w:r>
      <w:r>
        <w:rPr>
          <w:i/>
        </w:rPr>
        <w:t xml:space="preserve">Hope Electric </w:t>
      </w:r>
      <w:r>
        <w:t>case is a decision by the Court of Appeals interpreting a notice provision in construction contracts.</w:t>
      </w:r>
      <w:r>
        <w:rPr>
          <w:rStyle w:val="EndnoteReference"/>
          <w:rFonts w:ascii="Century Schoolbook" w:hAnsi="Century Schoolbook"/>
        </w:rPr>
        <w:endnoteReference w:id="1176"/>
      </w:r>
      <w:r>
        <w:t xml:space="preserve">  In </w:t>
      </w:r>
      <w:r>
        <w:rPr>
          <w:i/>
        </w:rPr>
        <w:t>Western Surety Co. v. Department of Transp.</w:t>
      </w:r>
      <w:r>
        <w:t>, the Court considered a surety’s claim for breach of contract and violation of the Georgia Prompt Payment Act and held that, since the surety failed to strictly comply with the notice provisions of the contract, the trial court properly entered summary judgment.</w:t>
      </w:r>
    </w:p>
    <w:p>
      <w:pPr>
        <w:pStyle w:val="BodyTextFirstIndent"/>
      </w:pPr>
      <w:r>
        <w:lastRenderedPageBreak/>
        <w:t>The Department of Transportation (“DOT”) entered into a contract with a contractor for work on U.S. Highway 27.  The surety issued performance and payment bonds to the DOT.  After execution of the contract, the contractor encountered increased costs for materials, specifically asphalt and other petroleum-related materials.  This increase in cost led to substantial financial difficulties for the contractor, which, in turn, led to the surety providing funding to the contractor.</w:t>
      </w:r>
    </w:p>
    <w:p>
      <w:pPr>
        <w:pStyle w:val="BodyTextFirstIndent"/>
      </w:pPr>
      <w:r>
        <w:t>Ultimately, the contractor voluntarily abandoned the project, causing the DOT to place the contractor in default and notify the surety to take over the work.  The surety sent notice to the DOT of claims related to the increased material costs and elected to not take over the project.  The surety sued for breach of contract and payment under the Prompt Pay Act.</w:t>
      </w:r>
    </w:p>
    <w:p>
      <w:pPr>
        <w:pStyle w:val="BodyTextFirstIndent"/>
      </w:pPr>
      <w:r>
        <w:t xml:space="preserve">DOT filed a motion for summary judgment on the basis that the contractor and surety had failed to comply with the notice provision of the contract related to compensation for additional material costs, so the DOT did not violate the Prompt Pay Act.  The trial court agreed and entered partial summary judgment in favor of the DOT.  </w:t>
      </w:r>
    </w:p>
    <w:p>
      <w:pPr>
        <w:pStyle w:val="BodyTextFirstIndent"/>
      </w:pPr>
      <w:r>
        <w:t>The relevant section of the contract provided:</w:t>
      </w:r>
    </w:p>
    <w:p>
      <w:pPr>
        <w:pStyle w:val="BodyText"/>
        <w:ind w:left="720" w:right="720"/>
      </w:pPr>
      <w:r>
        <w:t xml:space="preserve">NOTICE OF POTENTIAL CLAIMS:  In any case, in which the Contractor believes that it will be entitled to additional compensation, </w:t>
      </w:r>
      <w:r>
        <w:lastRenderedPageBreak/>
        <w:t xml:space="preserve">the Contractor shall notify the Engineer in writing of its intent to claim such additional compensation.  Such notice shall be given in order that the Department can assess the situation, make an initial determination as to who is responsible, and institute appropriate changes or procedures to resolve the matter. </w:t>
      </w:r>
    </w:p>
    <w:p>
      <w:pPr>
        <w:pStyle w:val="BodyText"/>
        <w:ind w:left="1440" w:right="720" w:hanging="720"/>
      </w:pPr>
      <w:r>
        <w:t>a.</w:t>
      </w:r>
      <w:r>
        <w:tab/>
        <w:t xml:space="preserve"> Claims for Delay—The Department shall have no liability for any delay which occurred more than one week prior to the filing of such written notice.  Failure of the Contractor to give such written notice in a timely fashion will be grounds for denial of the claim.</w:t>
      </w:r>
    </w:p>
    <w:p>
      <w:pPr>
        <w:pStyle w:val="BodyText"/>
        <w:ind w:left="1440" w:right="720" w:hanging="720"/>
      </w:pPr>
      <w:r>
        <w:t>b.</w:t>
      </w:r>
      <w:r>
        <w:tab/>
        <w:t xml:space="preserve">All Other Claims Except Acceleration and Delay—If the Contractor does not file such written notice before beginning the work out of which such claim arises, then the Contractor hereby agrees that it shall have waived any </w:t>
      </w:r>
      <w:r>
        <w:lastRenderedPageBreak/>
        <w:t>additional compensation for that work and the Contractor shall have no claim thereto.</w:t>
      </w:r>
    </w:p>
    <w:p>
      <w:pPr>
        <w:pStyle w:val="BodyTextFirstIndent"/>
      </w:pPr>
      <w:r>
        <w:t>While the contract specifically provided for recoverable damages associated with “documented additional costs for materials” neither the contractor, nor the surety, provided notice to the DOT as provided in the contract.  The surety argued that the DOT had a pattern and practice of discouraging contractors from filing notice of claims, while still reimbursing those contractors for additional costs.  There was testimony that the contractor, based on its involvement in previous DOT projects, did not want to file a notice of claim out of fear that the DOT would react negatively.</w:t>
      </w:r>
    </w:p>
    <w:p>
      <w:pPr>
        <w:pStyle w:val="BodyTextFirstIndent"/>
      </w:pPr>
      <w:r>
        <w:t>The Court of Appeals was unpersuaded.  It explained that the DOT had not given the contractor any affirmative indication that the notice provision did not need to be strictly complied with.  The DOT’s prior dealings with this contractor and other contractors was irrelevant to the contract for the project at issue.  The claims letters sent by the surety were substantially late under the terms of the contract.  The surety could not show that the DOT had knowledge of the potential for its claims prior to the surety’s notification.</w:t>
      </w:r>
    </w:p>
    <w:p>
      <w:pPr>
        <w:pStyle w:val="BodyTextFirstIndent"/>
      </w:pPr>
      <w:r>
        <w:t xml:space="preserve">The Court held that the surety did not comply with the contract, the DOT did not waive the notice provision of the contract and there was no excuse for the surety’s failure </w:t>
      </w:r>
      <w:r>
        <w:lastRenderedPageBreak/>
        <w:t>to comply with the contact.  Even in the face of substantial evidence related to the parties’ prior dealings and the DOT’s pattern and practice in general, the Court refused to look outside the contractor provisions and strictly interpreted the notice clause.</w:t>
      </w:r>
    </w:p>
    <w:p>
      <w:pPr>
        <w:pStyle w:val="BodyTextFirstIndent"/>
      </w:pPr>
      <w:r>
        <w:t xml:space="preserve">The upshot of these decisions is that the contract will always govern where it is clearly and unambiguously written.  Absent clear evidence of mutual disregard or variance from the contract terms </w:t>
      </w:r>
      <w:r>
        <w:rPr>
          <w:i/>
        </w:rPr>
        <w:t>on the project at issue</w:t>
      </w:r>
      <w:r>
        <w:t xml:space="preserve"> a Court will enforce the plain language of the contract.</w:t>
      </w:r>
    </w:p>
    <w:p>
      <w:pPr>
        <w:pStyle w:val="BodyText"/>
        <w:ind w:left="720" w:hanging="720"/>
        <w:rPr>
          <w:b/>
        </w:rPr>
      </w:pPr>
      <w:r>
        <w:rPr>
          <w:b/>
        </w:rPr>
        <w:t>V.</w:t>
      </w:r>
      <w:r>
        <w:rPr>
          <w:b/>
        </w:rPr>
        <w:tab/>
        <w:t>Contribution, Indemnity, Apportion, the Common Law and You</w:t>
      </w:r>
    </w:p>
    <w:p>
      <w:pPr>
        <w:pStyle w:val="BodyTextFirstIndent"/>
      </w:pPr>
      <w:r>
        <w:t xml:space="preserve">The Georgia Tort Reform Act has been with us for nearly nine years now; however, the changes to the apportionment statute that it ushered in are still being analyzed and interpreted by Georgia Courts.  </w:t>
      </w:r>
    </w:p>
    <w:p>
      <w:pPr>
        <w:pStyle w:val="BodyTextFirstIndent"/>
      </w:pPr>
      <w:r>
        <w:t xml:space="preserve">The Tort Reform Act appeared to effectively do away with joint and several liability except in extremely limited circumstances.  Through case law, courts have determined that damages in civil cases must be apportioned amongst </w:t>
      </w:r>
      <w:r>
        <w:rPr>
          <w:i/>
        </w:rPr>
        <w:t>all</w:t>
      </w:r>
      <w:r>
        <w:t xml:space="preserve"> potentially at-fault parties regardless of whether or not they are party to the litigation.</w:t>
      </w:r>
      <w:r>
        <w:rPr>
          <w:rStyle w:val="EndnoteReference"/>
          <w:rFonts w:ascii="Century Schoolbook" w:hAnsi="Century Schoolbook"/>
        </w:rPr>
        <w:endnoteReference w:id="1177"/>
      </w:r>
    </w:p>
    <w:p>
      <w:pPr>
        <w:pStyle w:val="BodyTextFirstIndent"/>
      </w:pPr>
      <w:r>
        <w:t>Despite what appeared to be clear legislative intent to abolish contribution</w:t>
      </w:r>
      <w:r>
        <w:rPr>
          <w:rStyle w:val="EndnoteReference"/>
          <w:rFonts w:ascii="Century Schoolbook" w:hAnsi="Century Schoolbook"/>
        </w:rPr>
        <w:endnoteReference w:id="1178"/>
      </w:r>
      <w:r>
        <w:t xml:space="preserve"> and subsequent case law seeming to confirm the abolishment of contribution,</w:t>
      </w:r>
      <w:r>
        <w:rPr>
          <w:rStyle w:val="EndnoteReference"/>
          <w:rFonts w:ascii="Century Schoolbook" w:hAnsi="Century Schoolbook"/>
        </w:rPr>
        <w:endnoteReference w:id="1179"/>
      </w:r>
      <w:r>
        <w:t xml:space="preserve"> the contribution statute remained on the books.</w:t>
      </w:r>
      <w:r>
        <w:rPr>
          <w:rStyle w:val="EndnoteReference"/>
          <w:rFonts w:ascii="Century Schoolbook" w:hAnsi="Century Schoolbook"/>
        </w:rPr>
        <w:endnoteReference w:id="1180"/>
      </w:r>
      <w:r>
        <w:t xml:space="preserve">  In early 2013, the Georgia Court of Appeals struck fear in the hearts of defendants everywhere when it ruled that </w:t>
      </w:r>
      <w:r>
        <w:lastRenderedPageBreak/>
        <w:t>contribution was alive and well in Georgia.</w:t>
      </w:r>
    </w:p>
    <w:p>
      <w:pPr>
        <w:pStyle w:val="BodyTextFirstIndent"/>
      </w:pPr>
      <w:r>
        <w:t xml:space="preserve">In </w:t>
      </w:r>
      <w:r>
        <w:rPr>
          <w:i/>
        </w:rPr>
        <w:t>Zurich American Insurance Co. v. Heard</w:t>
      </w:r>
      <w:r>
        <w:rPr>
          <w:rStyle w:val="EndnoteReference"/>
          <w:rFonts w:ascii="Century Schoolbook" w:hAnsi="Century Schoolbook"/>
          <w:i/>
        </w:rPr>
        <w:endnoteReference w:id="1181"/>
      </w:r>
      <w:r>
        <w:t xml:space="preserve"> the Court of Appeals addressed a convoluted factual scenario.  A general contractor entered into a contract for the construction of a hotel.  The contract contained a provision that specifically permitted the general contractor to arbitrate disputes with the property owner separately from disputes with the architect.  After the construction, the property owner initiated an arbitration proceeding against the general contractor and the architect for various construction and design defects.  The general contractor moved to sever the actions under the above-mentioned contract terms and the architect was dismissed from the proceeding.</w:t>
      </w:r>
    </w:p>
    <w:p>
      <w:pPr>
        <w:pStyle w:val="BodyTextFirstIndent"/>
      </w:pPr>
      <w:r>
        <w:t>The general contractor proceeded to enter into a consent judgment with the property owner for $6.2 million, but the judgment provided that the general contractor was only responsible for $2.3 million of that amount.  The settlement agreement preserved the general contractor’s claims against the architect for contribution and/or indemnity (there was no contract between the general contractor and the architect).  The property owner settled with the architect for $100,000.00 in a separate proceeding.</w:t>
      </w:r>
    </w:p>
    <w:p>
      <w:pPr>
        <w:pStyle w:val="BodyTextFirstIndent"/>
      </w:pPr>
      <w:r>
        <w:t xml:space="preserve">The general contractor sued the architect for a multitude of reasons, including contribution and indemnity on the basis that the architect was a joint tortfeasor with the general contractor.  The architect moved for </w:t>
      </w:r>
      <w:r>
        <w:lastRenderedPageBreak/>
        <w:t>summary judgment, arguing that the apportionment statute had effectively abolished contribution.  The trial court granted summary judgment.  The Court of Appeals reversed.</w:t>
      </w:r>
    </w:p>
    <w:p>
      <w:pPr>
        <w:pStyle w:val="BodyTextFirstIndent"/>
      </w:pPr>
      <w:r>
        <w:t xml:space="preserve">The Court looked to the plain language of the statute and found that the term “trier of fact” must be construed literally.  Thus, since the damages paid by the parties to the case were done voluntarily and not as a result of a jury or judge ruling in favor of the plaintiff, the apportionment statute did not apply.  The Court went on to opine that the very existence of the contribution statute evidenced the legislature’s intent to leave upon actions for contribution, at least in certain circumstances.  Basically, after </w:t>
      </w:r>
      <w:r>
        <w:rPr>
          <w:i/>
        </w:rPr>
        <w:t>Zurich v. Heard</w:t>
      </w:r>
      <w:r>
        <w:t>, in the absence of a court proceeding determining damages, contribution is available among joint tortfeasors.</w:t>
      </w:r>
    </w:p>
    <w:p>
      <w:pPr>
        <w:pStyle w:val="BodyTextFirstIndent"/>
      </w:pPr>
      <w:r>
        <w:t xml:space="preserve">Only a few months after the </w:t>
      </w:r>
      <w:r>
        <w:rPr>
          <w:i/>
        </w:rPr>
        <w:t>Zurich v. Heard</w:t>
      </w:r>
      <w:r>
        <w:t xml:space="preserve"> decision, a separate panel of the Court of Appeals took up </w:t>
      </w:r>
      <w:r>
        <w:rPr>
          <w:i/>
        </w:rPr>
        <w:t>District Owners Ass’n, Inc. v. AMEC Envtl. &amp; Infrastructure, Inc.</w:t>
      </w:r>
      <w:r>
        <w:rPr>
          <w:rStyle w:val="EndnoteReference"/>
          <w:rFonts w:ascii="Century Schoolbook" w:hAnsi="Century Schoolbook"/>
          <w:i/>
        </w:rPr>
        <w:endnoteReference w:id="1182"/>
      </w:r>
      <w:r>
        <w:t xml:space="preserve">  The facts in </w:t>
      </w:r>
      <w:r>
        <w:rPr>
          <w:i/>
        </w:rPr>
        <w:t>District Owners v. AMEC</w:t>
      </w:r>
      <w:r>
        <w:t xml:space="preserve"> were substantially different from </w:t>
      </w:r>
      <w:r>
        <w:rPr>
          <w:i/>
        </w:rPr>
        <w:t>Zurich’s</w:t>
      </w:r>
      <w:r>
        <w:t xml:space="preserve">, but similarly convoluted.  </w:t>
      </w:r>
    </w:p>
    <w:p>
      <w:pPr>
        <w:pStyle w:val="BodyTextFirstIndent"/>
      </w:pPr>
      <w:r>
        <w:t xml:space="preserve">The plaintiff is </w:t>
      </w:r>
      <w:r>
        <w:rPr>
          <w:i/>
        </w:rPr>
        <w:t>District Owners</w:t>
      </w:r>
      <w:r>
        <w:t xml:space="preserve"> filed suit after falling thirty feet from a barrier wall at Atlantic Station.  The plaintiff was jogging in the neighborhood and jumped over a wall that he believed would grant him access to an adjacent parking deck.  Instead, he fell over thirty feet to the pavement below.  Plaintiff sued the owner of the property arguing that it should have erected a fence to prevent </w:t>
      </w:r>
      <w:r>
        <w:lastRenderedPageBreak/>
        <w:t>injuries such as his.  The property owner filed a third party complaint against a multitude of parties, including the architects and general contractors of the project.  The third party complaint sought  common-law indemnity and common-law apportionment from the third party defendants.</w:t>
      </w:r>
    </w:p>
    <w:p>
      <w:pPr>
        <w:pStyle w:val="BodyTextFirstIndent"/>
      </w:pPr>
      <w:r>
        <w:t>The third party defendants filed a motion to dismiss, arguing that common-law indemnity was nothing more than contribution masquerading under a different name and that there was no such thing as “common-law” apportionment in Georgia.  The trial court granted the motion and the property owner appealed.</w:t>
      </w:r>
    </w:p>
    <w:p>
      <w:pPr>
        <w:pStyle w:val="BodyTextFirstIndent"/>
      </w:pPr>
      <w:r>
        <w:t>The Court of Appeals affirmed the dismissal, holding that, in the absence of a contractual indemnity provision or the existence of vicarious liability between the parties, there is no indemnity between parties. The Court went on to hold that there is no separate cause of action for apportionment.  A party can assert a right to apportionment consistent with the statute, but cannot assert its own claim to recover damages based on apportionment.</w:t>
      </w:r>
    </w:p>
    <w:p>
      <w:pPr>
        <w:pStyle w:val="BodyTextFirstIndent"/>
      </w:pPr>
      <w:r>
        <w:t>This ruling clarified some of the uncertainty that had arisen from earlier rulings interpreting the apportionment statute.</w:t>
      </w:r>
      <w:r>
        <w:rPr>
          <w:rStyle w:val="EndnoteReference"/>
          <w:rFonts w:ascii="Century Schoolbook" w:hAnsi="Century Schoolbook"/>
        </w:rPr>
        <w:endnoteReference w:id="1183"/>
      </w:r>
      <w:r>
        <w:t xml:space="preserve">  The Court specifically reserved the right of contribution under Georgia law, but only in the extremely limited circumstances spelled out in the statute where apportionment </w:t>
      </w:r>
      <w:r>
        <w:rPr>
          <w:i/>
        </w:rPr>
        <w:t>otherwise</w:t>
      </w:r>
      <w:r>
        <w:t xml:space="preserve"> would not apply.</w:t>
      </w:r>
    </w:p>
    <w:p>
      <w:pPr>
        <w:pStyle w:val="BodyTextFirstIndent"/>
      </w:pPr>
      <w:r>
        <w:t xml:space="preserve">On their faces, </w:t>
      </w:r>
      <w:r>
        <w:rPr>
          <w:i/>
        </w:rPr>
        <w:t>Zurich</w:t>
      </w:r>
      <w:r>
        <w:t xml:space="preserve"> and </w:t>
      </w:r>
      <w:r>
        <w:rPr>
          <w:i/>
        </w:rPr>
        <w:t>District Owners</w:t>
      </w:r>
      <w:r>
        <w:t xml:space="preserve"> appear to be in </w:t>
      </w:r>
      <w:r>
        <w:lastRenderedPageBreak/>
        <w:t xml:space="preserve">conflict.  On the one hand, contribution exists as long as there is no decision as to damages by a trier of fact; on the other hand, contribution (and, by extension, common-law indemnity) is abolished in the absence of a contractual or vicarious liability relationship.  Thus far, only one Court has applied these decisions to a different set of facts.  </w:t>
      </w:r>
    </w:p>
    <w:p>
      <w:pPr>
        <w:pStyle w:val="BodyTextFirstIndent"/>
      </w:pPr>
      <w:r>
        <w:t>Just a few weeks ago, the Northern District of Georgia considered a case where an insurer, as subrogee of a homeowner, brought suit for damages arising out of fire cause by a lightning strike that ignited case in a corrugated steel tubing (“CST”) running into a home.</w:t>
      </w:r>
      <w:r>
        <w:rPr>
          <w:rStyle w:val="EndnoteReference"/>
          <w:rFonts w:ascii="Century Schoolbook" w:hAnsi="Century Schoolbook"/>
        </w:rPr>
        <w:endnoteReference w:id="1184"/>
      </w:r>
      <w:r>
        <w:t xml:space="preserve">  The insurer sued the manufacturer of the CST and the manufacturer filed a third party complaint against the homebuilder and others.</w:t>
      </w:r>
    </w:p>
    <w:p>
      <w:pPr>
        <w:pStyle w:val="BodyTextFirstIndent"/>
      </w:pPr>
      <w:r>
        <w:t xml:space="preserve">Arguing that there was no contractual or agency relationship between the manufacturer and the homebuilder, the homebuilder filed a Motion for Judgment on Pleadings.  The Court, relying heavily on the decision in </w:t>
      </w:r>
      <w:r>
        <w:rPr>
          <w:i/>
        </w:rPr>
        <w:t>District Owners</w:t>
      </w:r>
      <w:r>
        <w:t xml:space="preserve"> granted the homebuilder’s motion finding there was no right of contribution or a basis for indemnity between the parties.  This decision may still be appealed to the Eleventh Circuit, which is not shy about certifying question to the Georgia Supreme Court.</w:t>
      </w:r>
    </w:p>
    <w:p>
      <w:pPr>
        <w:pStyle w:val="BodyTextFirstIndent"/>
      </w:pPr>
      <w:r>
        <w:t xml:space="preserve">The Supreme Court denied certiorari in both </w:t>
      </w:r>
      <w:r>
        <w:rPr>
          <w:i/>
        </w:rPr>
        <w:t>Zurich</w:t>
      </w:r>
      <w:r>
        <w:t xml:space="preserve"> and </w:t>
      </w:r>
      <w:r>
        <w:rPr>
          <w:i/>
        </w:rPr>
        <w:t xml:space="preserve">District Owners.  </w:t>
      </w:r>
      <w:r>
        <w:t>It will be difficult for it to ignore a direct inquiry from the Eleventh Circuit.</w:t>
      </w:r>
    </w:p>
    <w:p>
      <w:pPr>
        <w:pStyle w:val="BodyTextFirstIndent"/>
      </w:pPr>
    </w:p>
    <w:p>
      <w:pPr>
        <w:jc w:val="center"/>
        <w:rPr>
          <w:b/>
          <w:u w:val="single"/>
        </w:rPr>
      </w:pPr>
      <w:r>
        <w:rPr>
          <w:b/>
          <w:u w:val="single"/>
        </w:rPr>
        <w:lastRenderedPageBreak/>
        <w:t>End Notes</w:t>
      </w:r>
    </w:p>
    <w:p>
      <w:pPr>
        <w:jc w:val="both"/>
      </w:pPr>
    </w:p>
    <w:p>
      <w:pPr>
        <w:jc w:val="both"/>
        <w:sectPr>
          <w:endnotePr>
            <w:numFmt w:val="decimal"/>
            <w:numRestart w:val="eachSect"/>
          </w:endnotePr>
          <w:type w:val="continuous"/>
          <w:pgSz w:w="12240" w:h="15840" w:code="1"/>
          <w:pgMar w:top="1440" w:right="1440" w:bottom="1440" w:left="1440" w:header="720" w:footer="720" w:gutter="0"/>
          <w:cols w:num="2" w:space="720"/>
          <w:rtlGutter/>
          <w:docGrid w:linePitch="360"/>
        </w:sectPr>
      </w:pPr>
    </w:p>
    <w:p>
      <w:pPr>
        <w:pStyle w:val="Heading1"/>
      </w:pPr>
      <w:bookmarkStart w:id="268" w:name="_Toc387223627"/>
      <w:r>
        <w:lastRenderedPageBreak/>
        <w:t>Apportionment Verdicts:  Is This Real Life?</w:t>
      </w:r>
      <w:bookmarkEnd w:id="268"/>
    </w:p>
    <w:p/>
    <w:p>
      <w:pPr>
        <w:pStyle w:val="Author"/>
      </w:pPr>
      <w:r>
        <w:t>By: C. Shane Keith, Vice-Chair, GDLA Premises Liability Committee</w:t>
      </w:r>
    </w:p>
    <w:p>
      <w:pPr>
        <w:pStyle w:val="Author"/>
      </w:pPr>
      <w:r>
        <w:t>Hawkins Parnell Thackston &amp; Young, LLP</w:t>
      </w:r>
    </w:p>
    <w:p>
      <w:pPr>
        <w:pStyle w:val="Author"/>
      </w:pPr>
      <w:r>
        <w:t>Pamela N. Lee, Chair, Young Lawyers Committee</w:t>
      </w:r>
    </w:p>
    <w:p>
      <w:pPr>
        <w:pStyle w:val="Author"/>
      </w:pPr>
      <w:r>
        <w:t>Swift Currie McGhee and Hiers, LLP</w:t>
      </w:r>
    </w:p>
    <w:p>
      <w:pPr>
        <w:pStyle w:val="Author"/>
      </w:pPr>
    </w:p>
    <w:p>
      <w:pPr>
        <w:spacing w:after="240"/>
        <w:ind w:firstLine="720"/>
        <w:jc w:val="center"/>
        <w:sectPr>
          <w:endnotePr>
            <w:numFmt w:val="decimal"/>
          </w:endnotePr>
          <w:pgSz w:w="12240" w:h="15840"/>
          <w:pgMar w:top="1440" w:right="1440" w:bottom="1440" w:left="1440" w:header="720" w:footer="720" w:gutter="0"/>
          <w:cols w:space="720"/>
          <w:titlePg/>
          <w:docGrid w:linePitch="360"/>
        </w:sectPr>
      </w:pPr>
    </w:p>
    <w:p>
      <w:pPr>
        <w:pBdr>
          <w:top w:val="single" w:sz="4" w:space="1" w:color="auto"/>
          <w:left w:val="single" w:sz="4" w:space="4" w:color="auto"/>
          <w:bottom w:val="single" w:sz="4" w:space="1" w:color="auto"/>
          <w:right w:val="single" w:sz="4" w:space="4" w:color="auto"/>
        </w:pBdr>
        <w:shd w:val="clear" w:color="auto" w:fill="81BAC5"/>
        <w:spacing w:after="0"/>
        <w:jc w:val="both"/>
      </w:pPr>
      <w:r>
        <w:rPr>
          <w:noProof/>
        </w:rPr>
        <w:pict>
          <v:shape id="Picture 77" o:spid="_x0000_s1055" type="#_x0000_t75" alt="ShaneKeith" style="position:absolute;left:0;text-align:left;margin-left:0;margin-top:3.9pt;width:73.9pt;height:105.8pt;z-index:-251650560;visibility:visible" wrapcoords="-436 -306 -436 21753 22036 21753 22036 -306 -436 -306" stroked="t" strokeweight="1.5pt">
            <v:imagedata r:id="rId54" o:title=""/>
            <w10:wrap type="tight"/>
          </v:shape>
        </w:pict>
      </w:r>
      <w:r>
        <w:rPr>
          <w:b/>
        </w:rPr>
        <w:t>C. Shane Keith</w:t>
      </w:r>
      <w:r>
        <w:t xml:space="preserve"> is a partner with the law firm of Hawkins Parnell Thackston &amp; Young LLP and practices in the firm’s Atlanta office. He practices in the field of civil defense with an emphasis on premises liability, products liability and professional negligence. Mr. Keith graduated Auburn University in 1997, </w:t>
      </w:r>
      <w:r>
        <w:rPr>
          <w:i/>
        </w:rPr>
        <w:t>summa cum laude</w:t>
      </w:r>
      <w:r>
        <w:t>, and received his law degree in 2000 from Emory University, where he graduated with honors and was a member of the Order of the Coif.</w:t>
      </w:r>
    </w:p>
    <w:p>
      <w:pPr>
        <w:pBdr>
          <w:top w:val="single" w:sz="4" w:space="1" w:color="auto"/>
          <w:left w:val="single" w:sz="4" w:space="4" w:color="auto"/>
          <w:bottom w:val="single" w:sz="4" w:space="1" w:color="auto"/>
          <w:right w:val="single" w:sz="4" w:space="4" w:color="auto"/>
        </w:pBdr>
        <w:shd w:val="clear" w:color="auto" w:fill="81BAC5"/>
        <w:spacing w:after="0"/>
        <w:jc w:val="both"/>
      </w:pPr>
    </w:p>
    <w:p>
      <w:pPr>
        <w:pBdr>
          <w:top w:val="single" w:sz="4" w:space="1" w:color="auto"/>
          <w:left w:val="single" w:sz="4" w:space="4" w:color="auto"/>
          <w:bottom w:val="single" w:sz="4" w:space="1" w:color="auto"/>
          <w:right w:val="single" w:sz="4" w:space="4" w:color="auto"/>
        </w:pBdr>
        <w:shd w:val="clear" w:color="auto" w:fill="81BAC5"/>
        <w:spacing w:after="0"/>
      </w:pPr>
      <w:r>
        <w:rPr>
          <w:noProof/>
        </w:rPr>
        <w:pict>
          <v:shape id="Picture 78" o:spid="_x0000_s1056" type="#_x0000_t75" alt="PamelaLee" style="position:absolute;margin-left:0;margin-top:6.05pt;width:92.65pt;height:87.05pt;z-index:-251649536;visibility:visible" wrapcoords="-348 -372 -348 21786 21948 21786 21948 -372 -348 -372" stroked="t" strokeweight="1.5pt">
            <v:imagedata r:id="rId55" o:title=""/>
            <w10:wrap type="tight"/>
          </v:shape>
        </w:pict>
      </w:r>
      <w:r>
        <w:rPr>
          <w:b/>
        </w:rPr>
        <w:t xml:space="preserve">Pamela N. </w:t>
      </w:r>
      <w:r>
        <w:t>Lee is an associate with Swift, Currie, McGhee &amp; Hiers, LLP.  Ms. Lee graduated from College of William and Mary in 2003 and the Walter F. George School of Law at Mercer University in 2006.She practices in the firm's litigation section. Ms. Lee devotes her entire practice to litigation, including various tort liability litigation, insurance coverage disputes and the defense of insurance bad faith matters. Her liability practice is wide and varied including premises liability, products liability, escalator and elevator liability, automobile liability and general personal injury law.</w:t>
      </w:r>
    </w:p>
    <w:p>
      <w:pPr>
        <w:pStyle w:val="EndnoteText"/>
        <w:jc w:val="both"/>
        <w:rPr>
          <w:sz w:val="22"/>
          <w:szCs w:val="22"/>
        </w:rPr>
      </w:pPr>
    </w:p>
    <w:p>
      <w:pPr>
        <w:pStyle w:val="BodyTextFirstIndent"/>
        <w:rPr>
          <w:szCs w:val="22"/>
        </w:rPr>
      </w:pPr>
      <w:r>
        <w:rPr>
          <w:szCs w:val="22"/>
        </w:rPr>
        <w:t xml:space="preserve">It is a frequent refrain of defense lawyers, and likely all trial </w:t>
      </w:r>
      <w:r>
        <w:rPr>
          <w:szCs w:val="22"/>
        </w:rPr>
        <w:lastRenderedPageBreak/>
        <w:t>lawyers, to warn their clients regarding the unpredictability of a jury, made up of twelve strangers of diverse races, genders, educational levels, socioeconomic backgrounds, and general human experiences.  In Georgia, that has likely never been more true than under the current law requiring apportionment to all defendants and properly designated non-parties.  Passed in 2005, Senate Bill 3, what has become known as the “Georgia Tort Reform Act,” altered many aspects of the Georgia Code, including amendments to O.C.G.A. § 51-12-33, which now allows apportionment of fault, rather than the former scheme of joint and several liability.</w:t>
      </w:r>
      <w:r>
        <w:rPr>
          <w:szCs w:val="22"/>
          <w:vertAlign w:val="superscript"/>
        </w:rPr>
        <w:endnoteReference w:id="1185"/>
      </w:r>
      <w:r>
        <w:rPr>
          <w:szCs w:val="22"/>
        </w:rPr>
        <w:t xml:space="preserve">  Lauded by defense counsel, decried by the plaintiffs’ bar, the expectation was that this new statutory scheme would, or could, substantially reduce the amount each defendant, particularly less culpable defendants, would be saddled with paying after a jury trial.  However, particularly in cases involving </w:t>
      </w:r>
      <w:r>
        <w:t>apportionment</w:t>
      </w:r>
      <w:r>
        <w:rPr>
          <w:szCs w:val="22"/>
        </w:rPr>
        <w:t xml:space="preserve"> to third parties criminal assailants, few likely had any idea how the use of this statute would play out in the hands of varying juries.  The results have been, to put it mildly, mixed and following no apparent set pattern. </w:t>
      </w:r>
    </w:p>
    <w:p>
      <w:pPr>
        <w:pStyle w:val="BodyTextFirstIndent"/>
        <w:rPr>
          <w:szCs w:val="22"/>
        </w:rPr>
      </w:pPr>
      <w:r>
        <w:rPr>
          <w:szCs w:val="22"/>
        </w:rPr>
        <w:t xml:space="preserve"> Juries are doing some interesting, and varied, things with </w:t>
      </w:r>
      <w:r>
        <w:rPr>
          <w:szCs w:val="22"/>
        </w:rPr>
        <w:lastRenderedPageBreak/>
        <w:t xml:space="preserve">apportionment to third party criminal assailants that likely few in the defense bar saw coming.  If there was a thought that apportionment in these types of </w:t>
      </w:r>
      <w:r>
        <w:t>cases</w:t>
      </w:r>
      <w:r>
        <w:rPr>
          <w:szCs w:val="22"/>
        </w:rPr>
        <w:t xml:space="preserve"> would be a “slam dunk,” that is not proving true.  As will be discussed in more detail below, there have been instances where little to no liability or fault has been placed on a criminal assailant, a case where a plaintiff has been assigned more fault than her rapist, and other strange and, for the defenders of property owners, managers, and security companies, dismaying assignments of percentages of fault.</w:t>
      </w:r>
    </w:p>
    <w:p>
      <w:pPr>
        <w:pStyle w:val="BodyTextFirstIndent"/>
        <w:rPr>
          <w:szCs w:val="22"/>
        </w:rPr>
      </w:pPr>
      <w:r>
        <w:rPr>
          <w:szCs w:val="22"/>
        </w:rPr>
        <w:t xml:space="preserve">Perhaps juries are well aware that apportioning high </w:t>
      </w:r>
      <w:r>
        <w:t>percentages</w:t>
      </w:r>
      <w:r>
        <w:rPr>
          <w:szCs w:val="22"/>
        </w:rPr>
        <w:t xml:space="preserve"> of fault to criminal assailants, particularly unknown criminal assailants, will yield little to the victim and are drafting “results-based” numbers on their jury verdict forms to ensure a victim plaintiff recovers for the tort inflicted upon him or her.  Perhaps they understand, even if there is a known criminal assailant, that the criminal assailant is more than likely uninsured and has no assets to speak of.  Whatever their reasons, there have been several apportionments of fault which have left defense counsel explaining with renewed emphasis that one really does not know what a jury is going to do.  </w:t>
      </w:r>
    </w:p>
    <w:p>
      <w:pPr>
        <w:keepNext/>
        <w:keepLines/>
        <w:spacing w:after="240"/>
        <w:jc w:val="both"/>
        <w:rPr>
          <w:b/>
          <w:sz w:val="24"/>
          <w:szCs w:val="24"/>
        </w:rPr>
      </w:pPr>
      <w:r>
        <w:rPr>
          <w:b/>
          <w:sz w:val="24"/>
          <w:szCs w:val="24"/>
        </w:rPr>
        <w:t>Apportionment and Criminal Assailants</w:t>
      </w:r>
    </w:p>
    <w:p>
      <w:pPr>
        <w:pStyle w:val="BodyTextFirstIndent"/>
        <w:rPr>
          <w:szCs w:val="22"/>
        </w:rPr>
      </w:pPr>
      <w:r>
        <w:rPr>
          <w:szCs w:val="22"/>
        </w:rPr>
        <w:t xml:space="preserve"> Prior to 2005, joint and several liability was the law of the land in Georgia.  In cases involving criminal assailants, it really did not matter how much of the fault a jury thought lied with the actual </w:t>
      </w:r>
      <w:r>
        <w:t>criminal</w:t>
      </w:r>
      <w:r>
        <w:rPr>
          <w:szCs w:val="22"/>
        </w:rPr>
        <w:t xml:space="preserve"> </w:t>
      </w:r>
      <w:r>
        <w:rPr>
          <w:szCs w:val="22"/>
        </w:rPr>
        <w:lastRenderedPageBreak/>
        <w:t>perpetrating the crime.  If the co-defendant property owner, operator, or security company was found liable at all, that entity, if they had deep enough pockets, could and likely would be saddled with ponying up the entire amount of the verdict.  Along came tort reform, a new scheme by which a defendant would only be expected to pay for its own percentage of fault.</w:t>
      </w:r>
      <w:r>
        <w:rPr>
          <w:szCs w:val="22"/>
          <w:vertAlign w:val="superscript"/>
        </w:rPr>
        <w:endnoteReference w:id="1186"/>
      </w:r>
      <w:r>
        <w:rPr>
          <w:szCs w:val="22"/>
        </w:rPr>
        <w:t xml:space="preserve">  Of course, almost immediately, the onslaught from the plaintiff’s bar began attempting to limit and chip away at the statute’s positive effects for the defense bar in any way possible. </w:t>
      </w:r>
    </w:p>
    <w:p>
      <w:pPr>
        <w:pStyle w:val="BodyTextFirstIndent"/>
        <w:rPr>
          <w:i/>
          <w:szCs w:val="22"/>
        </w:rPr>
      </w:pPr>
      <w:r>
        <w:rPr>
          <w:szCs w:val="22"/>
        </w:rPr>
        <w:t xml:space="preserve">Whether apportionment to a criminal assailant would be permissible was not always set in stone.  After initial efforts to overturn the entire statute, attention was </w:t>
      </w:r>
      <w:r>
        <w:t>turned</w:t>
      </w:r>
      <w:r>
        <w:rPr>
          <w:szCs w:val="22"/>
        </w:rPr>
        <w:t xml:space="preserve"> to specific provisions of  O.C.G.A. § 51-12-33.  Whether fault could be apportioned to a criminal assailant became a hot topic, which was ultimately decided by the Georgia Supreme Court in 2012.</w:t>
      </w:r>
      <w:r>
        <w:rPr>
          <w:szCs w:val="22"/>
          <w:vertAlign w:val="superscript"/>
        </w:rPr>
        <w:endnoteReference w:id="1187"/>
      </w:r>
    </w:p>
    <w:p>
      <w:pPr>
        <w:pStyle w:val="BodyTextFirstIndent"/>
        <w:rPr>
          <w:i/>
          <w:szCs w:val="22"/>
        </w:rPr>
      </w:pPr>
      <w:r>
        <w:rPr>
          <w:szCs w:val="22"/>
        </w:rPr>
        <w:t>In 2009, Nairobi Couch was abducted, assaulted, and robbed at a Red Roof Inn location by unknown criminal assailants.</w:t>
      </w:r>
      <w:r>
        <w:rPr>
          <w:szCs w:val="22"/>
          <w:vertAlign w:val="superscript"/>
        </w:rPr>
        <w:endnoteReference w:id="1188"/>
      </w:r>
      <w:r>
        <w:rPr>
          <w:szCs w:val="22"/>
        </w:rPr>
        <w:t xml:space="preserve">  </w:t>
      </w:r>
      <w:r>
        <w:t>The</w:t>
      </w:r>
      <w:r>
        <w:rPr>
          <w:szCs w:val="22"/>
        </w:rPr>
        <w:t xml:space="preserve"> defendant property owner, Red Roof Inns, filed a </w:t>
      </w:r>
      <w:r>
        <w:rPr>
          <w:i/>
          <w:szCs w:val="22"/>
        </w:rPr>
        <w:t>Notice of Defendant’s Intention to Argue Fault of Non-Party pursuant to O.C.G.A. §51-12-33</w:t>
      </w:r>
      <w:r>
        <w:rPr>
          <w:szCs w:val="22"/>
        </w:rPr>
        <w:t>, in order to have the jury assign a percentage of fault to the unknown criminal assailants, thereby reducing the amount of exposure to the defendant.</w:t>
      </w:r>
      <w:r>
        <w:rPr>
          <w:szCs w:val="22"/>
          <w:vertAlign w:val="superscript"/>
        </w:rPr>
        <w:endnoteReference w:id="1189"/>
      </w:r>
      <w:r>
        <w:rPr>
          <w:szCs w:val="22"/>
        </w:rPr>
        <w:t xml:space="preserve">  Prior to trial, plaintiff filed a motion in limine in which she “challeng[ed] the applicability of apportionment . . . .”</w:t>
      </w:r>
      <w:r>
        <w:rPr>
          <w:szCs w:val="22"/>
          <w:vertAlign w:val="superscript"/>
        </w:rPr>
        <w:endnoteReference w:id="1190"/>
      </w:r>
      <w:r>
        <w:rPr>
          <w:szCs w:val="22"/>
        </w:rPr>
        <w:t xml:space="preserve">  The case was being heard by the United States District Court for the </w:t>
      </w:r>
      <w:r>
        <w:rPr>
          <w:szCs w:val="22"/>
        </w:rPr>
        <w:lastRenderedPageBreak/>
        <w:t>Northern District of Georgia, which certified several questions to the Supreme Court of Georgia, one of which was, “In a premises liability case in which the jury determines a defendant property owner negligently failed to prevent a foreseeable criminal attack, is the jury allowed to consider the ‘fault’ of the criminal assailant and apportion its award of damages among the property owner and the criminal assailant, pursuant to O.C.G.A. § 51-12-33?”</w:t>
      </w:r>
      <w:r>
        <w:rPr>
          <w:szCs w:val="22"/>
          <w:vertAlign w:val="superscript"/>
        </w:rPr>
        <w:endnoteReference w:id="1191"/>
      </w:r>
      <w:r>
        <w:rPr>
          <w:szCs w:val="22"/>
        </w:rPr>
        <w:t xml:space="preserve">  The Georgia Supreme Court responded in the affirmative, authorizing such apportionment to the criminal assailant.</w:t>
      </w:r>
      <w:r>
        <w:rPr>
          <w:szCs w:val="22"/>
          <w:vertAlign w:val="superscript"/>
        </w:rPr>
        <w:endnoteReference w:id="1192"/>
      </w:r>
    </w:p>
    <w:p>
      <w:pPr>
        <w:pStyle w:val="BodyTextFirstIndent"/>
        <w:rPr>
          <w:szCs w:val="22"/>
        </w:rPr>
      </w:pPr>
      <w:r>
        <w:rPr>
          <w:szCs w:val="22"/>
        </w:rPr>
        <w:t>The plaintiff put forth several policy reasons why apportionment should not have been permitted against the criminal tortfeasors.</w:t>
      </w:r>
      <w:r>
        <w:rPr>
          <w:szCs w:val="22"/>
          <w:vertAlign w:val="superscript"/>
        </w:rPr>
        <w:endnoteReference w:id="1193"/>
      </w:r>
      <w:r>
        <w:rPr>
          <w:szCs w:val="22"/>
        </w:rPr>
        <w:t xml:space="preserve">  First, the plaintiff argued that apportioning to the criminal assailant at all </w:t>
      </w:r>
      <w:r>
        <w:t>would</w:t>
      </w:r>
      <w:r>
        <w:rPr>
          <w:szCs w:val="22"/>
        </w:rPr>
        <w:t xml:space="preserve"> nullify a defendant property owner’s personal, non-delegable duty to keep their premises safe.</w:t>
      </w:r>
      <w:r>
        <w:rPr>
          <w:szCs w:val="22"/>
          <w:vertAlign w:val="superscript"/>
        </w:rPr>
        <w:endnoteReference w:id="1194"/>
      </w:r>
      <w:r>
        <w:rPr>
          <w:szCs w:val="22"/>
        </w:rPr>
        <w:t xml:space="preserve">  It was argued that because the landowner’s duty was non-delegable, apportionment should not be had. The Georgia Supreme Court dismissed this notion out of hand, stating simply that the “duty remains even where damages are apportioned.”</w:t>
      </w:r>
      <w:r>
        <w:rPr>
          <w:szCs w:val="22"/>
          <w:vertAlign w:val="superscript"/>
        </w:rPr>
        <w:endnoteReference w:id="1195"/>
      </w:r>
      <w:r>
        <w:rPr>
          <w:szCs w:val="22"/>
        </w:rPr>
        <w:t xml:space="preserve">  The juries hearing such cases since the </w:t>
      </w:r>
      <w:r>
        <w:rPr>
          <w:i/>
          <w:szCs w:val="22"/>
        </w:rPr>
        <w:t xml:space="preserve">Couch </w:t>
      </w:r>
      <w:r>
        <w:rPr>
          <w:szCs w:val="22"/>
        </w:rPr>
        <w:t xml:space="preserve">decision, have reinforced this as large percentages of fault have repeatedly been apportioned to the property owners.  </w:t>
      </w:r>
    </w:p>
    <w:p>
      <w:pPr>
        <w:pStyle w:val="BodyTextFirstIndent"/>
        <w:rPr>
          <w:szCs w:val="22"/>
        </w:rPr>
      </w:pPr>
      <w:r>
        <w:rPr>
          <w:szCs w:val="22"/>
        </w:rPr>
        <w:t>The Georgia Supreme Court’s focus was whether “intentional” conduct, such as that by the criminal assailant, was encompassed by the statute’s mandate of apportioning of “</w:t>
      </w:r>
      <w:r>
        <w:t>fault</w:t>
      </w:r>
      <w:r>
        <w:rPr>
          <w:szCs w:val="22"/>
        </w:rPr>
        <w:t>.”</w:t>
      </w:r>
      <w:r>
        <w:rPr>
          <w:szCs w:val="22"/>
          <w:vertAlign w:val="superscript"/>
        </w:rPr>
        <w:endnoteReference w:id="1196"/>
      </w:r>
      <w:r>
        <w:rPr>
          <w:szCs w:val="22"/>
        </w:rPr>
        <w:t xml:space="preserve">  The Georgia Supreme Court </w:t>
      </w:r>
      <w:r>
        <w:rPr>
          <w:szCs w:val="22"/>
        </w:rPr>
        <w:lastRenderedPageBreak/>
        <w:t>found that intentional conduct was encompassed, as it still made the defendant “answerable in law” to the plaintiff, even if the conduct was not negligent.</w:t>
      </w:r>
      <w:r>
        <w:rPr>
          <w:szCs w:val="22"/>
          <w:vertAlign w:val="superscript"/>
        </w:rPr>
        <w:endnoteReference w:id="1197"/>
      </w:r>
    </w:p>
    <w:p>
      <w:pPr>
        <w:pStyle w:val="BodyTextFirstIndent"/>
        <w:rPr>
          <w:szCs w:val="22"/>
        </w:rPr>
      </w:pPr>
      <w:r>
        <w:rPr>
          <w:szCs w:val="22"/>
        </w:rPr>
        <w:t xml:space="preserve">The plaintiff argued additional policy reasons why apportionment against a criminal assailant should not be permitted, none of </w:t>
      </w:r>
      <w:r>
        <w:t>which</w:t>
      </w:r>
      <w:r>
        <w:rPr>
          <w:szCs w:val="22"/>
        </w:rPr>
        <w:t xml:space="preserve"> persuaded the majority of the justices of the Supreme Court.  </w:t>
      </w:r>
    </w:p>
    <w:p>
      <w:pPr>
        <w:pStyle w:val="BodyTextFirstIndent"/>
        <w:rPr>
          <w:szCs w:val="22"/>
        </w:rPr>
      </w:pPr>
      <w:r>
        <w:rPr>
          <w:szCs w:val="22"/>
        </w:rPr>
        <w:t>The issue was deemed to be so important that both the Georgia Defense Lawyers Association (“GDLA”) and two law professors, Thomas Eaton and Michael Wells, filed amicus curiae briefs, taking separate sides of the issue.</w:t>
      </w:r>
      <w:r>
        <w:rPr>
          <w:szCs w:val="22"/>
          <w:vertAlign w:val="superscript"/>
        </w:rPr>
        <w:endnoteReference w:id="1198"/>
      </w:r>
      <w:r>
        <w:rPr>
          <w:szCs w:val="22"/>
        </w:rPr>
        <w:t xml:space="preserve">  </w:t>
      </w:r>
    </w:p>
    <w:p>
      <w:pPr>
        <w:pStyle w:val="BodyTextFirstIndent"/>
        <w:rPr>
          <w:szCs w:val="22"/>
        </w:rPr>
      </w:pPr>
      <w:r>
        <w:rPr>
          <w:szCs w:val="22"/>
        </w:rPr>
        <w:t xml:space="preserve">Citing the “gross inequity” in the joint and several liability system, the brief filed by GDLA </w:t>
      </w:r>
      <w:r>
        <w:t>correctly</w:t>
      </w:r>
      <w:r>
        <w:rPr>
          <w:szCs w:val="22"/>
        </w:rPr>
        <w:t xml:space="preserve"> asserted that “[a]pportionment of fault . . . reflects the General Assembly’s public policy determination that a defendant should pay only for the consequences of its own tortious act or omission and not for the tortious act or omission of others.”</w:t>
      </w:r>
      <w:r>
        <w:rPr>
          <w:szCs w:val="22"/>
          <w:vertAlign w:val="superscript"/>
        </w:rPr>
        <w:endnoteReference w:id="1199"/>
      </w:r>
      <w:r>
        <w:rPr>
          <w:szCs w:val="22"/>
        </w:rPr>
        <w:t xml:space="preserve">  While this is true in theory and persuaded the Georgia Supreme Court, in reality juries have apparently become aware the criminal assailants have no likely recoverable funds and that a </w:t>
      </w:r>
      <w:r>
        <w:rPr>
          <w:i/>
          <w:szCs w:val="22"/>
        </w:rPr>
        <w:t>de facto</w:t>
      </w:r>
      <w:r>
        <w:rPr>
          <w:szCs w:val="22"/>
        </w:rPr>
        <w:t xml:space="preserve"> joint and several liability, by apportioning much to the property owner and little to the criminal assailant, is the only way to insure recovery by the (usually) sympathetic plaintiff.   </w:t>
      </w:r>
    </w:p>
    <w:p>
      <w:pPr>
        <w:pStyle w:val="BodyTextFirstIndent"/>
        <w:rPr>
          <w:szCs w:val="22"/>
        </w:rPr>
      </w:pPr>
      <w:r>
        <w:rPr>
          <w:szCs w:val="22"/>
        </w:rPr>
        <w:t xml:space="preserve">After the move from joint and several liability to the equitable apportionment allowed for by the adoption of the apportion statute, it </w:t>
      </w:r>
      <w:r>
        <w:rPr>
          <w:szCs w:val="22"/>
        </w:rPr>
        <w:lastRenderedPageBreak/>
        <w:t xml:space="preserve">was unclear if juries would place more of the fault or blame </w:t>
      </w:r>
      <w:r>
        <w:t>for</w:t>
      </w:r>
      <w:r>
        <w:rPr>
          <w:szCs w:val="22"/>
        </w:rPr>
        <w:t xml:space="preserve"> third-party criminal attacks on the actual attacker or continue to hold the property owner primarily liable. Now, almost nine years after the implementation of the apportionment statute, the answer to that question remains unclear.</w:t>
      </w:r>
    </w:p>
    <w:p>
      <w:pPr>
        <w:pStyle w:val="BodyTextFirstIndent"/>
        <w:rPr>
          <w:szCs w:val="22"/>
        </w:rPr>
      </w:pPr>
      <w:r>
        <w:rPr>
          <w:szCs w:val="22"/>
        </w:rPr>
        <w:t>In this article, we will examine three cases involving third-party criminal attacks that have gone to verdict in Georgia since the implementation of the apportionment statute.  Ironically, all of the analyzed cases were tried in the same court: the State Court of DeKalb County (albeit in front of different judges).  The results are remarkably divergent and confirm that there is no hard and fast rule under the apportionment statute.</w:t>
      </w:r>
    </w:p>
    <w:p>
      <w:pPr>
        <w:spacing w:after="240"/>
        <w:jc w:val="both"/>
        <w:rPr>
          <w:sz w:val="24"/>
          <w:szCs w:val="24"/>
        </w:rPr>
      </w:pPr>
      <w:r>
        <w:rPr>
          <w:b/>
          <w:i/>
          <w:sz w:val="24"/>
          <w:szCs w:val="24"/>
        </w:rPr>
        <w:t>Herrera v. Miles Properties, Inc.</w:t>
      </w:r>
      <w:r>
        <w:rPr>
          <w:b/>
          <w:sz w:val="24"/>
          <w:szCs w:val="24"/>
        </w:rPr>
        <w:t>, State Court of DeKalb County, Civil Action File No. 08A83964-6.</w:t>
      </w:r>
    </w:p>
    <w:p>
      <w:pPr>
        <w:pStyle w:val="BodyTextFirstIndent"/>
        <w:rPr>
          <w:szCs w:val="22"/>
        </w:rPr>
      </w:pPr>
      <w:r>
        <w:rPr>
          <w:i/>
          <w:szCs w:val="22"/>
        </w:rPr>
        <w:t>Herrera</w:t>
      </w:r>
      <w:r>
        <w:rPr>
          <w:szCs w:val="22"/>
        </w:rPr>
        <w:t xml:space="preserve"> arose from the June 7, 2005 shooting of Wesley Hagan by Jarvis Floyd on the premises of the Stanford Oaks Apartments.</w:t>
      </w:r>
      <w:r>
        <w:rPr>
          <w:rStyle w:val="EndnoteReference"/>
          <w:szCs w:val="22"/>
        </w:rPr>
        <w:endnoteReference w:id="1200"/>
      </w:r>
      <w:r>
        <w:rPr>
          <w:szCs w:val="22"/>
        </w:rPr>
        <w:t xml:space="preserve">  Mr. Hagan was shot in the head and subsequently died on July 3, 2005 of injuries related to the shooting.</w:t>
      </w:r>
      <w:r>
        <w:rPr>
          <w:rStyle w:val="EndnoteReference"/>
          <w:szCs w:val="22"/>
        </w:rPr>
        <w:endnoteReference w:id="1201"/>
      </w:r>
    </w:p>
    <w:p>
      <w:pPr>
        <w:pStyle w:val="BodyTextFirstIndent"/>
        <w:rPr>
          <w:szCs w:val="22"/>
        </w:rPr>
      </w:pPr>
      <w:r>
        <w:rPr>
          <w:szCs w:val="22"/>
        </w:rPr>
        <w:t>At trial, the plaintiff contended that the Stanford Oaks Apartments, which were located in Tucker, Georgia, was a “problem complex” with a serious history of crime, with management that did not take appropriate steps to remedy or thwart the criminal element, and with crimes that were occurring on the property.</w:t>
      </w:r>
      <w:r>
        <w:rPr>
          <w:rStyle w:val="EndnoteReference"/>
          <w:szCs w:val="22"/>
        </w:rPr>
        <w:endnoteReference w:id="1202"/>
      </w:r>
      <w:r>
        <w:rPr>
          <w:szCs w:val="22"/>
        </w:rPr>
        <w:t xml:space="preserve">  In the </w:t>
      </w:r>
      <w:r>
        <w:t>years</w:t>
      </w:r>
      <w:r>
        <w:rPr>
          <w:szCs w:val="22"/>
        </w:rPr>
        <w:t xml:space="preserve"> before the shooting, plaintiff contended “there were </w:t>
      </w:r>
      <w:r>
        <w:rPr>
          <w:szCs w:val="22"/>
        </w:rPr>
        <w:lastRenderedPageBreak/>
        <w:t>incidents of drug possession, drug dealing, criminal trespassing, firing weapons, break-ins and burglaries of apartments, and youths loitering on the property.”</w:t>
      </w:r>
      <w:r>
        <w:rPr>
          <w:rStyle w:val="EndnoteReference"/>
          <w:szCs w:val="22"/>
        </w:rPr>
        <w:endnoteReference w:id="1203"/>
      </w:r>
    </w:p>
    <w:p>
      <w:pPr>
        <w:pStyle w:val="BodyTextFirstIndent"/>
        <w:rPr>
          <w:szCs w:val="22"/>
        </w:rPr>
      </w:pPr>
      <w:r>
        <w:rPr>
          <w:szCs w:val="22"/>
        </w:rPr>
        <w:t>In 2002 and 2003, plaintiff contended that the defendant knew of “illegal drug activity, a lot of loitering (‘hanging out’) by teenagers, vandalism of vacant apartments and complaints of shots being fired.”</w:t>
      </w:r>
      <w:r>
        <w:rPr>
          <w:rStyle w:val="EndnoteReference"/>
          <w:szCs w:val="22"/>
        </w:rPr>
        <w:endnoteReference w:id="1204"/>
      </w:r>
    </w:p>
    <w:p>
      <w:pPr>
        <w:pStyle w:val="BodyTextFirstIndent"/>
        <w:rPr>
          <w:szCs w:val="22"/>
        </w:rPr>
      </w:pPr>
      <w:r>
        <w:rPr>
          <w:szCs w:val="22"/>
        </w:rPr>
        <w:t>According to plaintiff, between 2003 and 2005, the DeKalb County Police Department “received calls and had concerns from residents about people selling drugs at Stanford Oaks, including youths cutting school, drinking and smoking marijuana in the breezeways, break-ins, burglaries by people who did not stay on the property and a lot of people from the complex behind Stanford Oaks wooded areas coming there to loiter and hang out.”</w:t>
      </w:r>
      <w:r>
        <w:rPr>
          <w:rStyle w:val="EndnoteReference"/>
          <w:szCs w:val="22"/>
        </w:rPr>
        <w:endnoteReference w:id="1205"/>
      </w:r>
    </w:p>
    <w:p>
      <w:pPr>
        <w:pStyle w:val="BodyTextFirstIndent"/>
        <w:rPr>
          <w:szCs w:val="22"/>
        </w:rPr>
      </w:pPr>
      <w:r>
        <w:rPr>
          <w:szCs w:val="22"/>
        </w:rPr>
        <w:t>In March, 2005, the property manager made a request that both police and a security company be stationed there full time because there was so much crime and sent the residents at Stanford Oaks a letter which stated, “I have requested for a security company to monitor our community.”</w:t>
      </w:r>
      <w:r>
        <w:rPr>
          <w:rStyle w:val="EndnoteReference"/>
          <w:szCs w:val="22"/>
        </w:rPr>
        <w:endnoteReference w:id="1206"/>
      </w:r>
      <w:r>
        <w:rPr>
          <w:szCs w:val="22"/>
        </w:rPr>
        <w:t xml:space="preserve">  According to plaintiff, defendant’s district manager would not approve the property manager’s request for security because it was not in the budget. But, at the same time, defendant was in the process of doing renovation work on the property, and, according to plaintiff, “there was no problem getting money for other things at Stanford Oaks [and] [d]efendant sent several of its </w:t>
      </w:r>
      <w:r>
        <w:rPr>
          <w:szCs w:val="22"/>
        </w:rPr>
        <w:lastRenderedPageBreak/>
        <w:t>employees to the Bahamas as a reward for renting apartments.”</w:t>
      </w:r>
      <w:r>
        <w:rPr>
          <w:rStyle w:val="EndnoteReference"/>
          <w:szCs w:val="22"/>
        </w:rPr>
        <w:endnoteReference w:id="1207"/>
      </w:r>
    </w:p>
    <w:p>
      <w:pPr>
        <w:pStyle w:val="BodyTextFirstIndent"/>
        <w:rPr>
          <w:szCs w:val="22"/>
        </w:rPr>
      </w:pPr>
      <w:r>
        <w:rPr>
          <w:szCs w:val="22"/>
        </w:rPr>
        <w:t xml:space="preserve">In May 2005, an incident involving the courtesy officer occurred while she walking the property. The courtesy officer found a group of teens loitering in the laundry room smoking marijuana. When she confronted them, they made threats and “trapped” her in </w:t>
      </w:r>
      <w:r>
        <w:t>the</w:t>
      </w:r>
      <w:r>
        <w:rPr>
          <w:szCs w:val="22"/>
        </w:rPr>
        <w:t xml:space="preserve"> laundry room. She called 911 and two of the teens were detained. The following night, the door to the laundry room was torn off the hinges.</w:t>
      </w:r>
      <w:r>
        <w:rPr>
          <w:rStyle w:val="EndnoteReference"/>
          <w:szCs w:val="22"/>
        </w:rPr>
        <w:endnoteReference w:id="1208"/>
      </w:r>
    </w:p>
    <w:p>
      <w:pPr>
        <w:pStyle w:val="BodyTextFirstIndent"/>
        <w:rPr>
          <w:szCs w:val="22"/>
        </w:rPr>
      </w:pPr>
      <w:r>
        <w:rPr>
          <w:szCs w:val="22"/>
        </w:rPr>
        <w:t>During the second or third week of May 2005, the property manager informed the courtesy officer the manager felt that the officer was not doing her security work properly, and she was dissatisfied with her performance.</w:t>
      </w:r>
      <w:r>
        <w:rPr>
          <w:rStyle w:val="EndnoteReference"/>
          <w:szCs w:val="22"/>
        </w:rPr>
        <w:endnoteReference w:id="1209"/>
      </w:r>
      <w:r>
        <w:rPr>
          <w:szCs w:val="22"/>
        </w:rPr>
        <w:t xml:space="preserve"> plaintiff contended that at that time, defendant “had sufficient funds to place additional security personnel at Stanford Oaks in addition to its courtesy officer.”</w:t>
      </w:r>
      <w:r>
        <w:rPr>
          <w:rStyle w:val="EndnoteReference"/>
          <w:szCs w:val="22"/>
        </w:rPr>
        <w:endnoteReference w:id="1210"/>
      </w:r>
      <w:r>
        <w:rPr>
          <w:szCs w:val="22"/>
        </w:rPr>
        <w:t xml:space="preserve">  At the end of May, 2005, the courtesy officer quit because she did not get along with the property manager. Her last day of work was during the day of June 7, 2005, the same day that Wesley Hagan was attacked, shot and robbed.</w:t>
      </w:r>
      <w:r>
        <w:rPr>
          <w:rStyle w:val="EndnoteReference"/>
          <w:szCs w:val="22"/>
        </w:rPr>
        <w:endnoteReference w:id="1211"/>
      </w:r>
    </w:p>
    <w:p>
      <w:pPr>
        <w:pStyle w:val="BodyTextFirstIndent"/>
        <w:rPr>
          <w:szCs w:val="22"/>
        </w:rPr>
      </w:pPr>
      <w:r>
        <w:rPr>
          <w:szCs w:val="22"/>
        </w:rPr>
        <w:t>By contrast, the property management company contended that Wesley Hagan knew the two individuals involved in his shooting and that the attack was a targeted robbery.</w:t>
      </w:r>
      <w:r>
        <w:rPr>
          <w:rStyle w:val="EndnoteReference"/>
          <w:szCs w:val="22"/>
        </w:rPr>
        <w:endnoteReference w:id="1212"/>
      </w:r>
      <w:r>
        <w:rPr>
          <w:szCs w:val="22"/>
        </w:rPr>
        <w:t xml:space="preserve">  According to </w:t>
      </w:r>
      <w:r>
        <w:t>defendant</w:t>
      </w:r>
      <w:r>
        <w:rPr>
          <w:szCs w:val="22"/>
        </w:rPr>
        <w:t xml:space="preserve">, Wesley Hagan lived with his mother at the apartments prior to the shooting, and during that time, he came to know Jarvis Floyd and Derrick Porter, the two persons </w:t>
      </w:r>
      <w:r>
        <w:rPr>
          <w:szCs w:val="22"/>
        </w:rPr>
        <w:lastRenderedPageBreak/>
        <w:t>believed to be involved in the incident.</w:t>
      </w:r>
      <w:r>
        <w:rPr>
          <w:rStyle w:val="EndnoteReference"/>
          <w:szCs w:val="22"/>
        </w:rPr>
        <w:endnoteReference w:id="1213"/>
      </w:r>
    </w:p>
    <w:p>
      <w:pPr>
        <w:pStyle w:val="BodyTextFirstIndent"/>
        <w:rPr>
          <w:color w:val="000000"/>
          <w:szCs w:val="22"/>
        </w:rPr>
      </w:pPr>
      <w:r>
        <w:rPr>
          <w:color w:val="000000"/>
          <w:szCs w:val="22"/>
        </w:rPr>
        <w:t xml:space="preserve">Defendant contended that on the day of the incident, several of Wesley Hagan’s friends </w:t>
      </w:r>
      <w:r>
        <w:t>overheard</w:t>
      </w:r>
      <w:r>
        <w:rPr>
          <w:color w:val="000000"/>
          <w:szCs w:val="22"/>
        </w:rPr>
        <w:t xml:space="preserve"> Jarvis Floyd telling Derrick Porter that he wanted to know who might have some money, so he could rob them and Porter told Floyd that Wesley Hagan had money. After overhearing that Wesley Hagan was the target of a robbery, one of Hagan’s friends “told Wesley Hagan to be careful that evening.”</w:t>
      </w:r>
      <w:r>
        <w:rPr>
          <w:rStyle w:val="EndnoteReference"/>
          <w:color w:val="000000"/>
          <w:szCs w:val="22"/>
        </w:rPr>
        <w:endnoteReference w:id="1214"/>
      </w:r>
    </w:p>
    <w:p>
      <w:pPr>
        <w:pStyle w:val="BodyTextFirstIndent"/>
        <w:rPr>
          <w:szCs w:val="22"/>
        </w:rPr>
      </w:pPr>
      <w:r>
        <w:rPr>
          <w:color w:val="000000"/>
          <w:szCs w:val="22"/>
        </w:rPr>
        <w:t xml:space="preserve">On the night of June 7, 2005, Derrick Porter saw Wesley Hagan walking from his friend’s apartment towards his mother’s apartment. Suddenly, Derrick Porter heard gun shots and saw Jarvis Floyd running away with a gun in his hand, wearing a long-sleeve black T-shirt over his face. </w:t>
      </w:r>
    </w:p>
    <w:p>
      <w:pPr>
        <w:pStyle w:val="BodyTextFirstIndent"/>
        <w:rPr>
          <w:szCs w:val="22"/>
        </w:rPr>
      </w:pPr>
      <w:r>
        <w:rPr>
          <w:szCs w:val="22"/>
        </w:rPr>
        <w:t>The matter was tried before a DeKalb County State Court jury, who ultimately rendered a verdict in favor of the plaintiff in the amount of $184,192.16.</w:t>
      </w:r>
      <w:r>
        <w:rPr>
          <w:rStyle w:val="EndnoteReference"/>
          <w:szCs w:val="22"/>
        </w:rPr>
        <w:endnoteReference w:id="1215"/>
      </w:r>
      <w:r>
        <w:rPr>
          <w:szCs w:val="22"/>
        </w:rPr>
        <w:t xml:space="preserve">  In rendering that verdict, the jury awarded no punitive damages and no damages for pain and suffering and also apportioned the fault for plaintiff’s damages as 5% to the defendant and 95% to the criminal assailants.</w:t>
      </w:r>
      <w:r>
        <w:rPr>
          <w:rStyle w:val="EndnoteReference"/>
          <w:szCs w:val="22"/>
        </w:rPr>
        <w:endnoteReference w:id="1216"/>
      </w:r>
    </w:p>
    <w:p>
      <w:pPr>
        <w:keepNext/>
        <w:keepLines/>
        <w:jc w:val="both"/>
        <w:rPr>
          <w:sz w:val="24"/>
          <w:szCs w:val="24"/>
        </w:rPr>
      </w:pPr>
      <w:r>
        <w:rPr>
          <w:b/>
          <w:i/>
          <w:sz w:val="24"/>
          <w:szCs w:val="24"/>
        </w:rPr>
        <w:t xml:space="preserve">Polite v.  Double View Ventures, LLC, </w:t>
      </w:r>
      <w:r>
        <w:rPr>
          <w:b/>
          <w:sz w:val="24"/>
          <w:szCs w:val="24"/>
        </w:rPr>
        <w:t>State Court of DeKalb County, Civil Action File No. 09A05619-4.</w:t>
      </w:r>
    </w:p>
    <w:p>
      <w:pPr>
        <w:pStyle w:val="BodyTextFirstIndent"/>
        <w:rPr>
          <w:szCs w:val="22"/>
        </w:rPr>
      </w:pPr>
      <w:r>
        <w:rPr>
          <w:i/>
          <w:szCs w:val="22"/>
        </w:rPr>
        <w:t>Polite</w:t>
      </w:r>
      <w:r>
        <w:rPr>
          <w:szCs w:val="22"/>
        </w:rPr>
        <w:t xml:space="preserve"> arose from the May 30, 2007 shooting of plaintiff Nathaniel Polite, a resident, at the Stonebridge Apartments.</w:t>
      </w:r>
      <w:r>
        <w:rPr>
          <w:rStyle w:val="EndnoteReference"/>
          <w:szCs w:val="22"/>
        </w:rPr>
        <w:endnoteReference w:id="1217"/>
      </w:r>
      <w:r>
        <w:rPr>
          <w:szCs w:val="22"/>
        </w:rPr>
        <w:t xml:space="preserve">   According to plaintiff, </w:t>
      </w:r>
      <w:r>
        <w:rPr>
          <w:szCs w:val="22"/>
        </w:rPr>
        <w:lastRenderedPageBreak/>
        <w:t xml:space="preserve">the </w:t>
      </w:r>
      <w:r>
        <w:rPr>
          <w:i/>
          <w:szCs w:val="22"/>
        </w:rPr>
        <w:t>Polite</w:t>
      </w:r>
      <w:r>
        <w:rPr>
          <w:szCs w:val="22"/>
        </w:rPr>
        <w:t xml:space="preserve"> case was “a story about an apartment complex that didn't care enough to keep its </w:t>
      </w:r>
      <w:r>
        <w:t>residents</w:t>
      </w:r>
      <w:r>
        <w:rPr>
          <w:szCs w:val="22"/>
        </w:rPr>
        <w:t xml:space="preserve"> safe.”</w:t>
      </w:r>
      <w:r>
        <w:rPr>
          <w:rStyle w:val="EndnoteReference"/>
          <w:szCs w:val="22"/>
        </w:rPr>
        <w:endnoteReference w:id="1218"/>
      </w:r>
      <w:r>
        <w:rPr>
          <w:szCs w:val="22"/>
        </w:rPr>
        <w:t xml:space="preserve">  On May 30, 2007, Nathaniel Polite, whose apartment was located in the rear of the complex, utilized a path near his apartment, which led to a neighboring Chevron convenience store.</w:t>
      </w:r>
      <w:r>
        <w:rPr>
          <w:rStyle w:val="EndnoteReference"/>
          <w:szCs w:val="22"/>
        </w:rPr>
        <w:endnoteReference w:id="1219"/>
      </w:r>
      <w:r>
        <w:rPr>
          <w:szCs w:val="22"/>
        </w:rPr>
        <w:t xml:space="preserve">  Around 8:30 p.m., the plaintiff told his roommate that he was going to walk to the Chevron to get snacks, and he did.</w:t>
      </w:r>
      <w:r>
        <w:rPr>
          <w:rStyle w:val="EndnoteReference"/>
          <w:szCs w:val="22"/>
        </w:rPr>
        <w:endnoteReference w:id="1220"/>
      </w:r>
      <w:r>
        <w:rPr>
          <w:szCs w:val="22"/>
        </w:rPr>
        <w:t xml:space="preserve">  After purchasing Cheetos, Doritos and Newport cigarettes, he left the Chevron and walked toward the path leading back to the complex.</w:t>
      </w:r>
      <w:r>
        <w:rPr>
          <w:rStyle w:val="EndnoteReference"/>
          <w:szCs w:val="22"/>
        </w:rPr>
        <w:endnoteReference w:id="1221"/>
      </w:r>
      <w:r>
        <w:rPr>
          <w:szCs w:val="22"/>
        </w:rPr>
        <w:t xml:space="preserve"> He stepped through the fence between the two properties (although it was contended that the fence was not on the property boundary and the attack started on the Chevron property).</w:t>
      </w:r>
      <w:r>
        <w:rPr>
          <w:rStyle w:val="EndnoteReference"/>
          <w:szCs w:val="22"/>
        </w:rPr>
        <w:endnoteReference w:id="1222"/>
      </w:r>
      <w:r>
        <w:rPr>
          <w:szCs w:val="22"/>
        </w:rPr>
        <w:t xml:space="preserve">  After taking a few steps, two men, who were hiding behind the fence—one on each side—stepped towards him. According to plaintiff, he did not recognize them.</w:t>
      </w:r>
      <w:r>
        <w:rPr>
          <w:rStyle w:val="EndnoteReference"/>
          <w:szCs w:val="22"/>
        </w:rPr>
        <w:endnoteReference w:id="1223"/>
      </w:r>
      <w:r>
        <w:rPr>
          <w:szCs w:val="22"/>
        </w:rPr>
        <w:t xml:space="preserve"> One of the men threw bleach into plaintiff’s face and eyes.</w:t>
      </w:r>
      <w:r>
        <w:rPr>
          <w:rStyle w:val="EndnoteReference"/>
          <w:szCs w:val="22"/>
        </w:rPr>
        <w:endnoteReference w:id="1224"/>
      </w:r>
      <w:r>
        <w:rPr>
          <w:szCs w:val="22"/>
        </w:rPr>
        <w:t xml:space="preserve"> According to plaintiff, he feared that he was being robbed and tried to run.</w:t>
      </w:r>
      <w:r>
        <w:rPr>
          <w:rStyle w:val="EndnoteReference"/>
          <w:szCs w:val="22"/>
        </w:rPr>
        <w:endnoteReference w:id="1225"/>
      </w:r>
      <w:r>
        <w:rPr>
          <w:szCs w:val="22"/>
        </w:rPr>
        <w:t xml:space="preserve">  Plaintiff took a few steps towards the apartments when he shot in the back, which rendered him an ASIA-C paraplegic.</w:t>
      </w:r>
      <w:r>
        <w:rPr>
          <w:rStyle w:val="EndnoteReference"/>
          <w:szCs w:val="22"/>
        </w:rPr>
        <w:endnoteReference w:id="1226"/>
      </w:r>
      <w:r>
        <w:rPr>
          <w:szCs w:val="22"/>
        </w:rPr>
        <w:t xml:space="preserve">  </w:t>
      </w:r>
    </w:p>
    <w:p>
      <w:pPr>
        <w:pStyle w:val="BodyTextFirstIndent"/>
        <w:rPr>
          <w:szCs w:val="22"/>
        </w:rPr>
      </w:pPr>
      <w:r>
        <w:rPr>
          <w:szCs w:val="22"/>
        </w:rPr>
        <w:t>Plaintiff contended that the defendant had actual and constructive notice of attacks against residents on the property and on the path in the three weeks before plaintiff was attacked but failed to warn him or guard him against attacks.</w:t>
      </w:r>
      <w:r>
        <w:rPr>
          <w:rStyle w:val="EndnoteReference"/>
          <w:szCs w:val="22"/>
        </w:rPr>
        <w:endnoteReference w:id="1227"/>
      </w:r>
      <w:r>
        <w:rPr>
          <w:szCs w:val="22"/>
        </w:rPr>
        <w:t xml:space="preserve">  At trial, the plaintiff presented the testimony of a security guard who allegedly identified the path, and the ragged and ineffective gate there, as an </w:t>
      </w:r>
      <w:r>
        <w:rPr>
          <w:szCs w:val="22"/>
        </w:rPr>
        <w:lastRenderedPageBreak/>
        <w:t>immediate security violation, which he allegedly made known to management.</w:t>
      </w:r>
      <w:r>
        <w:rPr>
          <w:rStyle w:val="EndnoteReference"/>
          <w:szCs w:val="22"/>
        </w:rPr>
        <w:endnoteReference w:id="1228"/>
      </w:r>
      <w:r>
        <w:rPr>
          <w:szCs w:val="22"/>
        </w:rPr>
        <w:t xml:space="preserve"> </w:t>
      </w:r>
    </w:p>
    <w:p>
      <w:pPr>
        <w:pStyle w:val="BodyTextFirstIndent"/>
        <w:rPr>
          <w:szCs w:val="22"/>
        </w:rPr>
      </w:pPr>
      <w:r>
        <w:rPr>
          <w:szCs w:val="22"/>
        </w:rPr>
        <w:t>At trial, other crime victims testified that during the two weeks prior to the incident involving the plaintiff, they were attacked on the property.</w:t>
      </w:r>
      <w:r>
        <w:rPr>
          <w:rStyle w:val="EndnoteReference"/>
          <w:szCs w:val="22"/>
        </w:rPr>
        <w:endnoteReference w:id="1229"/>
      </w:r>
      <w:r>
        <w:rPr>
          <w:szCs w:val="22"/>
        </w:rPr>
        <w:t xml:space="preserve">  According to plaintiff, these incidents were reported to management, but were not reported to the tenants.</w:t>
      </w:r>
      <w:r>
        <w:rPr>
          <w:rStyle w:val="EndnoteReference"/>
          <w:szCs w:val="22"/>
        </w:rPr>
        <w:endnoteReference w:id="1230"/>
      </w:r>
    </w:p>
    <w:p>
      <w:pPr>
        <w:pStyle w:val="BodyTextFirstIndent"/>
        <w:rPr>
          <w:szCs w:val="22"/>
        </w:rPr>
      </w:pPr>
      <w:r>
        <w:rPr>
          <w:szCs w:val="22"/>
        </w:rPr>
        <w:t xml:space="preserve">The defendants, who chose not to present affirmative evidence at trial, contended that the evidence at trial showed that the path at issue </w:t>
      </w:r>
      <w:r>
        <w:t>traversed</w:t>
      </w:r>
      <w:r>
        <w:rPr>
          <w:szCs w:val="22"/>
        </w:rPr>
        <w:t xml:space="preserve"> the border of the two businesses.</w:t>
      </w:r>
      <w:r>
        <w:rPr>
          <w:rStyle w:val="EndnoteReference"/>
          <w:szCs w:val="22"/>
        </w:rPr>
        <w:endnoteReference w:id="1231"/>
      </w:r>
      <w:r>
        <w:rPr>
          <w:szCs w:val="22"/>
        </w:rPr>
        <w:t xml:space="preserve"> Chevron owned, but never maintained, the wood fence at issue in the case.</w:t>
      </w:r>
      <w:r>
        <w:rPr>
          <w:rStyle w:val="EndnoteReference"/>
          <w:szCs w:val="22"/>
        </w:rPr>
        <w:endnoteReference w:id="1232"/>
      </w:r>
      <w:r>
        <w:rPr>
          <w:szCs w:val="22"/>
        </w:rPr>
        <w:t xml:space="preserve"> The path used by plaintiff, and many others, began at a hole in Chevron’s fence and ran down a hill to the parking lot in front of plaintiff’s apartment.</w:t>
      </w:r>
      <w:r>
        <w:rPr>
          <w:rStyle w:val="EndnoteReference"/>
          <w:szCs w:val="22"/>
        </w:rPr>
        <w:endnoteReference w:id="1233"/>
      </w:r>
      <w:r>
        <w:rPr>
          <w:szCs w:val="22"/>
        </w:rPr>
        <w:t xml:space="preserve"> The plaintiff was familiar with the path because he used it at least once or twice a day during his residency at Stonebridge.</w:t>
      </w:r>
      <w:r>
        <w:rPr>
          <w:rStyle w:val="EndnoteReference"/>
          <w:szCs w:val="22"/>
        </w:rPr>
        <w:endnoteReference w:id="1234"/>
      </w:r>
    </w:p>
    <w:p>
      <w:pPr>
        <w:pStyle w:val="BodyTextFirstIndent"/>
        <w:rPr>
          <w:szCs w:val="22"/>
        </w:rPr>
      </w:pPr>
      <w:r>
        <w:rPr>
          <w:szCs w:val="22"/>
        </w:rPr>
        <w:t>The attack began on Chevron’s property and continued onto the appellants’ property.</w:t>
      </w:r>
      <w:r>
        <w:rPr>
          <w:rStyle w:val="EndnoteReference"/>
          <w:szCs w:val="22"/>
        </w:rPr>
        <w:endnoteReference w:id="1235"/>
      </w:r>
      <w:r>
        <w:rPr>
          <w:szCs w:val="22"/>
        </w:rPr>
        <w:t xml:space="preserve"> Plaintiff’s expert testified that all commercial property owners owe a duty to invitees to keep the premises safe and opined that Chevron owed the same duties as were owed by Stonebridge.</w:t>
      </w:r>
      <w:r>
        <w:rPr>
          <w:rStyle w:val="EndnoteReference"/>
          <w:szCs w:val="22"/>
        </w:rPr>
        <w:endnoteReference w:id="1236"/>
      </w:r>
      <w:r>
        <w:rPr>
          <w:szCs w:val="22"/>
        </w:rPr>
        <w:t xml:space="preserve">  A former property manager at Stonebridge reached out to Chevron to address the issue with the fence and gate. While </w:t>
      </w:r>
      <w:r>
        <w:t>Stonebridge</w:t>
      </w:r>
      <w:r>
        <w:rPr>
          <w:szCs w:val="22"/>
        </w:rPr>
        <w:t xml:space="preserve"> was stone-walled, Chevron did not even respond much less offer any assistance to maintain its own fence.</w:t>
      </w:r>
      <w:r>
        <w:rPr>
          <w:rStyle w:val="EndnoteReference"/>
          <w:szCs w:val="22"/>
        </w:rPr>
        <w:endnoteReference w:id="1237"/>
      </w:r>
      <w:r>
        <w:rPr>
          <w:szCs w:val="22"/>
        </w:rPr>
        <w:t xml:space="preserve"> However, the trial court refused to allow the jury to consider apportionment to Chevron.</w:t>
      </w:r>
      <w:r>
        <w:rPr>
          <w:rStyle w:val="EndnoteReference"/>
          <w:szCs w:val="22"/>
        </w:rPr>
        <w:endnoteReference w:id="1238"/>
      </w:r>
    </w:p>
    <w:p>
      <w:pPr>
        <w:pStyle w:val="BodyTextFirstIndent"/>
        <w:rPr>
          <w:szCs w:val="22"/>
        </w:rPr>
      </w:pPr>
      <w:r>
        <w:rPr>
          <w:szCs w:val="22"/>
        </w:rPr>
        <w:lastRenderedPageBreak/>
        <w:t>Defendants contended that the residents, including plaintiff, did not want the hole in the fence secured.</w:t>
      </w:r>
      <w:r>
        <w:rPr>
          <w:rStyle w:val="EndnoteReference"/>
          <w:szCs w:val="22"/>
        </w:rPr>
        <w:endnoteReference w:id="1239"/>
      </w:r>
      <w:r>
        <w:rPr>
          <w:szCs w:val="22"/>
        </w:rPr>
        <w:t xml:space="preserve"> The plaintiff actually chose an apartment closest to the path to make use of the Chevron more convenient.</w:t>
      </w:r>
      <w:r>
        <w:rPr>
          <w:rStyle w:val="EndnoteReference"/>
          <w:szCs w:val="22"/>
        </w:rPr>
        <w:endnoteReference w:id="1240"/>
      </w:r>
      <w:r>
        <w:rPr>
          <w:szCs w:val="22"/>
        </w:rPr>
        <w:t xml:space="preserve"> The plaintiff was not unaware of what went on at the Chevron, as he had people drinking behind the Chevron and day laborers sleeping behind the Chevron.</w:t>
      </w:r>
      <w:r>
        <w:rPr>
          <w:rStyle w:val="EndnoteReference"/>
          <w:szCs w:val="22"/>
        </w:rPr>
        <w:endnoteReference w:id="1241"/>
      </w:r>
      <w:r>
        <w:rPr>
          <w:szCs w:val="22"/>
        </w:rPr>
        <w:t xml:space="preserve"> Traversing the path more than daily in conjunction with his general awareness of his surroundings, according to the defendants, educated the plaintiff as to the environment in which he chose to reside.</w:t>
      </w:r>
      <w:r>
        <w:rPr>
          <w:rStyle w:val="EndnoteReference"/>
          <w:szCs w:val="22"/>
        </w:rPr>
        <w:endnoteReference w:id="1242"/>
      </w:r>
    </w:p>
    <w:p>
      <w:pPr>
        <w:pStyle w:val="BodyTextFirstIndent"/>
        <w:rPr>
          <w:szCs w:val="22"/>
        </w:rPr>
      </w:pPr>
      <w:r>
        <w:rPr>
          <w:szCs w:val="22"/>
        </w:rPr>
        <w:t>The jury returned a verdict in favor of plaintiff in the amount of $5,250,000, but assessed fault as follows: 13% plaintiff, 87% defendants and 0% criminal assailants.</w:t>
      </w:r>
      <w:r>
        <w:rPr>
          <w:rStyle w:val="EndnoteReference"/>
          <w:szCs w:val="22"/>
        </w:rPr>
        <w:endnoteReference w:id="1243"/>
      </w:r>
      <w:r>
        <w:rPr>
          <w:szCs w:val="22"/>
        </w:rPr>
        <w:t xml:space="preserve">  The court entered judgment against Double View Ventures, LLC and Westdale Asset Management, Ltd., jointly and severally, in the amount of $4,567,500.00.</w:t>
      </w:r>
      <w:r>
        <w:rPr>
          <w:rStyle w:val="EndnoteReference"/>
          <w:szCs w:val="22"/>
        </w:rPr>
        <w:endnoteReference w:id="1244"/>
      </w:r>
    </w:p>
    <w:p>
      <w:pPr>
        <w:jc w:val="both"/>
        <w:rPr>
          <w:sz w:val="24"/>
          <w:szCs w:val="24"/>
        </w:rPr>
      </w:pPr>
      <w:r>
        <w:rPr>
          <w:b/>
          <w:i/>
          <w:sz w:val="24"/>
          <w:szCs w:val="24"/>
        </w:rPr>
        <w:t>Board v. HMI Properties Solutions, Inc.</w:t>
      </w:r>
      <w:r>
        <w:rPr>
          <w:b/>
          <w:sz w:val="24"/>
          <w:szCs w:val="24"/>
        </w:rPr>
        <w:t>, State Court of DeKalb County, Civil Action File No. 09A04531-3,</w:t>
      </w:r>
    </w:p>
    <w:p>
      <w:pPr>
        <w:pStyle w:val="BodyTextFirstIndent"/>
        <w:rPr>
          <w:szCs w:val="22"/>
        </w:rPr>
      </w:pPr>
      <w:r>
        <w:rPr>
          <w:i/>
          <w:szCs w:val="22"/>
        </w:rPr>
        <w:t xml:space="preserve">Board </w:t>
      </w:r>
      <w:r>
        <w:rPr>
          <w:szCs w:val="22"/>
        </w:rPr>
        <w:t>arose from the March 5, 2009 burglary, assault, battery, and rape of the plaintiff, a tenant, at the Kensington Manor Apartments, which were owned and managed by the defendants.</w:t>
      </w:r>
      <w:r>
        <w:rPr>
          <w:rStyle w:val="EndnoteReference"/>
          <w:szCs w:val="22"/>
        </w:rPr>
        <w:endnoteReference w:id="1245"/>
      </w:r>
      <w:r>
        <w:rPr>
          <w:szCs w:val="22"/>
        </w:rPr>
        <w:t xml:space="preserve">  Plaintiff contended that the apartments are “lower income, affordable housing and are located in a high crime area.”</w:t>
      </w:r>
      <w:r>
        <w:rPr>
          <w:rStyle w:val="EndnoteReference"/>
          <w:szCs w:val="22"/>
        </w:rPr>
        <w:endnoteReference w:id="1246"/>
      </w:r>
      <w:r>
        <w:rPr>
          <w:szCs w:val="22"/>
        </w:rPr>
        <w:t xml:space="preserve">  Plaintiff </w:t>
      </w:r>
      <w:r>
        <w:t>contended</w:t>
      </w:r>
      <w:r>
        <w:rPr>
          <w:szCs w:val="22"/>
        </w:rPr>
        <w:t xml:space="preserve"> that when purchased, Kensington Manor was projected to be profitable, but shortly after it was purchased it </w:t>
      </w:r>
      <w:r>
        <w:rPr>
          <w:szCs w:val="22"/>
        </w:rPr>
        <w:lastRenderedPageBreak/>
        <w:t>started losing money, and it never turned around.</w:t>
      </w:r>
      <w:r>
        <w:rPr>
          <w:rStyle w:val="EndnoteReference"/>
          <w:szCs w:val="22"/>
        </w:rPr>
        <w:endnoteReference w:id="1247"/>
      </w:r>
      <w:r>
        <w:rPr>
          <w:szCs w:val="22"/>
        </w:rPr>
        <w:t xml:space="preserve">  In February 2009, the defendants reduced their security budget to save money.</w:t>
      </w:r>
      <w:r>
        <w:rPr>
          <w:rStyle w:val="EndnoteReference"/>
          <w:szCs w:val="22"/>
        </w:rPr>
        <w:endnoteReference w:id="1248"/>
      </w:r>
    </w:p>
    <w:p>
      <w:pPr>
        <w:pStyle w:val="BodyTextFirstIndent"/>
        <w:rPr>
          <w:szCs w:val="22"/>
        </w:rPr>
      </w:pPr>
      <w:r>
        <w:rPr>
          <w:szCs w:val="22"/>
        </w:rPr>
        <w:t>Plaintiff contended that in the five years preceding the underlying incident, defendants “had knowledge of numerous crimes on their premises, including: murders, aggravated assaults, burglaries, rapes, armed robberies with home invasions, gang activity, drug dealing, trespassing, gunfire, loitering, homeless &amp; vagrants, etc.”</w:t>
      </w:r>
      <w:r>
        <w:rPr>
          <w:rStyle w:val="EndnoteReference"/>
          <w:szCs w:val="22"/>
        </w:rPr>
        <w:endnoteReference w:id="1249"/>
      </w:r>
    </w:p>
    <w:p>
      <w:pPr>
        <w:pStyle w:val="BodyTextFirstIndent"/>
        <w:rPr>
          <w:szCs w:val="22"/>
        </w:rPr>
      </w:pPr>
      <w:r>
        <w:rPr>
          <w:szCs w:val="22"/>
        </w:rPr>
        <w:t>On March 5, 2009 at 5:30 a.m., ten days after plaintiff moved into apartment F-104 at Kensington Manor Apartments, her apartment was burglarized, and she was assaulted, battered, and raped.</w:t>
      </w:r>
      <w:r>
        <w:rPr>
          <w:rStyle w:val="EndnoteReference"/>
          <w:szCs w:val="22"/>
        </w:rPr>
        <w:endnoteReference w:id="1250"/>
      </w:r>
      <w:r>
        <w:rPr>
          <w:szCs w:val="22"/>
        </w:rPr>
        <w:t xml:space="preserve"> Plaintiff alleged that her attacker entered her apartment through the front door, which she claimed to have locked the night before when she arrived.</w:t>
      </w:r>
      <w:r>
        <w:rPr>
          <w:rStyle w:val="EndnoteReference"/>
          <w:szCs w:val="22"/>
        </w:rPr>
        <w:endnoteReference w:id="1251"/>
      </w:r>
      <w:r>
        <w:rPr>
          <w:szCs w:val="22"/>
        </w:rPr>
        <w:t xml:space="preserve"> The only locking device on plaintiff’s door was a single deadbolt—there was no secondary lock.</w:t>
      </w:r>
      <w:r>
        <w:rPr>
          <w:rStyle w:val="EndnoteReference"/>
          <w:szCs w:val="22"/>
        </w:rPr>
        <w:endnoteReference w:id="1252"/>
      </w:r>
      <w:r>
        <w:rPr>
          <w:szCs w:val="22"/>
        </w:rPr>
        <w:t xml:space="preserve"> There were no signs of entry through the bedroom windows or the sliding glass door.</w:t>
      </w:r>
      <w:r>
        <w:rPr>
          <w:rStyle w:val="EndnoteReference"/>
          <w:szCs w:val="22"/>
        </w:rPr>
        <w:endnoteReference w:id="1253"/>
      </w:r>
      <w:r>
        <w:rPr>
          <w:szCs w:val="22"/>
        </w:rPr>
        <w:t xml:space="preserve">  After plaintiff was assaulted and had moved out of her apartment, it was determined that the assailant entered her apartment through the front door.</w:t>
      </w:r>
      <w:r>
        <w:rPr>
          <w:rStyle w:val="EndnoteReference"/>
          <w:szCs w:val="22"/>
        </w:rPr>
        <w:endnoteReference w:id="1254"/>
      </w:r>
    </w:p>
    <w:p>
      <w:pPr>
        <w:pStyle w:val="BodyTextFirstIndent"/>
        <w:rPr>
          <w:szCs w:val="22"/>
        </w:rPr>
      </w:pPr>
      <w:r>
        <w:rPr>
          <w:szCs w:val="22"/>
        </w:rPr>
        <w:t xml:space="preserve">The defendants contended that they met and exceeded their </w:t>
      </w:r>
      <w:r>
        <w:t>obligation</w:t>
      </w:r>
      <w:r>
        <w:rPr>
          <w:szCs w:val="22"/>
        </w:rPr>
        <w:t xml:space="preserve"> to exercise ordinary care to keep their premises reasonably safe.</w:t>
      </w:r>
      <w:r>
        <w:rPr>
          <w:rStyle w:val="EndnoteReference"/>
          <w:szCs w:val="22"/>
        </w:rPr>
        <w:endnoteReference w:id="1255"/>
      </w:r>
      <w:r>
        <w:rPr>
          <w:szCs w:val="22"/>
        </w:rPr>
        <w:t xml:space="preserve"> Specifically, defendants had implemented numerous security measures with respect to the apartment complex and the individual units located on the complex.</w:t>
      </w:r>
      <w:r>
        <w:rPr>
          <w:rStyle w:val="EndnoteReference"/>
          <w:szCs w:val="22"/>
        </w:rPr>
        <w:endnoteReference w:id="1256"/>
      </w:r>
    </w:p>
    <w:p>
      <w:pPr>
        <w:pStyle w:val="BodyTextFirstIndent"/>
        <w:rPr>
          <w:szCs w:val="22"/>
        </w:rPr>
      </w:pPr>
      <w:r>
        <w:rPr>
          <w:szCs w:val="22"/>
        </w:rPr>
        <w:lastRenderedPageBreak/>
        <w:t>The defendants contended that plaintiff did not lock the front door to her apartment—a fact which directly enabled the alleged rapist, Donovon Cross, to enter her apartment.</w:t>
      </w:r>
      <w:r>
        <w:rPr>
          <w:rStyle w:val="EndnoteReference"/>
          <w:szCs w:val="22"/>
        </w:rPr>
        <w:endnoteReference w:id="1257"/>
      </w:r>
      <w:r>
        <w:rPr>
          <w:szCs w:val="22"/>
        </w:rPr>
        <w:t xml:space="preserve">  Defendants contended that the evidence suggested that once Donovon Cross was inside, the plaintiff’s apartment, he and the plaintiff may have engaged in a consensual sexual affair.</w:t>
      </w:r>
      <w:r>
        <w:rPr>
          <w:rStyle w:val="EndnoteReference"/>
          <w:szCs w:val="22"/>
        </w:rPr>
        <w:endnoteReference w:id="1258"/>
      </w:r>
      <w:r>
        <w:rPr>
          <w:szCs w:val="22"/>
        </w:rPr>
        <w:t xml:space="preserve"> </w:t>
      </w:r>
    </w:p>
    <w:p>
      <w:pPr>
        <w:pStyle w:val="BodyTextFirstIndent"/>
        <w:rPr>
          <w:szCs w:val="22"/>
        </w:rPr>
      </w:pPr>
      <w:r>
        <w:rPr>
          <w:szCs w:val="22"/>
        </w:rPr>
        <w:t>The jury returned a verdict in favor of the plaintiff in the amount of $900,000, but, remarkably, assessed fault for the damages as follows: 51% to defendants, 39% to the plaintiff, and 10% to Donovon Cross.</w:t>
      </w:r>
      <w:r>
        <w:rPr>
          <w:rStyle w:val="EndnoteReference"/>
          <w:szCs w:val="22"/>
        </w:rPr>
        <w:endnoteReference w:id="1259"/>
      </w:r>
    </w:p>
    <w:p>
      <w:pPr>
        <w:spacing w:after="240"/>
        <w:jc w:val="both"/>
        <w:rPr>
          <w:b/>
          <w:sz w:val="24"/>
          <w:szCs w:val="24"/>
        </w:rPr>
      </w:pPr>
      <w:r>
        <w:rPr>
          <w:b/>
          <w:sz w:val="24"/>
          <w:szCs w:val="24"/>
        </w:rPr>
        <w:t>Analysis (For What It Is Worth).</w:t>
      </w:r>
    </w:p>
    <w:p>
      <w:pPr>
        <w:pStyle w:val="BodyTextFirstIndent"/>
        <w:rPr>
          <w:szCs w:val="22"/>
        </w:rPr>
      </w:pPr>
      <w:r>
        <w:rPr>
          <w:szCs w:val="22"/>
        </w:rPr>
        <w:t xml:space="preserve">While the sample size is admittedly small, perhaps a few things can be pulled from these DeKalb County verdicts. First, in the cases where significant portions of the damages were attributed to the nonparty assailant, that assailant was identified and known. Perhaps juries are more willing to assess blame to a nonparty when they know exactly </w:t>
      </w:r>
      <w:r>
        <w:t>the</w:t>
      </w:r>
      <w:r>
        <w:rPr>
          <w:szCs w:val="22"/>
        </w:rPr>
        <w:t xml:space="preserve"> person who did it and there is a coherent story of how and/or why the underlying incidents occurred.  Perhaps the juries believe when the criminal assailant is known, there will actually be some culpability if some percentage of fault is assigned to that party.</w:t>
      </w:r>
    </w:p>
    <w:p>
      <w:pPr>
        <w:pStyle w:val="BodyTextFirstIndent"/>
        <w:rPr>
          <w:szCs w:val="22"/>
        </w:rPr>
      </w:pPr>
      <w:r>
        <w:rPr>
          <w:szCs w:val="22"/>
        </w:rPr>
        <w:t xml:space="preserve">Second, the </w:t>
      </w:r>
      <w:r>
        <w:rPr>
          <w:i/>
          <w:szCs w:val="22"/>
        </w:rPr>
        <w:t>Polite</w:t>
      </w:r>
      <w:r>
        <w:rPr>
          <w:szCs w:val="22"/>
        </w:rPr>
        <w:t xml:space="preserve"> case focused not only on the prior crimes on the property but also on the management's alleged failure to warn of the prior crimes. We have noticed that "failure to warn" claims are </w:t>
      </w:r>
      <w:r>
        <w:rPr>
          <w:szCs w:val="22"/>
        </w:rPr>
        <w:lastRenderedPageBreak/>
        <w:t>becoming more of the norm in these third-party cases and the focus, if not primarily, is substantially on what notice was specifically provided by apartment complexes, even those in historically high-crime areas.</w:t>
      </w:r>
    </w:p>
    <w:p>
      <w:pPr>
        <w:pStyle w:val="BodyTextFirstIndent"/>
        <w:rPr>
          <w:szCs w:val="22"/>
        </w:rPr>
      </w:pPr>
      <w:r>
        <w:rPr>
          <w:szCs w:val="22"/>
        </w:rPr>
        <w:t xml:space="preserve">Third, and most importantly, there does not seem to be any way to predict what a jury will do in these apportionment cases. It seems they are highly personal and fact driven.  One thing appears to be certain—where there is an entity that appears to have the money to satisfy the verdict, a high percentage of fault is likely to be assigned to that party.  It is </w:t>
      </w:r>
      <w:r>
        <w:t>amazing</w:t>
      </w:r>
      <w:r>
        <w:rPr>
          <w:szCs w:val="22"/>
        </w:rPr>
        <w:t xml:space="preserve"> to many that a property owner can, under any set of circumstances, be assigned a higher, sometimes </w:t>
      </w:r>
      <w:r>
        <w:rPr>
          <w:i/>
          <w:szCs w:val="22"/>
        </w:rPr>
        <w:t>much</w:t>
      </w:r>
      <w:r>
        <w:rPr>
          <w:szCs w:val="22"/>
        </w:rPr>
        <w:t xml:space="preserve"> higher, percentage of fault </w:t>
      </w:r>
      <w:r>
        <w:rPr>
          <w:i/>
          <w:szCs w:val="22"/>
        </w:rPr>
        <w:t>than the criminal assailants perpetrating the crimes</w:t>
      </w:r>
      <w:r>
        <w:rPr>
          <w:szCs w:val="22"/>
        </w:rPr>
        <w:t xml:space="preserve">.  </w:t>
      </w:r>
    </w:p>
    <w:p>
      <w:pPr>
        <w:pStyle w:val="BodyTextFirstIndent"/>
        <w:rPr>
          <w:sz w:val="28"/>
          <w:szCs w:val="28"/>
        </w:rPr>
      </w:pPr>
      <w:r>
        <w:rPr>
          <w:szCs w:val="22"/>
        </w:rPr>
        <w:t xml:space="preserve">When informing or consulting with clients, the apportionment statute seems to have created a scenario that mirrors the old </w:t>
      </w:r>
      <w:r>
        <w:t>adage</w:t>
      </w:r>
      <w:r>
        <w:rPr>
          <w:szCs w:val="22"/>
        </w:rPr>
        <w:t xml:space="preserve"> that no man should see how laws—or in these cases jury verdicts—or sausages are made.</w:t>
      </w:r>
      <w:r>
        <w:rPr>
          <w:sz w:val="28"/>
          <w:szCs w:val="28"/>
        </w:rPr>
        <w:t xml:space="preserve">  </w:t>
      </w:r>
      <w:r>
        <w:rPr>
          <w:noProof/>
        </w:rPr>
        <w:pict>
          <v:shapetype id="_x0000_t202" coordsize="21600,21600" o:spt="202" path="m,l,21600r21600,l21600,xe">
            <v:stroke joinstyle="miter"/>
            <v:path gradientshapeok="t" o:connecttype="rect"/>
          </v:shapetype>
          <v:shape id="SWFootPg99" o:spid="_x0000_s1057" type="#_x0000_t202" style="position:absolute;left:0;text-align:left;margin-left:7pt;margin-top:756pt;width:533pt;height:21.6pt;z-index:251673088;visibility:visible;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" o:allowincell="f" filled="f" stroked="f" strokeweight=".5pt">
            <v:path arrowok="t"/>
            <v:textbox inset="0,0,0,0">
              <w:txbxContent>
                <w:p>
                  <w:pPr>
                    <w:rPr>
                      <w:sz w:val="16"/>
                    </w:rPr>
                  </w:pPr>
                </w:p>
              </w:txbxContent>
            </v:textbox>
            <w10:wrap anchory="page"/>
          </v:shape>
        </w:pict>
      </w:r>
    </w:p>
    <w:p>
      <w:pPr>
        <w:pStyle w:val="BodyTextFirstIndent"/>
        <w:spacing w:before="0" w:after="0"/>
        <w:ind w:firstLine="0"/>
        <w:jc w:val="center"/>
        <w:rPr>
          <w:b/>
          <w:u w:val="single"/>
        </w:rPr>
      </w:pPr>
      <w:r>
        <w:rPr>
          <w:b/>
          <w:u w:val="single"/>
        </w:rPr>
        <w:t>End Notes</w:t>
      </w:r>
    </w:p>
    <w:p>
      <w:pPr>
        <w:pStyle w:val="BodyTextFirstIndent"/>
      </w:pPr>
    </w:p>
    <w:p>
      <w:pPr>
        <w:pStyle w:val="BodyTextFirstIndent"/>
        <w:sectPr>
          <w:endnotePr>
            <w:numFmt w:val="decimal"/>
            <w:numRestart w:val="eachSect"/>
          </w:endnotePr>
          <w:type w:val="continuous"/>
          <w:pgSz w:w="12240" w:h="15840"/>
          <w:pgMar w:top="1440" w:right="1440" w:bottom="1440" w:left="1440" w:header="720" w:footer="720" w:gutter="0"/>
          <w:cols w:num="2" w:space="720"/>
          <w:titlePg/>
          <w:rtlGutter/>
          <w:docGrid w:linePitch="360"/>
        </w:sectPr>
      </w:pPr>
    </w:p>
    <w:p>
      <w:pPr>
        <w:pStyle w:val="BodyTextFirstIndent"/>
        <w:jc w:val="center"/>
      </w:pPr>
      <w:r>
        <w:rPr>
          <w:noProof/>
        </w:rPr>
        <w:lastRenderedPageBreak/>
        <w:pict>
          <v:shape id="Picture 88" o:spid="_x0000_s1058" type="#_x0000_t75" alt="ShaneArticle" style="position:absolute;left:0;text-align:left;margin-left:0;margin-top:0;width:471.45pt;height:609.65pt;z-index:251674112;visibility:visible;mso-position-horizontal:center;mso-position-horizontal-relative:margin;mso-position-vertical:center;mso-position-vertical-relative:margin">
            <v:imagedata r:id="rId56" o:title=""/>
            <w10:wrap type="square" anchorx="margin" anchory="margin"/>
          </v:shape>
        </w:pict>
      </w:r>
    </w:p>
    <w:p>
      <w:pPr>
        <w:pStyle w:val="BodyTextFirstIndent"/>
        <w:ind w:firstLine="0"/>
      </w:pPr>
      <w:r>
        <w:rPr>
          <w:noProof/>
        </w:rPr>
        <w:lastRenderedPageBreak/>
        <w:pict>
          <v:shape id="Picture 80" o:spid="_x0000_s1059" type="#_x0000_t75" alt="Polite Verdict Form" style="position:absolute;left:0;text-align:left;margin-left:0;margin-top:0;width:467.7pt;height:604.8pt;z-index:251667968;visibility:visible;mso-position-horizontal:center;mso-position-horizontal-relative:margin;mso-position-vertical:center;mso-position-vertical-relative:margin">
            <v:imagedata r:id="rId57" o:title=""/>
            <w10:wrap type="square" anchorx="margin" anchory="margin"/>
          </v:shape>
        </w:pict>
      </w:r>
      <w:r>
        <w:br w:type="page"/>
      </w:r>
    </w:p>
    <w:p>
      <w:pPr>
        <w:pStyle w:val="BodyTextFirstIndent"/>
        <w:ind w:firstLine="0"/>
        <w:sectPr>
          <w:endnotePr>
            <w:numFmt w:val="decimal"/>
          </w:endnotePr>
          <w:pgSz w:w="12240" w:h="15840"/>
          <w:pgMar w:top="1440" w:right="1440" w:bottom="1440" w:left="1440" w:header="720" w:footer="720" w:gutter="0"/>
          <w:cols w:space="720"/>
          <w:titlePg/>
          <w:docGrid w:linePitch="360"/>
        </w:sectPr>
      </w:pPr>
      <w:r>
        <w:rPr>
          <w:noProof/>
        </w:rPr>
        <w:pict>
          <v:shape id="Picture 89" o:spid="_x0000_s1060" type="#_x0000_t75" alt="Board v  HMI Verdict" style="position:absolute;left:0;text-align:left;margin-left:-3.8pt;margin-top:-9.5pt;width:480.05pt;height:621.15pt;z-index:251675136;visibility:visible;mso-position-horizontal-relative:margin;mso-position-vertical-relative:margin">
            <v:imagedata r:id="rId58" o:title=""/>
            <w10:wrap type="square" anchorx="margin" anchory="margin"/>
          </v:shape>
        </w:pict>
      </w:r>
    </w:p>
    <w:p>
      <w:pPr>
        <w:pStyle w:val="Heading1"/>
      </w:pPr>
      <w:bookmarkStart w:id="269" w:name="_Toc387223629"/>
      <w:r>
        <w:lastRenderedPageBreak/>
        <w:t>Apportionment and the Tort Reform Act of 2005:  Where Do We Stand after Nearly Ten Years of Litigation?</w:t>
      </w:r>
      <w:bookmarkEnd w:id="269"/>
    </w:p>
    <w:p/>
    <w:p>
      <w:pPr>
        <w:pStyle w:val="Author"/>
      </w:pPr>
      <w:r>
        <w:rPr>
          <w:b/>
        </w:rPr>
        <w:t xml:space="preserve"> </w:t>
      </w:r>
      <w:r>
        <w:t>By: Brian T. Moore, Chair, GDLA Substantive Law Steering Committee</w:t>
      </w:r>
    </w:p>
    <w:p>
      <w:pPr>
        <w:pStyle w:val="Author"/>
      </w:pPr>
      <w:r>
        <w:t>Myles D. Levelle</w:t>
      </w:r>
    </w:p>
    <w:p>
      <w:pPr>
        <w:pStyle w:val="Author"/>
      </w:pPr>
      <w:r>
        <w:t>Drew, Eckl &amp; Farnham, LLP</w:t>
      </w:r>
    </w:p>
    <w:p>
      <w:pPr>
        <w:pStyle w:val="Author"/>
      </w:pPr>
    </w:p>
    <w:p>
      <w:pPr>
        <w:spacing w:after="0"/>
        <w:rPr>
          <w:sz w:val="21"/>
          <w:szCs w:val="21"/>
        </w:rPr>
        <w:sectPr>
          <w:endnotePr>
            <w:numFmt w:val="decimal"/>
          </w:endnotePr>
          <w:pgSz w:w="12240" w:h="15840"/>
          <w:pgMar w:top="1440" w:right="1440" w:bottom="1440" w:left="1440" w:header="720" w:footer="720" w:gutter="0"/>
          <w:cols w:space="720"/>
          <w:titlePg/>
          <w:docGrid w:linePitch="360"/>
        </w:sectPr>
      </w:pPr>
    </w:p>
    <w:p>
      <w:pPr>
        <w:pBdr>
          <w:top w:val="single" w:sz="4" w:space="1" w:color="auto"/>
          <w:left w:val="single" w:sz="4" w:space="4" w:color="auto"/>
          <w:bottom w:val="single" w:sz="4" w:space="1" w:color="auto"/>
          <w:right w:val="single" w:sz="4" w:space="4" w:color="auto"/>
        </w:pBdr>
        <w:shd w:val="clear" w:color="auto" w:fill="81BAC5"/>
        <w:spacing w:after="0"/>
        <w:jc w:val="both"/>
      </w:pPr>
      <w:r>
        <w:rPr>
          <w:noProof/>
        </w:rPr>
        <w:pict>
          <v:shape id="Picture 82" o:spid="_x0000_s1061" type="#_x0000_t75" alt="BrianMoore" style="position:absolute;left:0;text-align:left;margin-left:0;margin-top:24.5pt;width:83.25pt;height:108.95pt;z-index:-251647488;visibility:visible" wrapcoords="-389 -298 -389 21749 21989 21749 21989 -298 -389 -298" stroked="t" strokeweight="1.5pt">
            <v:imagedata r:id="rId59" o:title=""/>
            <w10:wrap type="tight"/>
          </v:shape>
        </w:pict>
      </w:r>
      <w:r>
        <w:rPr>
          <w:b/>
        </w:rPr>
        <w:t>Brian Moore</w:t>
      </w:r>
      <w:r>
        <w:t xml:space="preserve"> is a partner at Drew, Eckl &amp; Farnham, LLP.  His practice has an emphasis in construction litigation representing local, regional and national construction companies, design-build firms, sub-contractors and suppliers in an array of disputes.  He has substantial experience with construction and arbitration forums including the American Arbitration Association, and has extensively litigated various nuances of Georgia’s Tort Reform Act.</w:t>
      </w:r>
    </w:p>
    <w:p>
      <w:pPr>
        <w:pBdr>
          <w:top w:val="single" w:sz="4" w:space="1" w:color="auto"/>
          <w:left w:val="single" w:sz="4" w:space="4" w:color="auto"/>
          <w:bottom w:val="single" w:sz="4" w:space="1" w:color="auto"/>
          <w:right w:val="single" w:sz="4" w:space="4" w:color="auto"/>
        </w:pBdr>
        <w:shd w:val="clear" w:color="auto" w:fill="81BAC5"/>
        <w:spacing w:after="0"/>
        <w:jc w:val="both"/>
      </w:pPr>
    </w:p>
    <w:p>
      <w:pPr>
        <w:pBdr>
          <w:top w:val="single" w:sz="4" w:space="1" w:color="auto"/>
          <w:left w:val="single" w:sz="4" w:space="4" w:color="auto"/>
          <w:bottom w:val="single" w:sz="4" w:space="1" w:color="auto"/>
          <w:right w:val="single" w:sz="4" w:space="4" w:color="auto"/>
        </w:pBdr>
        <w:shd w:val="clear" w:color="auto" w:fill="81BAC5"/>
        <w:spacing w:after="0"/>
        <w:jc w:val="both"/>
      </w:pPr>
      <w:r>
        <w:rPr>
          <w:noProof/>
        </w:rPr>
        <w:pict>
          <v:shape id="Picture 83" o:spid="_x0000_s1062" type="#_x0000_t75" alt="MylesLevelle" style="position:absolute;left:0;text-align:left;margin-left:-.65pt;margin-top:14.3pt;width:83.9pt;height:110.2pt;z-index:-251646464;visibility:visible" wrapcoords="-386 -294 -386 21747 21986 21747 21986 -294 -386 -294" stroked="t" strokeweight="1.5pt">
            <v:imagedata r:id="rId60" o:title=""/>
            <w10:wrap type="tight"/>
          </v:shape>
        </w:pict>
      </w:r>
      <w:r>
        <w:rPr>
          <w:b/>
        </w:rPr>
        <w:t>Myles Levelle</w:t>
      </w:r>
      <w:r>
        <w:t xml:space="preserve"> is a senior associate at Drew, Eckl &amp; Farnham, LLP. His practice focuses on construction and banking litigation, and he has experience representing and counseling parties on all aspects of construction projects.  During his practice, he has extensively litigated numerous issues concerning Georgia’s Tort Reform Act.</w:t>
      </w:r>
    </w:p>
    <w:p>
      <w:pPr>
        <w:pStyle w:val="BodyTextFirstIndent"/>
        <w:spacing w:before="0" w:after="0"/>
      </w:pPr>
    </w:p>
    <w:p>
      <w:pPr>
        <w:pStyle w:val="BodyTextFirstIndent"/>
      </w:pPr>
      <w:r>
        <w:t xml:space="preserve">On February 16, 2005, the Georgia Legislature passed the Tort Reform Act, which amended O.C.G.A. § 51-12-33.  In doing so, the legislature preserved apportionment for </w:t>
      </w:r>
      <w:r>
        <w:lastRenderedPageBreak/>
        <w:t>traditional reasons set forth under O.C.G.A. § 51-12-31 (apportionment of fault to Plaintiff for contributory negligence), but allowed for apportionment to co-defendants and non-parties alike.</w:t>
      </w:r>
      <w:r>
        <w:rPr>
          <w:rStyle w:val="EndnoteReference"/>
          <w:rFonts w:ascii="Century Schoolbook" w:hAnsi="Century Schoolbook"/>
        </w:rPr>
        <w:endnoteReference w:id="1260"/>
      </w:r>
      <w:r>
        <w:t xml:space="preserve">  The new system of apportionment, in most applications, replaced traditional rules of joint and several liability</w:t>
      </w:r>
      <w:r>
        <w:rPr>
          <w:rStyle w:val="EndnoteReference"/>
          <w:rFonts w:ascii="Century Schoolbook" w:hAnsi="Century Schoolbook"/>
        </w:rPr>
        <w:endnoteReference w:id="1261"/>
      </w:r>
      <w:r>
        <w:t xml:space="preserve"> and applies to all causes of action arising after February 16, 2005.</w:t>
      </w:r>
      <w:r>
        <w:rPr>
          <w:rStyle w:val="EndnoteReference"/>
          <w:rFonts w:ascii="Century Schoolbook" w:hAnsi="Century Schoolbook"/>
        </w:rPr>
        <w:endnoteReference w:id="1262"/>
      </w:r>
    </w:p>
    <w:p>
      <w:pPr>
        <w:pStyle w:val="BodyTextFirstIndent"/>
      </w:pPr>
      <w:r>
        <w:t>As often occurs with the enactment of any new legislation, litigation concerning the extent and effect of this legislation has ensued.  Areas of specific importance to the defense bar include: (1) whether the statutory scheme is unconstitutionally vague, particularly with regard to intentional, criminal actors</w:t>
      </w:r>
      <w:r>
        <w:rPr>
          <w:rStyle w:val="EndnoteReference"/>
          <w:rFonts w:ascii="Century Schoolbook" w:hAnsi="Century Schoolbook"/>
        </w:rPr>
        <w:endnoteReference w:id="1263"/>
      </w:r>
      <w:r>
        <w:t>; (3) whether apportionment can be applied to immune actors; and (4) whether the statutory scheme completely eliminated all rights to contribution</w:t>
      </w:r>
      <w:r>
        <w:rPr>
          <w:rStyle w:val="EndnoteReference"/>
          <w:rFonts w:ascii="Century Schoolbook" w:hAnsi="Century Schoolbook"/>
        </w:rPr>
        <w:endnoteReference w:id="1264"/>
      </w:r>
      <w:r>
        <w:t>.</w:t>
      </w:r>
    </w:p>
    <w:p>
      <w:pPr>
        <w:pStyle w:val="BodyTextFirstIndent"/>
      </w:pPr>
      <w:r>
        <w:t>After nearly ten years of litigation, many issues or questions surrounding the Tort Reform Act and the apportionment statute have been resolved.  The intent of this article is to explore and highlight the general workings of the statutory scheme and to address the pertinent case law on each of the topics outlined above.</w:t>
      </w:r>
    </w:p>
    <w:p>
      <w:pPr>
        <w:jc w:val="center"/>
        <w:rPr>
          <w:b/>
          <w:sz w:val="24"/>
          <w:szCs w:val="24"/>
        </w:rPr>
      </w:pPr>
      <w:r>
        <w:rPr>
          <w:b/>
          <w:sz w:val="24"/>
          <w:szCs w:val="24"/>
        </w:rPr>
        <w:lastRenderedPageBreak/>
        <w:t>1.</w:t>
      </w:r>
      <w:r>
        <w:rPr>
          <w:sz w:val="24"/>
          <w:szCs w:val="24"/>
        </w:rPr>
        <w:tab/>
      </w:r>
      <w:r>
        <w:rPr>
          <w:b/>
          <w:sz w:val="24"/>
          <w:szCs w:val="24"/>
        </w:rPr>
        <w:t>Overview of Tort Reform Statute as Applied to O.C.G.A §§ 51-12-31, 51-12-32, and 51-12-33.</w:t>
      </w:r>
    </w:p>
    <w:p>
      <w:pPr>
        <w:pStyle w:val="BodyTextFirstIndent"/>
      </w:pPr>
      <w:r>
        <w:t>From a broad perspective, the mechanics of O.C.G.A §§ 51-12-31, 51-12-32 and 51-12-33 are relatively simple.  When on point, O.C.G.A. § 51-12-33 controls.</w:t>
      </w:r>
      <w:r>
        <w:rPr>
          <w:rStyle w:val="EndnoteReference"/>
          <w:rFonts w:ascii="Century Schoolbook" w:hAnsi="Century Schoolbook"/>
        </w:rPr>
        <w:endnoteReference w:id="1265"/>
      </w:r>
      <w:r>
        <w:t xml:space="preserve">  Accordingly, any analysis necessarily begins with O.C.G.A. § 51-12-33 and requires a determination as to whether O.C.G.A.§ 51-12-33 addresses the issue at bar.</w:t>
      </w:r>
    </w:p>
    <w:p>
      <w:pPr>
        <w:pStyle w:val="BodyTextFirstIndent"/>
      </w:pPr>
      <w:r>
        <w:t>O.C.G.A. § 51-12-33 provides for apportionment: (1) in cases where the plaintiff is partially at fault; (2) in cases involving multiple defendants; and (3) to non-parties where the non-party has settled a claim with the plaintiff or proper statutory notice is provided.</w:t>
      </w:r>
      <w:r>
        <w:rPr>
          <w:rStyle w:val="EndnoteReference"/>
          <w:rFonts w:ascii="Century Schoolbook" w:hAnsi="Century Schoolbook"/>
        </w:rPr>
        <w:endnoteReference w:id="1266"/>
      </w:r>
      <w:r>
        <w:t xml:space="preserve">  Specifically, the statute provides as follows:</w:t>
      </w:r>
    </w:p>
    <w:p>
      <w:pPr>
        <w:pStyle w:val="BodyText"/>
        <w:ind w:left="720" w:right="720"/>
      </w:pPr>
      <w:r>
        <w:t>(a) Where an action is brought against one or more persons for injury to person or property and the plaintiff is to some degree responsible for the injury or damages claimed, the trier of fact, in its determination of the total amount of damages to be awarded, if any, shall determine the percentage of fault of the plaintiff and the judge shall reduce the amount of damages otherwise awarded to the plaintiff in proportion to his or her percentage of fault.</w:t>
      </w:r>
    </w:p>
    <w:p>
      <w:pPr>
        <w:pStyle w:val="BodyText"/>
        <w:ind w:left="720" w:right="720"/>
      </w:pPr>
      <w:r>
        <w:lastRenderedPageBreak/>
        <w:t>(b) Where an action is brought against more than one person for injury to person or property, the trier of fact, in its determination of the total amount of damages to be awarded, if any, shall after a reduction of damages pursuant to subsection (a) of this Code section, if any, apportion its award of damages among the persons who are liable according to the percentage of fault of each person. Damages apportioned by the trier of fact as provided in this Code section shall be the liability of each person against whom they are awarded, shall not be a joint liability among the persons liable, and shall not be subject to any right of contribution.</w:t>
      </w:r>
    </w:p>
    <w:p>
      <w:pPr>
        <w:spacing w:after="0"/>
        <w:ind w:left="720" w:right="720"/>
        <w:jc w:val="both"/>
      </w:pPr>
    </w:p>
    <w:p>
      <w:pPr>
        <w:pStyle w:val="BodyText"/>
        <w:ind w:left="720" w:right="720"/>
      </w:pPr>
      <w:r>
        <w:t xml:space="preserve"> (d)(1) Negligence or fault of a nonparty shall be considered if the plaintiff entered into a settlement agreement with the nonparty or if a defending party gives notice not later than 120 days prior to the date of trial that a nonparty was wholly or partially at fault.</w:t>
      </w:r>
    </w:p>
    <w:p>
      <w:pPr>
        <w:keepNext/>
        <w:jc w:val="center"/>
        <w:rPr>
          <w:b/>
          <w:sz w:val="24"/>
          <w:szCs w:val="24"/>
        </w:rPr>
      </w:pPr>
      <w:r>
        <w:rPr>
          <w:b/>
          <w:sz w:val="24"/>
          <w:szCs w:val="24"/>
        </w:rPr>
        <w:lastRenderedPageBreak/>
        <w:t>A.</w:t>
      </w:r>
      <w:r>
        <w:rPr>
          <w:b/>
          <w:sz w:val="24"/>
          <w:szCs w:val="24"/>
        </w:rPr>
        <w:tab/>
        <w:t>Does O.C.G.A § 51-12-33 apply when the Plaintiff is partially at fault?</w:t>
      </w:r>
    </w:p>
    <w:p>
      <w:pPr>
        <w:pStyle w:val="BodyTextFirstIndent"/>
      </w:pPr>
      <w:r>
        <w:t xml:space="preserve">In </w:t>
      </w:r>
      <w:r>
        <w:rPr>
          <w:i/>
        </w:rPr>
        <w:t>Cavalier Convenience, Inc. v. Sarvis</w:t>
      </w:r>
      <w:r>
        <w:t>, the appellee argued that apportionment was limited to cases where the plaintiff was partially at fault.</w:t>
      </w:r>
      <w:r>
        <w:rPr>
          <w:rStyle w:val="EndnoteReference"/>
          <w:rFonts w:ascii="Century Schoolbook" w:hAnsi="Century Schoolbook"/>
        </w:rPr>
        <w:endnoteReference w:id="1267"/>
      </w:r>
      <w:r>
        <w:t xml:space="preserve">  Rejecting this position, the Court of Appeals upheld the plain language of the statute which provides for apportionment in cases where the plaintiff is partially at fault </w:t>
      </w:r>
      <w:r>
        <w:rPr>
          <w:u w:val="single"/>
        </w:rPr>
        <w:t>and</w:t>
      </w:r>
      <w:r>
        <w:t xml:space="preserve"> cases involving multiple defendants.</w:t>
      </w:r>
      <w:r>
        <w:rPr>
          <w:rStyle w:val="EndnoteReference"/>
          <w:rFonts w:ascii="Century Schoolbook" w:hAnsi="Century Schoolbook"/>
        </w:rPr>
        <w:endnoteReference w:id="1268"/>
      </w:r>
    </w:p>
    <w:p>
      <w:pPr>
        <w:pStyle w:val="BodyTextFirstIndent"/>
      </w:pPr>
      <w:r>
        <w:t>In</w:t>
      </w:r>
      <w:r>
        <w:rPr>
          <w:i/>
        </w:rPr>
        <w:t xml:space="preserve"> Cavalier</w:t>
      </w:r>
      <w:r>
        <w:t>, the Defendant also contended that the Court’s reading of the statutory scheme rendered O.C.G.A. § 51-12-32 meaningless.</w:t>
      </w:r>
      <w:r>
        <w:rPr>
          <w:rStyle w:val="EndnoteReference"/>
          <w:rFonts w:ascii="Century Schoolbook" w:hAnsi="Century Schoolbook"/>
        </w:rPr>
        <w:endnoteReference w:id="1269"/>
      </w:r>
      <w:r>
        <w:t xml:space="preserve">  As discussed in Section 4 below, O.C.G.A § 51-12-32 stands alone, remains good law, and still allows for contribution against at-fault parties for actions involving pre-trial settlements. While the application of O.C.G.A. § 51-12-32 was limited by O.C.G.A. § 51-12-33, contribution is still available in cases involving pre-trial settlement.</w:t>
      </w:r>
      <w:r>
        <w:rPr>
          <w:rStyle w:val="EndnoteReference"/>
          <w:rFonts w:ascii="Century Schoolbook" w:hAnsi="Century Schoolbook"/>
        </w:rPr>
        <w:endnoteReference w:id="1270"/>
      </w:r>
    </w:p>
    <w:p>
      <w:pPr>
        <w:pStyle w:val="BodyTextFirstIndent"/>
      </w:pPr>
      <w:r>
        <w:t xml:space="preserve">Other rulings have distinguished what claims a plaintiff or third-party plaintiff may bring.  For example, in </w:t>
      </w:r>
      <w:r>
        <w:rPr>
          <w:i/>
        </w:rPr>
        <w:t>Murray v. Patel</w:t>
      </w:r>
      <w:r>
        <w:t>, the Court of Appeals held that a third-party complaint for contribution and/or indemnity was a viable cause of action.</w:t>
      </w:r>
      <w:r>
        <w:rPr>
          <w:rStyle w:val="EndnoteReference"/>
          <w:rFonts w:ascii="Century Schoolbook" w:hAnsi="Century Schoolbook"/>
        </w:rPr>
        <w:endnoteReference w:id="1271"/>
      </w:r>
      <w:r>
        <w:t xml:space="preserve">  In </w:t>
      </w:r>
      <w:r>
        <w:rPr>
          <w:i/>
        </w:rPr>
        <w:t>Patel</w:t>
      </w:r>
      <w:r>
        <w:t>, the Georgia Court of Appeals found that there was no authority supporting Patel’s position that the abolishment of joint and several liability also removed the ability to file a third-party complaint for contribution or indemnity.</w:t>
      </w:r>
      <w:r>
        <w:rPr>
          <w:rStyle w:val="EndnoteReference"/>
          <w:rFonts w:ascii="Century Schoolbook" w:hAnsi="Century Schoolbook"/>
        </w:rPr>
        <w:endnoteReference w:id="1272"/>
      </w:r>
      <w:r>
        <w:t xml:space="preserve">  Rather, the Court held that the plain language of O.C.G.A. § 51-12-33 merely requires that the trier of fact </w:t>
      </w:r>
      <w:r>
        <w:lastRenderedPageBreak/>
        <w:t>apportion between the defendants and third-party defendants, and that no rights of contribution  would remain following actual apportionment by a trier of fact.</w:t>
      </w:r>
      <w:r>
        <w:rPr>
          <w:rStyle w:val="EndnoteReference"/>
          <w:rFonts w:ascii="Century Schoolbook" w:hAnsi="Century Schoolbook"/>
        </w:rPr>
        <w:endnoteReference w:id="1273"/>
      </w:r>
      <w:r>
        <w:t xml:space="preserve">  </w:t>
      </w:r>
    </w:p>
    <w:p>
      <w:pPr>
        <w:pStyle w:val="BodyTextFirstIndent"/>
      </w:pPr>
      <w:r>
        <w:t>In contrast, in</w:t>
      </w:r>
      <w:r>
        <w:rPr>
          <w:i/>
        </w:rPr>
        <w:t xml:space="preserve"> District Owners Ass’n, Inc. v. AMEC Environmental &amp; Infrastructure, Inc.</w:t>
      </w:r>
      <w:r>
        <w:t>, the Georgia Court of Appeals held that the revisions to O.C.G.A. § 51-12-33 did not create a  separate cause of action for “apportionment”.</w:t>
      </w:r>
      <w:r>
        <w:rPr>
          <w:rStyle w:val="EndnoteReference"/>
          <w:rFonts w:ascii="Century Schoolbook" w:hAnsi="Century Schoolbook"/>
        </w:rPr>
        <w:endnoteReference w:id="1274"/>
      </w:r>
      <w:r>
        <w:t xml:space="preserve">  In so holding, the Court held that O.C.G.A. § 51-12-33 did not create an independent cause of action, and that the legislature intended to displace any right to common law apportionment.</w:t>
      </w:r>
      <w:r>
        <w:rPr>
          <w:rStyle w:val="EndnoteReference"/>
          <w:rFonts w:ascii="Century Schoolbook" w:hAnsi="Century Schoolbook"/>
        </w:rPr>
        <w:endnoteReference w:id="1275"/>
      </w:r>
      <w:r>
        <w:t xml:space="preserve">  </w:t>
      </w:r>
    </w:p>
    <w:p>
      <w:pPr>
        <w:pStyle w:val="BodyTextFirstIndent"/>
      </w:pPr>
      <w:r>
        <w:t xml:space="preserve">Moreover, the Court clarified the holding in </w:t>
      </w:r>
      <w:r>
        <w:rPr>
          <w:i/>
        </w:rPr>
        <w:t>Murray</w:t>
      </w:r>
      <w:r>
        <w:t xml:space="preserve">, noting that in </w:t>
      </w:r>
      <w:r>
        <w:rPr>
          <w:i/>
        </w:rPr>
        <w:t xml:space="preserve">Murray </w:t>
      </w:r>
      <w:r>
        <w:t>the</w:t>
      </w:r>
      <w:r>
        <w:rPr>
          <w:i/>
        </w:rPr>
        <w:t xml:space="preserve"> </w:t>
      </w:r>
      <w:r>
        <w:t>Court merely “concluded that the third-party practice statute was not necessarily incompatible with the apportionment statute…”.</w:t>
      </w:r>
      <w:r>
        <w:rPr>
          <w:rStyle w:val="EndnoteReference"/>
          <w:rFonts w:ascii="Century Schoolbook" w:hAnsi="Century Schoolbook"/>
        </w:rPr>
        <w:endnoteReference w:id="1276"/>
      </w:r>
      <w:r>
        <w:t xml:space="preserve"> The decision in </w:t>
      </w:r>
      <w:r>
        <w:rPr>
          <w:i/>
        </w:rPr>
        <w:t>District Owners</w:t>
      </w:r>
      <w:r>
        <w:t xml:space="preserve"> questions whether the holding in </w:t>
      </w:r>
      <w:r>
        <w:rPr>
          <w:i/>
        </w:rPr>
        <w:t>Murray</w:t>
      </w:r>
      <w:r>
        <w:t xml:space="preserve"> is good law, but the issue of third-party claims has yet to be resolved by either the Court of Appeals or the Georgia Supreme Court.</w:t>
      </w:r>
    </w:p>
    <w:p>
      <w:pPr>
        <w:jc w:val="center"/>
        <w:rPr>
          <w:b/>
          <w:sz w:val="24"/>
          <w:szCs w:val="24"/>
        </w:rPr>
      </w:pPr>
      <w:r>
        <w:rPr>
          <w:b/>
          <w:sz w:val="24"/>
          <w:szCs w:val="24"/>
        </w:rPr>
        <w:t>B.</w:t>
      </w:r>
      <w:r>
        <w:rPr>
          <w:b/>
          <w:sz w:val="24"/>
          <w:szCs w:val="24"/>
        </w:rPr>
        <w:tab/>
        <w:t>Does apportionment apply to non-parties?</w:t>
      </w:r>
    </w:p>
    <w:p>
      <w:pPr>
        <w:pStyle w:val="BodyTextFirstIndent"/>
      </w:pPr>
      <w:r>
        <w:tab/>
        <w:t>Apportionment against non-parties occurs in two scenarios:  (1) if a plaintiff settles with a non-party (or a co-defendant who then becomes a non-party); or (2) if a notice is filed alleging a non-party’s fault at least 120 days prior to trial.</w:t>
      </w:r>
      <w:r>
        <w:rPr>
          <w:rStyle w:val="EndnoteReference"/>
          <w:rFonts w:ascii="Century Schoolbook" w:hAnsi="Century Schoolbook"/>
        </w:rPr>
        <w:endnoteReference w:id="1277"/>
      </w:r>
      <w:r>
        <w:t xml:space="preserve"> </w:t>
      </w:r>
    </w:p>
    <w:p>
      <w:pPr>
        <w:pStyle w:val="BodyTextFirstIndent"/>
      </w:pPr>
      <w:r>
        <w:t xml:space="preserve">Pursuant to the plain language of the statute, apportionment is automatically permitted against a settling non-party or co-defendant, </w:t>
      </w:r>
      <w:r>
        <w:lastRenderedPageBreak/>
        <w:t>and is conditionally permissible against other non-parties upon the furnishing of sufficient notice.</w:t>
      </w:r>
      <w:r>
        <w:rPr>
          <w:rStyle w:val="EndnoteReference"/>
          <w:rFonts w:ascii="Century Schoolbook" w:hAnsi="Century Schoolbook"/>
        </w:rPr>
        <w:endnoteReference w:id="1278"/>
      </w:r>
      <w:r>
        <w:t xml:space="preserve"> However, apportionment under either scenario can only occur if there is sufficient evidence presented to establish the non-party’s fault.</w:t>
      </w:r>
      <w:r>
        <w:rPr>
          <w:rStyle w:val="EndnoteReference"/>
          <w:rFonts w:ascii="Century Schoolbook" w:hAnsi="Century Schoolbook"/>
        </w:rPr>
        <w:endnoteReference w:id="1279"/>
      </w:r>
      <w:r>
        <w:t xml:space="preserve">  Moreover, the right to apportion fault against non-parties at trial replaced traditional methods of “setting-off” a defendant’s liability with prior payments made by settling parties.</w:t>
      </w:r>
      <w:r>
        <w:rPr>
          <w:rStyle w:val="EndnoteReference"/>
          <w:rFonts w:ascii="Century Schoolbook" w:hAnsi="Century Schoolbook"/>
        </w:rPr>
        <w:endnoteReference w:id="1280"/>
      </w:r>
    </w:p>
    <w:p>
      <w:pPr>
        <w:pStyle w:val="BodyTextFirstIndent"/>
      </w:pPr>
      <w:r>
        <w:t>If a party elects to proceed to trial, the party must apportion fault, where applicable, to the plaintiff, any co-defendants, third-party defendants, settling co-defendants and non-parties, and any other identified non-parties (presuming the statutory requirements are met).</w:t>
      </w:r>
      <w:r>
        <w:rPr>
          <w:rStyle w:val="EndnoteReference"/>
          <w:rFonts w:ascii="Century Schoolbook" w:hAnsi="Century Schoolbook"/>
        </w:rPr>
        <w:endnoteReference w:id="1281"/>
      </w:r>
      <w:r>
        <w:t xml:space="preserve">  A party may later seek contribution merely because it failed to seek apportionment at trial or because a party fails to present sufficient evidence to allow a jury to apportion.</w:t>
      </w:r>
      <w:r>
        <w:rPr>
          <w:rStyle w:val="EndnoteReference"/>
          <w:rFonts w:ascii="Century Schoolbook" w:hAnsi="Century Schoolbook"/>
        </w:rPr>
        <w:endnoteReference w:id="1282"/>
      </w:r>
    </w:p>
    <w:p>
      <w:pPr>
        <w:jc w:val="center"/>
        <w:rPr>
          <w:b/>
          <w:sz w:val="24"/>
          <w:szCs w:val="24"/>
        </w:rPr>
      </w:pPr>
      <w:r>
        <w:rPr>
          <w:b/>
          <w:sz w:val="24"/>
          <w:szCs w:val="24"/>
        </w:rPr>
        <w:t>2.</w:t>
      </w:r>
      <w:r>
        <w:rPr>
          <w:b/>
          <w:sz w:val="24"/>
          <w:szCs w:val="24"/>
        </w:rPr>
        <w:tab/>
        <w:t xml:space="preserve">Is Apportionment to Intentional, Criminal Actors Permissible? </w:t>
      </w:r>
    </w:p>
    <w:p>
      <w:pPr>
        <w:pStyle w:val="BodyTextFirstIndent"/>
      </w:pPr>
      <w:r>
        <w:t xml:space="preserve">In </w:t>
      </w:r>
      <w:r>
        <w:rPr>
          <w:i/>
        </w:rPr>
        <w:t>Pacheco v. Regal Cinemas, Inc.</w:t>
      </w:r>
      <w:r>
        <w:t>, a movie theater patron was shot in a theater parking lot by individuals who verbally communicated gang affiliations prior to the attack.</w:t>
      </w:r>
      <w:r>
        <w:rPr>
          <w:rStyle w:val="EndnoteReference"/>
          <w:rFonts w:ascii="Century Schoolbook" w:hAnsi="Century Schoolbook"/>
        </w:rPr>
        <w:endnoteReference w:id="1283"/>
      </w:r>
      <w:r>
        <w:t xml:space="preserve">  In a suit against Regal Cinemas and its security provider, the Defendants successfully sought apportionment against the criminal actors who attacked and killed the decedent.</w:t>
      </w:r>
      <w:r>
        <w:rPr>
          <w:rStyle w:val="EndnoteReference"/>
          <w:rFonts w:ascii="Century Schoolbook" w:hAnsi="Century Schoolbook"/>
        </w:rPr>
        <w:endnoteReference w:id="1284"/>
      </w:r>
      <w:r>
        <w:t xml:space="preserve">  Pacheco, as administrator for the deceased, argued that the application of the apportionment statute to intentional, criminal actors violated the decedent’s constitutional rights.</w:t>
      </w:r>
      <w:r>
        <w:rPr>
          <w:rStyle w:val="EndnoteReference"/>
          <w:rFonts w:ascii="Century Schoolbook" w:hAnsi="Century Schoolbook"/>
        </w:rPr>
        <w:endnoteReference w:id="1285"/>
      </w:r>
      <w:r>
        <w:t xml:space="preserve">  </w:t>
      </w:r>
      <w:r>
        <w:lastRenderedPageBreak/>
        <w:t>However, the Georgia Court of Appeals refused to address the constitutional defenses at that time because Pacheco failed to preserve those challenges to the statute at trial.</w:t>
      </w:r>
      <w:r>
        <w:rPr>
          <w:rStyle w:val="EndnoteReference"/>
          <w:rFonts w:ascii="Century Schoolbook" w:hAnsi="Century Schoolbook"/>
        </w:rPr>
        <w:endnoteReference w:id="1286"/>
      </w:r>
      <w:r>
        <w:t xml:space="preserve">  The Court of Appeals did, however, affirm the trial court’s application of O.C.G.A. § 51-12-33 to criminal actors.</w:t>
      </w:r>
      <w:r>
        <w:rPr>
          <w:rStyle w:val="EndnoteReference"/>
          <w:rFonts w:ascii="Century Schoolbook" w:hAnsi="Century Schoolbook"/>
        </w:rPr>
        <w:endnoteReference w:id="1287"/>
      </w:r>
    </w:p>
    <w:p>
      <w:pPr>
        <w:pStyle w:val="BodyTextFirstIndent"/>
      </w:pPr>
      <w:r>
        <w:t xml:space="preserve">Following </w:t>
      </w:r>
      <w:r>
        <w:rPr>
          <w:i/>
        </w:rPr>
        <w:t>Pacheco</w:t>
      </w:r>
      <w:r>
        <w:t xml:space="preserve">, several cases focused on the constitutionality of O.C.G.A. § 51-12-33, particularly as applied to intentional, criminal conduct.  Those cases include </w:t>
      </w:r>
      <w:r>
        <w:rPr>
          <w:i/>
        </w:rPr>
        <w:t>Couch v. Red Roof Inns, Inc.</w:t>
      </w:r>
      <w:r>
        <w:t xml:space="preserve">, 291 Ga. 359, 729 S.E. 2d 378 (2012), </w:t>
      </w:r>
      <w:r>
        <w:rPr>
          <w:i/>
        </w:rPr>
        <w:t>GFI Mgmt Servs., Inc. v. Medina</w:t>
      </w:r>
      <w:r>
        <w:t xml:space="preserve">, 291 Ga. 741, 733 S.E. 2d 329 (2012), and </w:t>
      </w:r>
      <w:r>
        <w:rPr>
          <w:i/>
        </w:rPr>
        <w:t>Six Flags Over Georgia II, L.P., v. Martin</w:t>
      </w:r>
      <w:r>
        <w:t>, 320 Ga. App. 52, 743 S.E. 2d 25 (2013).</w:t>
      </w:r>
    </w:p>
    <w:p>
      <w:pPr>
        <w:pStyle w:val="BodyTextFirstIndent"/>
      </w:pPr>
      <w:r>
        <w:t xml:space="preserve">In </w:t>
      </w:r>
      <w:r>
        <w:rPr>
          <w:i/>
        </w:rPr>
        <w:t>Couch v. Red Roof Inns, Inc.</w:t>
      </w:r>
      <w:r>
        <w:t>, the Georgia Supreme Court certified two questions:</w:t>
      </w:r>
    </w:p>
    <w:p>
      <w:pPr>
        <w:pStyle w:val="BodyText"/>
        <w:ind w:left="720" w:right="720"/>
        <w:rPr>
          <w:szCs w:val="22"/>
        </w:rPr>
      </w:pPr>
      <w:r>
        <w:rPr>
          <w:szCs w:val="22"/>
        </w:rPr>
        <w:t xml:space="preserve">(1) In a premises liability case in which the jury determines a defendant property owner negligently failed to prevent a forseeable criminal attack, is the jury allowed to consider the "fault" of the criminal assailant and apportion its award of damages among the property owner and the criminal assailant, pursuant to O.C.G.A. § 51-12-33? </w:t>
      </w:r>
    </w:p>
    <w:p>
      <w:pPr>
        <w:pStyle w:val="NormalWeb"/>
        <w:spacing w:after="120"/>
        <w:ind w:left="720" w:right="720"/>
        <w:jc w:val="both"/>
        <w:rPr>
          <w:rFonts w:ascii="Century Schoolbook" w:hAnsi="Century Schoolbook"/>
          <w:sz w:val="22"/>
          <w:szCs w:val="22"/>
        </w:rPr>
      </w:pPr>
      <w:r>
        <w:rPr>
          <w:rFonts w:ascii="Century Schoolbook" w:hAnsi="Century Schoolbook"/>
          <w:sz w:val="22"/>
          <w:szCs w:val="22"/>
        </w:rPr>
        <w:t xml:space="preserve">and </w:t>
      </w:r>
    </w:p>
    <w:p>
      <w:pPr>
        <w:pStyle w:val="BodyText"/>
        <w:ind w:left="720" w:right="720"/>
        <w:rPr>
          <w:szCs w:val="22"/>
        </w:rPr>
      </w:pPr>
      <w:r>
        <w:rPr>
          <w:szCs w:val="22"/>
        </w:rPr>
        <w:t xml:space="preserve">(2) In a premises liability case in which the jury determines a defendant </w:t>
      </w:r>
      <w:r>
        <w:rPr>
          <w:szCs w:val="22"/>
        </w:rPr>
        <w:lastRenderedPageBreak/>
        <w:t>property owner negligently failed to prevent a forseeable criminal attack, would jury instructions or a special verdict form requiring the jury to apportion its award of damages among the property owner and the criminal assailant, pursuant to O.C.G.A. § 51-12-33, result in a violation of the plaintiff's constitutional rights to a jury trial, due process or equal protection?</w:t>
      </w:r>
      <w:r>
        <w:rPr>
          <w:rStyle w:val="EndnoteReference"/>
          <w:rFonts w:ascii="Century Schoolbook" w:hAnsi="Century Schoolbook"/>
          <w:szCs w:val="22"/>
        </w:rPr>
        <w:endnoteReference w:id="1288"/>
      </w:r>
    </w:p>
    <w:p>
      <w:pPr>
        <w:pStyle w:val="BodyTextFirstIndent"/>
      </w:pPr>
      <w:r>
        <w:t>The Georgia Supreme Court ultimately held that the apportionment statute applies to intentional criminal conduct and is constitutional.  In so holding, the Supreme Court made three relevant findings.  First, the Court ruled that the term “fault” includes intentional conduct.</w:t>
      </w:r>
      <w:r>
        <w:rPr>
          <w:rStyle w:val="EndnoteReference"/>
          <w:rFonts w:ascii="Century Schoolbook" w:hAnsi="Century Schoolbook"/>
        </w:rPr>
        <w:endnoteReference w:id="1289"/>
      </w:r>
      <w:r>
        <w:t xml:space="preserve">  Second, the Court held that because the statute referenced both “negligence” and “fault” with regard to apportionment, apportionment extended to intentional acts.</w:t>
      </w:r>
      <w:r>
        <w:rPr>
          <w:rStyle w:val="EndnoteReference"/>
          <w:rFonts w:ascii="Century Schoolbook" w:hAnsi="Century Schoolbook"/>
        </w:rPr>
        <w:endnoteReference w:id="1290"/>
      </w:r>
      <w:r>
        <w:t xml:space="preserve">  Third, the Court held that there was clear evidence that the legislature did not intend to exclude intentional acts.</w:t>
      </w:r>
      <w:r>
        <w:rPr>
          <w:rStyle w:val="EndnoteReference"/>
          <w:rFonts w:ascii="Century Schoolbook" w:hAnsi="Century Schoolbook"/>
        </w:rPr>
        <w:endnoteReference w:id="1291"/>
      </w:r>
    </w:p>
    <w:p>
      <w:pPr>
        <w:pStyle w:val="BodyTextFirstIndent"/>
      </w:pPr>
      <w:r>
        <w:t>In addressing the constitutionality of O.C.G.A. § 51-12-33, the Supreme Court also examined whether the statute altered the right to a jury trial, was unconstitutionally vague, or otherwise altered vested property rights.</w:t>
      </w:r>
      <w:r>
        <w:rPr>
          <w:rStyle w:val="EndnoteReference"/>
          <w:rFonts w:ascii="Century Schoolbook" w:hAnsi="Century Schoolbook"/>
        </w:rPr>
        <w:endnoteReference w:id="1292"/>
      </w:r>
      <w:r>
        <w:t xml:space="preserve">  </w:t>
      </w:r>
    </w:p>
    <w:p>
      <w:pPr>
        <w:pStyle w:val="BodyTextFirstIndent"/>
      </w:pPr>
      <w:r>
        <w:t>The Court held that the statute does not alter any part of a jury’s normal function.</w:t>
      </w:r>
      <w:r>
        <w:rPr>
          <w:rStyle w:val="EndnoteReference"/>
          <w:rFonts w:ascii="Century Schoolbook" w:hAnsi="Century Schoolbook"/>
        </w:rPr>
        <w:endnoteReference w:id="1293"/>
      </w:r>
      <w:r>
        <w:t xml:space="preserve">  Under O.C.G.A. § </w:t>
      </w:r>
      <w:r>
        <w:lastRenderedPageBreak/>
        <w:t>51-12-33, a jury still assesses liability, calculates damages, and names tortfeasors who are responsible.</w:t>
      </w:r>
      <w:r>
        <w:rPr>
          <w:rStyle w:val="EndnoteReference"/>
          <w:rFonts w:ascii="Century Schoolbook" w:hAnsi="Century Schoolbook"/>
        </w:rPr>
        <w:endnoteReference w:id="1294"/>
      </w:r>
      <w:r>
        <w:t xml:space="preserve">  The Supreme Court also held that the statute is not unconstitutionally vague because the statute specifically refers to negligence or fault of non-parties, and therefore, includes intentional acts in addition to negligent acts.</w:t>
      </w:r>
      <w:r>
        <w:rPr>
          <w:rStyle w:val="EndnoteReference"/>
          <w:rFonts w:ascii="Century Schoolbook" w:hAnsi="Century Schoolbook"/>
        </w:rPr>
        <w:endnoteReference w:id="1295"/>
      </w:r>
      <w:r>
        <w:t xml:space="preserve">  Finally, the statute clearly does not destroy any vested property rights.</w:t>
      </w:r>
      <w:r>
        <w:rPr>
          <w:rStyle w:val="EndnoteReference"/>
          <w:rFonts w:ascii="Century Schoolbook" w:hAnsi="Century Schoolbook"/>
        </w:rPr>
        <w:endnoteReference w:id="1296"/>
      </w:r>
      <w:r>
        <w:t xml:space="preserve"> </w:t>
      </w:r>
    </w:p>
    <w:p>
      <w:pPr>
        <w:pStyle w:val="BodyTextFirstIndent"/>
      </w:pPr>
      <w:r>
        <w:t xml:space="preserve">Shortly after the Supreme Court’s ruling in </w:t>
      </w:r>
      <w:r>
        <w:rPr>
          <w:i/>
        </w:rPr>
        <w:t>Couch</w:t>
      </w:r>
      <w:r>
        <w:t>, the Court of Appeals and Supreme Court reversed two separate trial court orders which had found that O.C.G.A. §§ 51-12-31 and 51-12-33 were unconstitutional as drafted and were not to be applied to criminal actors.</w:t>
      </w:r>
      <w:r>
        <w:rPr>
          <w:rStyle w:val="EndnoteReference"/>
          <w:rFonts w:ascii="Century Schoolbook" w:hAnsi="Century Schoolbook"/>
        </w:rPr>
        <w:endnoteReference w:id="1297"/>
      </w:r>
    </w:p>
    <w:p>
      <w:pPr>
        <w:pStyle w:val="BodyTextFirstIndent"/>
      </w:pPr>
      <w:r>
        <w:t xml:space="preserve">Now that the Georgia Supreme Court has resolved the major issues concerning apportionment to criminal actors, the more interesting question is whether the law will have a substantive impact on premises and negligent security cases.  It remains to be seen whether juries are willing to apportion substantial levels of fault to criminal actors who may be in jail, without assets, or unknown because they have not been caught, despite the criminal actor’s crucial role in causing the injuries.  </w:t>
      </w:r>
    </w:p>
    <w:p>
      <w:pPr>
        <w:jc w:val="center"/>
        <w:rPr>
          <w:b/>
          <w:sz w:val="24"/>
          <w:szCs w:val="24"/>
        </w:rPr>
      </w:pPr>
      <w:r>
        <w:rPr>
          <w:b/>
          <w:sz w:val="24"/>
          <w:szCs w:val="24"/>
        </w:rPr>
        <w:t>3.</w:t>
      </w:r>
      <w:r>
        <w:rPr>
          <w:b/>
          <w:sz w:val="24"/>
          <w:szCs w:val="24"/>
        </w:rPr>
        <w:tab/>
        <w:t>Is Apportionment to Immune Actors Permissible?</w:t>
      </w:r>
    </w:p>
    <w:p>
      <w:pPr>
        <w:pStyle w:val="BodyTextFirstIndent"/>
      </w:pPr>
      <w:r>
        <w:t xml:space="preserve">Following the Supreme Court’s holding in </w:t>
      </w:r>
      <w:r>
        <w:rPr>
          <w:i/>
        </w:rPr>
        <w:t>Couch v. Red Roof Inns, Inc.</w:t>
      </w:r>
      <w:r>
        <w:t>, the Court of Appeals has also held that apportionment is permissible against otherwise immune actors.</w:t>
      </w:r>
      <w:r>
        <w:rPr>
          <w:rStyle w:val="EndnoteReference"/>
          <w:rFonts w:ascii="Century Schoolbook" w:hAnsi="Century Schoolbook"/>
        </w:rPr>
        <w:endnoteReference w:id="1298"/>
      </w:r>
      <w:r>
        <w:t xml:space="preserve">  For example, the case of </w:t>
      </w:r>
      <w:r>
        <w:rPr>
          <w:i/>
        </w:rPr>
        <w:t xml:space="preserve">Barnett v. </w:t>
      </w:r>
      <w:r>
        <w:t xml:space="preserve">Farmer involved a motor vehicle accident in which both drivers </w:t>
      </w:r>
      <w:r>
        <w:lastRenderedPageBreak/>
        <w:t>claimed the other to be at fault.</w:t>
      </w:r>
      <w:r>
        <w:rPr>
          <w:rStyle w:val="EndnoteReference"/>
          <w:rFonts w:ascii="Century Schoolbook" w:hAnsi="Century Schoolbook"/>
        </w:rPr>
        <w:endnoteReference w:id="1299"/>
      </w:r>
      <w:r>
        <w:t xml:space="preserve">  A passenger, the driver’s wife (Shirley Farmer), brought a personal injury claim against the opposing driver.</w:t>
      </w:r>
      <w:r>
        <w:rPr>
          <w:rStyle w:val="EndnoteReference"/>
          <w:rFonts w:ascii="Century Schoolbook" w:hAnsi="Century Schoolbook"/>
        </w:rPr>
        <w:endnoteReference w:id="1300"/>
      </w:r>
      <w:r>
        <w:t xml:space="preserve">  The opposing driver, Barnett, sought apportionment against the other driver, Willie Farmer, to any extent Willie Farmer caused the accident and his own wife’s injuries.</w:t>
      </w:r>
      <w:r>
        <w:rPr>
          <w:rStyle w:val="EndnoteReference"/>
          <w:rFonts w:ascii="Century Schoolbook" w:hAnsi="Century Schoolbook"/>
        </w:rPr>
        <w:endnoteReference w:id="1301"/>
      </w:r>
    </w:p>
    <w:p>
      <w:pPr>
        <w:pStyle w:val="BodyTextFirstIndent"/>
      </w:pPr>
      <w:r>
        <w:t>The Farmers argued that apportionment against Willie violated the interspousal tort immunity doctrine.</w:t>
      </w:r>
      <w:r>
        <w:rPr>
          <w:rStyle w:val="EndnoteReference"/>
          <w:rFonts w:ascii="Century Schoolbook" w:hAnsi="Century Schoolbook"/>
        </w:rPr>
        <w:endnoteReference w:id="1302"/>
      </w:r>
      <w:r>
        <w:t xml:space="preserve">  The Court of Appeals rejected this argument, holding:</w:t>
      </w:r>
    </w:p>
    <w:p>
      <w:pPr>
        <w:pStyle w:val="BodyText"/>
        <w:ind w:left="720" w:right="720"/>
        <w:rPr>
          <w:szCs w:val="22"/>
        </w:rPr>
      </w:pPr>
      <w:r>
        <w:rPr>
          <w:szCs w:val="22"/>
        </w:rPr>
        <w:t xml:space="preserve">[I]t would be contrary to the clear intent of the legislature to require </w:t>
      </w:r>
      <w:r>
        <w:t>Barnett</w:t>
      </w:r>
      <w:r>
        <w:rPr>
          <w:szCs w:val="22"/>
        </w:rPr>
        <w:t xml:space="preserve"> to pay for the full amount of Shirley’s damages for the same collision simply because she was the passenger in the car her husband was driving.  </w:t>
      </w:r>
    </w:p>
    <w:p>
      <w:pPr>
        <w:pStyle w:val="NormalWeb"/>
        <w:spacing w:after="120"/>
        <w:ind w:left="600" w:right="600"/>
        <w:jc w:val="both"/>
        <w:rPr>
          <w:rFonts w:ascii="Century Schoolbook" w:hAnsi="Century Schoolbook"/>
          <w:sz w:val="22"/>
          <w:szCs w:val="22"/>
        </w:rPr>
      </w:pPr>
      <w:r>
        <w:rPr>
          <w:rFonts w:ascii="Century Schoolbook" w:hAnsi="Century Schoolbook"/>
          <w:sz w:val="22"/>
          <w:szCs w:val="22"/>
        </w:rPr>
        <w:t>[…]</w:t>
      </w:r>
    </w:p>
    <w:p>
      <w:pPr>
        <w:pStyle w:val="BodyText"/>
        <w:ind w:left="720" w:right="720"/>
      </w:pPr>
      <w:r>
        <w:t xml:space="preserve">Our holding in no way </w:t>
      </w:r>
      <w:r>
        <w:rPr>
          <w:i/>
        </w:rPr>
        <w:t>requires</w:t>
      </w:r>
      <w:r>
        <w:t xml:space="preserve"> Shirley to file suit against her husband, but instead, precludes her from recovering from Barnett that portion of her damages, if any, that a trier of fact concludes resulted from the negligence of her husband.</w:t>
      </w:r>
      <w:r>
        <w:rPr>
          <w:rStyle w:val="EndnoteReference"/>
          <w:rFonts w:ascii="Century Schoolbook" w:hAnsi="Century Schoolbook"/>
          <w:szCs w:val="22"/>
        </w:rPr>
        <w:endnoteReference w:id="1303"/>
      </w:r>
    </w:p>
    <w:p>
      <w:pPr>
        <w:pStyle w:val="NormalWeb"/>
        <w:ind w:left="600" w:right="600"/>
        <w:jc w:val="both"/>
        <w:rPr>
          <w:rFonts w:ascii="Century Schoolbook" w:hAnsi="Century Schoolbook"/>
          <w:sz w:val="22"/>
          <w:szCs w:val="22"/>
        </w:rPr>
      </w:pPr>
    </w:p>
    <w:p>
      <w:pPr>
        <w:pStyle w:val="BodyTextFirstIndent"/>
      </w:pPr>
      <w:r>
        <w:t xml:space="preserve">While the holding in </w:t>
      </w:r>
      <w:r>
        <w:rPr>
          <w:i/>
        </w:rPr>
        <w:t>Barnett</w:t>
      </w:r>
      <w:r>
        <w:t xml:space="preserve"> pertains to the interspousal tort immunity doctrine, the rationale is much broader and echoes the Supreme Court’s holding in </w:t>
      </w:r>
      <w:r>
        <w:rPr>
          <w:i/>
        </w:rPr>
        <w:t>Couch</w:t>
      </w:r>
      <w:r>
        <w:t xml:space="preserve">; the purpose </w:t>
      </w:r>
      <w:r>
        <w:lastRenderedPageBreak/>
        <w:t>of Georgia's apportionment statute is to enable the jury to apportion liability against all at-fault actors.</w:t>
      </w:r>
      <w:r>
        <w:rPr>
          <w:rStyle w:val="EndnoteReference"/>
          <w:rFonts w:ascii="Century Schoolbook" w:hAnsi="Century Schoolbook"/>
        </w:rPr>
        <w:endnoteReference w:id="1304"/>
      </w:r>
      <w:r>
        <w:t xml:space="preserve">  </w:t>
      </w:r>
    </w:p>
    <w:p>
      <w:pPr>
        <w:pStyle w:val="BodyTextFirstIndent"/>
      </w:pPr>
      <w:r>
        <w:tab/>
        <w:t xml:space="preserve">While Georgia’s appellate Courts have not specifically addressed other immunities (i.e. the worker’s compensation exclusive remedy bar or sovereign immunity), the result will likely be the same as </w:t>
      </w:r>
      <w:r>
        <w:rPr>
          <w:i/>
        </w:rPr>
        <w:t>Barnett</w:t>
      </w:r>
      <w:r>
        <w:t xml:space="preserve">.  Like Barnett, it would be unfair for certain defendants to be required to pay the full amount of damages merely because suit is not feasible against another at-fault entity or individual.  Such a ruling would be inconsistent with both the </w:t>
      </w:r>
      <w:r>
        <w:rPr>
          <w:i/>
        </w:rPr>
        <w:t>Barnett</w:t>
      </w:r>
      <w:r>
        <w:t xml:space="preserve"> decision and the broader purpose of O.C.G.A. § 51-12-33.</w:t>
      </w:r>
    </w:p>
    <w:p>
      <w:pPr>
        <w:jc w:val="center"/>
        <w:rPr>
          <w:b/>
          <w:sz w:val="24"/>
          <w:szCs w:val="24"/>
        </w:rPr>
      </w:pPr>
      <w:r>
        <w:rPr>
          <w:b/>
          <w:sz w:val="24"/>
          <w:szCs w:val="24"/>
        </w:rPr>
        <w:t>4.</w:t>
      </w:r>
      <w:r>
        <w:rPr>
          <w:b/>
          <w:sz w:val="24"/>
          <w:szCs w:val="24"/>
        </w:rPr>
        <w:tab/>
        <w:t>Did the Tort Reform Act Bar Contribution Altogether?</w:t>
      </w:r>
    </w:p>
    <w:p>
      <w:pPr>
        <w:pStyle w:val="BodyTextFirstIndent"/>
      </w:pPr>
      <w:r>
        <w:t xml:space="preserve">In </w:t>
      </w:r>
      <w:r>
        <w:rPr>
          <w:i/>
        </w:rPr>
        <w:t>Zurich American Ins. Co., et al. v. Heard, et al.</w:t>
      </w:r>
      <w:r>
        <w:t>, the Georgia Court of Appeals provided clarity to the Georgia Tort Reform statutes and the interplay between O.C.G.A. §§ 51-12-32 and 51-12-33.</w:t>
      </w:r>
      <w:r>
        <w:rPr>
          <w:rStyle w:val="EndnoteReference"/>
          <w:rFonts w:ascii="Century Schoolbook" w:hAnsi="Century Schoolbook"/>
        </w:rPr>
        <w:endnoteReference w:id="1305"/>
      </w:r>
      <w:r>
        <w:t xml:space="preserve">  In its decision, the Court affirmed the legislature’s decision to leave O.C.G.A. § 51-12-32 intact as part of the 2005 Tort Reform legislation.  The Court’s decision was based on a straightforward application of  O.C.G.A. §§ 51-12-32 and 51-12-33.  </w:t>
      </w:r>
    </w:p>
    <w:p>
      <w:pPr>
        <w:pStyle w:val="BodyTextFirstIndent"/>
      </w:pPr>
      <w:r>
        <w:t xml:space="preserve">The dispute in </w:t>
      </w:r>
      <w:r>
        <w:rPr>
          <w:i/>
        </w:rPr>
        <w:t>Zurich American Ins. Co. v. Heard</w:t>
      </w:r>
      <w:r>
        <w:t xml:space="preserve"> arose out of the construction of a hotel in Brunswick, Georgia.</w:t>
      </w:r>
      <w:r>
        <w:rPr>
          <w:rStyle w:val="EndnoteReference"/>
          <w:rFonts w:ascii="Century Schoolbook" w:hAnsi="Century Schoolbook"/>
        </w:rPr>
        <w:endnoteReference w:id="1306"/>
      </w:r>
      <w:r>
        <w:t xml:space="preserve">  After completion of the construction project, the hotel suffered water intrusion and related water damage.</w:t>
      </w:r>
      <w:r>
        <w:rPr>
          <w:rStyle w:val="EndnoteReference"/>
          <w:rFonts w:ascii="Century Schoolbook" w:hAnsi="Century Schoolbook"/>
        </w:rPr>
        <w:endnoteReference w:id="1307"/>
      </w:r>
      <w:r>
        <w:t xml:space="preserve">  The owners of the hotel initiated an arbitration action against the general contractor and the architect, among other entities, before the American Arbitration </w:t>
      </w:r>
      <w:r>
        <w:lastRenderedPageBreak/>
        <w:t>Association.</w:t>
      </w:r>
      <w:r>
        <w:rPr>
          <w:rStyle w:val="EndnoteReference"/>
          <w:rFonts w:ascii="Century Schoolbook" w:hAnsi="Century Schoolbook"/>
        </w:rPr>
        <w:endnoteReference w:id="1308"/>
      </w:r>
      <w:r>
        <w:t xml:space="preserve"> The architect’s contract contained a clause that precluded the owner from suing him in the same forum and, as a result, the architect was dismissed from the arbitration.</w:t>
      </w:r>
      <w:r>
        <w:rPr>
          <w:rStyle w:val="EndnoteReference"/>
          <w:rFonts w:ascii="Century Schoolbook" w:hAnsi="Century Schoolbook"/>
        </w:rPr>
        <w:endnoteReference w:id="1309"/>
      </w:r>
      <w:r>
        <w:t xml:space="preserve">  A separate proceeding was then initiated by the owner against the architect in the State Court of Gwinnett County.</w:t>
      </w:r>
      <w:r>
        <w:rPr>
          <w:rStyle w:val="EndnoteReference"/>
          <w:rFonts w:ascii="Century Schoolbook" w:hAnsi="Century Schoolbook"/>
        </w:rPr>
        <w:endnoteReference w:id="1310"/>
      </w:r>
    </w:p>
    <w:p>
      <w:pPr>
        <w:pStyle w:val="BodyTextFirstIndent"/>
      </w:pPr>
      <w:r>
        <w:t>Following initial litigation, the parties to the arbitration entered into a settlement agreement with the owner before the case proceeded to a hearing on the merits.</w:t>
      </w:r>
      <w:r>
        <w:rPr>
          <w:rStyle w:val="EndnoteReference"/>
          <w:rFonts w:ascii="Century Schoolbook" w:hAnsi="Century Schoolbook"/>
        </w:rPr>
        <w:endnoteReference w:id="1311"/>
      </w:r>
      <w:r>
        <w:t xml:space="preserve">  Shortly after the arbitration settlement, the owner settled its lawsuit with the architect for a nominal sum and dismissed the suit with prejudice.</w:t>
      </w:r>
      <w:r>
        <w:rPr>
          <w:rStyle w:val="EndnoteReference"/>
          <w:rFonts w:ascii="Century Schoolbook" w:hAnsi="Century Schoolbook"/>
        </w:rPr>
        <w:endnoteReference w:id="1312"/>
      </w:r>
    </w:p>
    <w:p>
      <w:pPr>
        <w:pStyle w:val="BodyTextFirstIndent"/>
      </w:pPr>
      <w:r>
        <w:t>After funding the majority of the initial settlement, Zurich commenced a separate action for contribution, negligence, negligent misrepresentation, and breach of contract against the architect and the engineer.</w:t>
      </w:r>
      <w:r>
        <w:rPr>
          <w:rStyle w:val="EndnoteReference"/>
          <w:rFonts w:ascii="Century Schoolbook" w:hAnsi="Century Schoolbook"/>
        </w:rPr>
        <w:endnoteReference w:id="1313"/>
      </w:r>
      <w:r>
        <w:t xml:space="preserve">  As part of its suit, Zurich sought damages for a portion of the amount it paid to settle the underlying arbitration (to which it was properly subrogated), as well as the uninsured damages paid by the general contractor.</w:t>
      </w:r>
      <w:r>
        <w:rPr>
          <w:rStyle w:val="EndnoteReference"/>
          <w:rFonts w:ascii="Century Schoolbook" w:hAnsi="Century Schoolbook"/>
        </w:rPr>
        <w:endnoteReference w:id="1314"/>
      </w:r>
    </w:p>
    <w:p>
      <w:pPr>
        <w:pStyle w:val="BodyTextFirstIndent"/>
      </w:pPr>
      <w:r>
        <w:t xml:space="preserve">The defendants in the subrogation action moved for summary judgment, arguing that O.C.G.A. § 51-12-33 (enacted as part of Georgia’s “Tort Reform”) abolished contribution in Georgia for </w:t>
      </w:r>
      <w:r>
        <w:rPr>
          <w:u w:val="single"/>
        </w:rPr>
        <w:t>all</w:t>
      </w:r>
      <w:r>
        <w:t xml:space="preserve"> causes of action arising after February 16, 2005.</w:t>
      </w:r>
      <w:r>
        <w:rPr>
          <w:rStyle w:val="EndnoteReference"/>
          <w:rFonts w:ascii="Century Schoolbook" w:hAnsi="Century Schoolbook"/>
        </w:rPr>
        <w:endnoteReference w:id="1315"/>
      </w:r>
      <w:r>
        <w:t xml:space="preserve">  In response, Zurich showed that O.C.G.A. § 51-12-32 was left entirely intact as part of the 2005 Tort Reform Act, and that § 51-12-32 </w:t>
      </w:r>
      <w:r>
        <w:lastRenderedPageBreak/>
        <w:t>expressly provides for contribution following a pre-trial settlement.</w:t>
      </w:r>
      <w:r>
        <w:rPr>
          <w:rStyle w:val="EndnoteReference"/>
          <w:rFonts w:ascii="Century Schoolbook" w:hAnsi="Century Schoolbook"/>
        </w:rPr>
        <w:endnoteReference w:id="1316"/>
      </w:r>
      <w:r>
        <w:t xml:space="preserve">    </w:t>
      </w:r>
    </w:p>
    <w:p>
      <w:pPr>
        <w:ind w:firstLine="720"/>
        <w:jc w:val="both"/>
      </w:pPr>
      <w:r>
        <w:t>Citing McReynolds</w:t>
      </w:r>
      <w:r>
        <w:rPr>
          <w:i/>
        </w:rPr>
        <w:t xml:space="preserve"> v. Krebs,</w:t>
      </w:r>
      <w:r>
        <w:rPr>
          <w:rStyle w:val="EndnoteReference"/>
          <w:rFonts w:ascii="Century Schoolbook" w:hAnsi="Century Schoolbook"/>
        </w:rPr>
        <w:endnoteReference w:id="1317"/>
      </w:r>
      <w:r>
        <w:rPr>
          <w:i/>
        </w:rPr>
        <w:t xml:space="preserve"> </w:t>
      </w:r>
      <w:r>
        <w:t>the trial court disagreed and held that:</w:t>
      </w:r>
    </w:p>
    <w:p>
      <w:pPr>
        <w:pStyle w:val="BodyText"/>
        <w:ind w:left="720" w:right="720"/>
        <w:rPr>
          <w:szCs w:val="22"/>
        </w:rPr>
      </w:pPr>
      <w:r>
        <w:rPr>
          <w:szCs w:val="22"/>
        </w:rPr>
        <w:t xml:space="preserve"> [b]ecause of the reference to O.C.G.A. § 51-12-33 contained within O.C.G.A. § 51-12-32(a), there is no longer a right of a ‘joint trespasser to contribution from another or others’ that can continue, regardless of whether liability is imposed by virtue of a settlement or a verdict.</w:t>
      </w:r>
      <w:r>
        <w:rPr>
          <w:rStyle w:val="EndnoteReference"/>
          <w:rFonts w:ascii="Century Schoolbook" w:hAnsi="Century Schoolbook"/>
          <w:szCs w:val="22"/>
        </w:rPr>
        <w:endnoteReference w:id="1318"/>
      </w:r>
    </w:p>
    <w:p>
      <w:pPr>
        <w:pStyle w:val="BodyTextFirstIndent"/>
        <w:rPr>
          <w:szCs w:val="22"/>
        </w:rPr>
      </w:pPr>
      <w:r>
        <w:rPr>
          <w:szCs w:val="22"/>
        </w:rPr>
        <w:t>The practical impact of the trial court’s ruling was the complete abolition of contribution in Georgia, despite the fact that O.C.G.A. § 51-12-32 reserved the right to contribution for pre-trial settlements.  An appeal followed, and the Georgia Court of Appeals unanimously reversed the grant of summary judgment against Zurich with regard to Zurich’s right to contribution following its pre-trial settlement.</w:t>
      </w:r>
    </w:p>
    <w:p>
      <w:pPr>
        <w:pStyle w:val="BodyTextFirstIndent"/>
      </w:pPr>
      <w:r>
        <w:t xml:space="preserve">On appeal, Zurich raised four enumerations of error: (1) that the trial court erred in ruling that contribution and indemnity no longer exist under Georgia law in cases involving pre-trial settlement; (2) that the trial court erred in ruling that the payment by Zurich to the owner was voluntary; (3) that the trial court erred in ruling that Zurich’s direct causes of action (negligence, negligent misrepresentation, and breach of contract) were merely “reframed contribution claims”; and (4) that the trial court incorrectly concluded that </w:t>
      </w:r>
      <w:r>
        <w:lastRenderedPageBreak/>
        <w:t>the parties were independent, rather than joint, tortfeasors.</w:t>
      </w:r>
      <w:r>
        <w:rPr>
          <w:rStyle w:val="EndnoteReference"/>
          <w:rFonts w:ascii="Century Schoolbook" w:hAnsi="Century Schoolbook"/>
        </w:rPr>
        <w:endnoteReference w:id="1319"/>
      </w:r>
      <w:r>
        <w:t xml:space="preserve"> </w:t>
      </w:r>
    </w:p>
    <w:p>
      <w:pPr>
        <w:pStyle w:val="BodyTextFirstIndent"/>
        <w:rPr>
          <w:szCs w:val="22"/>
        </w:rPr>
      </w:pPr>
      <w:r>
        <w:rPr>
          <w:szCs w:val="22"/>
        </w:rPr>
        <w:t>With specific regard to tort reform, the Court of Appeals held the right of contribution between joint tortfeasors has not been abolished by the legislature’s enactment of O.C.G.A. § 51-12-33, and that the trial court erred by holding otherwise.</w:t>
      </w:r>
      <w:r>
        <w:rPr>
          <w:rStyle w:val="EndnoteReference"/>
          <w:rFonts w:ascii="Century Schoolbook" w:hAnsi="Century Schoolbook"/>
          <w:szCs w:val="22"/>
        </w:rPr>
        <w:endnoteReference w:id="1320"/>
      </w:r>
      <w:r>
        <w:rPr>
          <w:szCs w:val="22"/>
        </w:rPr>
        <w:t xml:space="preserve">  The Court of Appeals reasoned that the plain language of the statutory scheme did not preclude a suit for contribution where the prior proceeding did not advance on the merits to a trier of fact.</w:t>
      </w:r>
      <w:r>
        <w:rPr>
          <w:rStyle w:val="EndnoteReference"/>
          <w:rFonts w:ascii="Century Schoolbook" w:hAnsi="Century Schoolbook"/>
          <w:szCs w:val="22"/>
        </w:rPr>
        <w:endnoteReference w:id="1321"/>
      </w:r>
      <w:r>
        <w:rPr>
          <w:szCs w:val="22"/>
        </w:rPr>
        <w:t xml:space="preserve">  While O.C.G.A. § 51-12-33 requires </w:t>
      </w:r>
      <w:r>
        <w:t>apportionment</w:t>
      </w:r>
      <w:r>
        <w:rPr>
          <w:szCs w:val="22"/>
        </w:rPr>
        <w:t xml:space="preserve"> when either the plaintiff is partially at fault or there are multiple defendants, apportionment is only mandated where the case proceeds before a "trier of fact", and the “trier of fact” makes an ultimate determination as to the proper allocation of fault and the total amount of damages to be awarded.</w:t>
      </w:r>
      <w:r>
        <w:rPr>
          <w:rStyle w:val="EndnoteReference"/>
          <w:rFonts w:ascii="Century Schoolbook" w:hAnsi="Century Schoolbook"/>
          <w:szCs w:val="22"/>
        </w:rPr>
        <w:endnoteReference w:id="1322"/>
      </w:r>
      <w:r>
        <w:rPr>
          <w:szCs w:val="22"/>
        </w:rPr>
        <w:t xml:space="preserve">  While there is currently no holding in Georgia law, one can extrapolate from this ruling and the holding in </w:t>
      </w:r>
      <w:r>
        <w:rPr>
          <w:i/>
          <w:szCs w:val="22"/>
        </w:rPr>
        <w:t xml:space="preserve">McReynolds </w:t>
      </w:r>
      <w:r>
        <w:rPr>
          <w:szCs w:val="22"/>
        </w:rPr>
        <w:t>that, when a case proceeds to trial and there is a ruling on the merits, the right to contribution ceases to exist.</w:t>
      </w:r>
      <w:r>
        <w:rPr>
          <w:rStyle w:val="EndnoteReference"/>
          <w:rFonts w:ascii="Century Schoolbook" w:hAnsi="Century Schoolbook"/>
          <w:szCs w:val="22"/>
        </w:rPr>
        <w:endnoteReference w:id="1323"/>
      </w:r>
    </w:p>
    <w:p>
      <w:pPr>
        <w:pStyle w:val="BodyTextFirstIndent"/>
      </w:pPr>
      <w:r>
        <w:t>In the unanimous decision, the Court of Appeals reasoned that the plain statutory language in O.C.G.A § 51-12-33 “cannot be interpreted to abolish the right of contribution between settling joint tortfeasors when there has been no apportionment of damages by a trier of fact”.</w:t>
      </w:r>
      <w:r>
        <w:rPr>
          <w:rStyle w:val="EndnoteReference"/>
          <w:rFonts w:ascii="Century Schoolbook" w:hAnsi="Century Schoolbook"/>
        </w:rPr>
        <w:endnoteReference w:id="1324"/>
      </w:r>
      <w:r>
        <w:t xml:space="preserve">  In Heard, neither of the underlying cases proceeded to a hearing or trial on the merits, and no trier of fact was ever called upon to </w:t>
      </w:r>
      <w:r>
        <w:lastRenderedPageBreak/>
        <w:t>make a determination as to the total amount of damages.</w:t>
      </w:r>
      <w:r>
        <w:rPr>
          <w:rStyle w:val="EndnoteReference"/>
          <w:rFonts w:ascii="Century Schoolbook" w:hAnsi="Century Schoolbook"/>
        </w:rPr>
        <w:endnoteReference w:id="1325"/>
      </w:r>
    </w:p>
    <w:p>
      <w:pPr>
        <w:pStyle w:val="BodyTextFirstIndent"/>
      </w:pPr>
      <w:r>
        <w:t xml:space="preserve">In addressing </w:t>
      </w:r>
      <w:r>
        <w:rPr>
          <w:i/>
        </w:rPr>
        <w:t>McReynolds</w:t>
      </w:r>
      <w:r>
        <w:t>, one of the seminal cases on apportionment in Georgia, the Court of Appeals correctly found that McReynolds “does not require a different result”.</w:t>
      </w:r>
      <w:r>
        <w:rPr>
          <w:rStyle w:val="EndnoteReference"/>
          <w:rFonts w:ascii="Century Schoolbook" w:hAnsi="Century Schoolbook"/>
        </w:rPr>
        <w:endnoteReference w:id="1326"/>
      </w:r>
      <w:r>
        <w:t xml:space="preserve">  “In that case, the trier of fact determined the total amount of damages owed by the defendant, and the appellant conceded that she had no evidence of liability which would support apportionment against another co-defendant that settled before trial”.</w:t>
      </w:r>
      <w:r>
        <w:rPr>
          <w:rStyle w:val="EndnoteReference"/>
          <w:rFonts w:ascii="Century Schoolbook" w:hAnsi="Century Schoolbook"/>
        </w:rPr>
        <w:endnoteReference w:id="1327"/>
      </w:r>
      <w:r>
        <w:t xml:space="preserve">  As set forth by the plain language of O.C.G.A. § 51-12-33, once McReynolds proceeded to trial, McReynolds' exclusive remedy with regard to allocating fault to other parties was apportionment.</w:t>
      </w:r>
      <w:r>
        <w:rPr>
          <w:rStyle w:val="EndnoteReference"/>
          <w:rFonts w:ascii="Century Schoolbook" w:hAnsi="Century Schoolbook"/>
        </w:rPr>
        <w:endnoteReference w:id="1328"/>
      </w:r>
    </w:p>
    <w:p>
      <w:pPr>
        <w:pStyle w:val="BodyTextFirstIndent"/>
      </w:pPr>
      <w:r>
        <w:t xml:space="preserve">The </w:t>
      </w:r>
      <w:r>
        <w:rPr>
          <w:i/>
        </w:rPr>
        <w:t>Heard</w:t>
      </w:r>
      <w:r>
        <w:t xml:space="preserve"> decision provides further clarification to the statutory scheme and the relationship between O.C.G.A. §§ 51-12-32 and 51-12-33; however, the impact and benefits go beyond mere clarification of the statutory scheme.  From a defense perspective, the decision allows defendants to achieve and obtain a proper allocation of fault without the risk of having to proceed to trial in every case involving multiple defendants.  Heard argued that the current statutory scheme required apportionment in all cases involving multiple defendants (regardless of whether they proceeded to trial), and that the failure to seek apportionment precludes a later contribution action.  This interpretation of the statutory scheme ignores the plain language of O.C.G.A § 51-12-32 and would require all cases involving multiple defendants to proceed to trial in order </w:t>
      </w:r>
      <w:r>
        <w:lastRenderedPageBreak/>
        <w:t>to achieve an "allocation of fault".  In application, such an approach would unnecessarily force defendants into the inherent risk of dealing with unpredictable juries and awards at trial, and further erode the potential for settlements.</w:t>
      </w:r>
    </w:p>
    <w:p>
      <w:pPr>
        <w:pStyle w:val="BodyTextFirstIndent"/>
      </w:pPr>
      <w:r>
        <w:t xml:space="preserve">The unpredictable nature of jury trials and increased burden on the judicial system is also intertwined with the second tangible benefit of the decision.  In its opinion, the Court appears to acknowledge the difficulty or inability to control at-fault joint tortfeasors who do not contribute toward a settlement, particularly at-fault non-parties.  In recognizing the right to contribution flowing from pre-trial settlements, the Court affirmed a defendant’s ability to exercise some level of control over joint tortfeasors by holding them accountable for their reasonable share of a plaintiff’s damages following a pre-trial settlement.  </w:t>
      </w:r>
    </w:p>
    <w:p>
      <w:pPr>
        <w:pStyle w:val="BodyTextFirstIndent"/>
        <w:rPr>
          <w:szCs w:val="22"/>
        </w:rPr>
      </w:pPr>
      <w:r>
        <w:rPr>
          <w:szCs w:val="22"/>
        </w:rPr>
        <w:t xml:space="preserve">However, from a defense perspective, the greatest benefit is the ability to limit or cap the total amount of damages at issue.  While fault can be allocated at trial </w:t>
      </w:r>
      <w:r>
        <w:t>through</w:t>
      </w:r>
      <w:r>
        <w:rPr>
          <w:szCs w:val="22"/>
        </w:rPr>
        <w:t xml:space="preserve"> apportionment under O.C.G.A. § 51-12-33, thereby limiting a client’s percentage of liability exposure, the total award a jury may render is still unpredictable.  Through O.C.G.A. § 51-12-32, a defendant (or group of defendants) can cap total exposure through settlement, and then proceed to work out an allocation of the settlement amongst non-contributing co-defendants or at-fault non-parties.</w:t>
      </w:r>
    </w:p>
    <w:p>
      <w:pPr>
        <w:keepNext/>
        <w:jc w:val="center"/>
        <w:rPr>
          <w:b/>
          <w:sz w:val="24"/>
          <w:szCs w:val="24"/>
        </w:rPr>
      </w:pPr>
      <w:r>
        <w:rPr>
          <w:b/>
          <w:sz w:val="24"/>
          <w:szCs w:val="24"/>
        </w:rPr>
        <w:lastRenderedPageBreak/>
        <w:t>5.</w:t>
      </w:r>
      <w:r>
        <w:rPr>
          <w:b/>
          <w:sz w:val="24"/>
          <w:szCs w:val="24"/>
        </w:rPr>
        <w:tab/>
        <w:t>Conclusion.</w:t>
      </w:r>
    </w:p>
    <w:p>
      <w:pPr>
        <w:pStyle w:val="BodyTextFirstIndent"/>
      </w:pPr>
      <w:r>
        <w:t xml:space="preserve">After almost ten years of litigation, Georgia Courts have resolved most of the major issues surrounding Georgia’s apportionment statute.  </w:t>
      </w:r>
    </w:p>
    <w:p>
      <w:pPr>
        <w:pStyle w:val="BodyTextFirstIndent"/>
      </w:pPr>
      <w:r>
        <w:t xml:space="preserve">However, issues that remain unanswered include whether the defendant in a single plaintiff single defendant case is required to apportion to non-parties and whether the failure to do so waives the right to seek contribution.  While we can extrapolate from </w:t>
      </w:r>
      <w:r>
        <w:rPr>
          <w:i/>
        </w:rPr>
        <w:t xml:space="preserve">Heard </w:t>
      </w:r>
      <w:r>
        <w:t xml:space="preserve">and </w:t>
      </w:r>
      <w:r>
        <w:rPr>
          <w:i/>
        </w:rPr>
        <w:t xml:space="preserve">McReynolds </w:t>
      </w:r>
      <w:r>
        <w:t xml:space="preserve">that the failure to seek apportionment at trial is likely fatal to a party’s later attempts to allocate fault, neither case specifically addresses this scenario.  Rather, </w:t>
      </w:r>
      <w:r>
        <w:rPr>
          <w:i/>
        </w:rPr>
        <w:t xml:space="preserve">McReynolds </w:t>
      </w:r>
      <w:r>
        <w:t>pertains to the</w:t>
      </w:r>
      <w:r>
        <w:rPr>
          <w:i/>
        </w:rPr>
        <w:t xml:space="preserve"> </w:t>
      </w:r>
      <w:r>
        <w:t xml:space="preserve">apportionment against a settling party and </w:t>
      </w:r>
      <w:r>
        <w:rPr>
          <w:i/>
        </w:rPr>
        <w:t>Heard</w:t>
      </w:r>
      <w:r>
        <w:t xml:space="preserve"> pertains to a scenario where no trial occurred.</w:t>
      </w:r>
      <w:r>
        <w:rPr>
          <w:rStyle w:val="EndnoteReference"/>
          <w:rFonts w:ascii="Century Schoolbook" w:hAnsi="Century Schoolbook"/>
        </w:rPr>
        <w:endnoteReference w:id="1329"/>
      </w:r>
    </w:p>
    <w:p>
      <w:pPr>
        <w:pStyle w:val="BodyTextFirstIndent"/>
      </w:pPr>
      <w:r>
        <w:t>Looking at the statute, apportionment is unequivocally required at trial in cases involving an at-fault plaintiff, multiple defendants, or both.</w:t>
      </w:r>
      <w:r>
        <w:rPr>
          <w:rStyle w:val="EndnoteReference"/>
          <w:rFonts w:ascii="Century Schoolbook" w:hAnsi="Century Schoolbook"/>
        </w:rPr>
        <w:endnoteReference w:id="1330"/>
      </w:r>
      <w:r>
        <w:t xml:space="preserve">  While the statute states that “</w:t>
      </w:r>
      <w:r>
        <w:rPr>
          <w:color w:val="252525"/>
        </w:rPr>
        <w:t>negligence or fault of a nonparty shall be considered if the plaintiff entered into a settlement agreement with the nonparty or if a defending party gives notice not later than 120 days prior to the date of trial that a nonparty was wholly or partially at fault</w:t>
      </w:r>
      <w:r>
        <w:t>”, it does not expressly require a sole defendant to seek apportionment.</w:t>
      </w:r>
      <w:r>
        <w:rPr>
          <w:rStyle w:val="EndnoteReference"/>
          <w:rFonts w:ascii="Century Schoolbook" w:hAnsi="Century Schoolbook"/>
        </w:rPr>
        <w:endnoteReference w:id="1331"/>
      </w:r>
      <w:r>
        <w:t xml:space="preserve">  As a best practice, however, a party should operate with the belief that if it intends to proceed to trial, the party will forfeit its right to contribution and therefore, must </w:t>
      </w:r>
      <w:r>
        <w:lastRenderedPageBreak/>
        <w:t>seek apportionment at trial when apportionment is viable.</w:t>
      </w:r>
    </w:p>
    <w:p>
      <w:pPr>
        <w:pStyle w:val="BodyTextFirstIndent"/>
      </w:pPr>
      <w:r>
        <w:t>Two other major issues remain relative to the application of the Tort Reform Act, one legal, the other practical.  The practical issue, addressed above, is whether Defendants will gain any meaningful set-off or reduction from juries, particularly when attempting to apportion to parties whom the jury will understand are either absent or likely without assets.</w:t>
      </w:r>
    </w:p>
    <w:p>
      <w:pPr>
        <w:pStyle w:val="BodyTextFirstIndent"/>
      </w:pPr>
      <w:r>
        <w:t xml:space="preserve">The second issue is how third-party practice will be affected or altered by the legislation.  While </w:t>
      </w:r>
      <w:r>
        <w:rPr>
          <w:i/>
        </w:rPr>
        <w:t>Murray</w:t>
      </w:r>
      <w:r>
        <w:t xml:space="preserve"> seemed to preserve third-party causes of action for contribution and indemnity, </w:t>
      </w:r>
      <w:r>
        <w:rPr>
          <w:i/>
        </w:rPr>
        <w:t>District Owners</w:t>
      </w:r>
      <w:r>
        <w:t xml:space="preserve"> questions the validity and further application of </w:t>
      </w:r>
      <w:r>
        <w:rPr>
          <w:i/>
        </w:rPr>
        <w:t>Murray</w:t>
      </w:r>
      <w:r>
        <w:t xml:space="preserve">. Specifically, the holding in </w:t>
      </w:r>
      <w:r>
        <w:rPr>
          <w:i/>
        </w:rPr>
        <w:t>District Owners</w:t>
      </w:r>
      <w:r>
        <w:t xml:space="preserve"> draws into question whether a cause of action for contribution and/or common law indemnity (outside the context of a secondary claim for contribution following pre-trial settlement) is still a viable option in third-party practice.  It is reasonably likely that this issue will make its way through the Court of Appeals shortly, and that the Court of Appeals will clarify the tension created by the </w:t>
      </w:r>
      <w:r>
        <w:rPr>
          <w:i/>
        </w:rPr>
        <w:t xml:space="preserve">Murray </w:t>
      </w:r>
      <w:r>
        <w:t xml:space="preserve"> and </w:t>
      </w:r>
      <w:r>
        <w:rPr>
          <w:i/>
        </w:rPr>
        <w:t>District Owners</w:t>
      </w:r>
      <w:r>
        <w:t xml:space="preserve"> holdings.</w:t>
      </w:r>
    </w:p>
    <w:p>
      <w:pPr>
        <w:pStyle w:val="BodyTextFirstIndent"/>
        <w:spacing w:before="0" w:after="0"/>
        <w:ind w:firstLine="0"/>
        <w:jc w:val="center"/>
        <w:rPr>
          <w:b/>
          <w:u w:val="single"/>
        </w:rPr>
      </w:pPr>
      <w:r>
        <w:rPr>
          <w:b/>
          <w:u w:val="single"/>
        </w:rPr>
        <w:t>End Notes</w:t>
      </w:r>
    </w:p>
    <w:bookmarkEnd w:id="0"/>
    <w:p>
      <w:pPr>
        <w:pStyle w:val="BodyTextFirstIndent"/>
        <w:ind w:firstLine="0"/>
        <w:jc w:val="center"/>
        <w:rPr>
          <w:b/>
          <w:u w:val="single"/>
        </w:rPr>
      </w:pPr>
    </w:p>
    <w:sectPr>
      <w:endnotePr>
        <w:numFmt w:val="decimal"/>
        <w:numRestart w:val="eachSect"/>
      </w:endnotePr>
      <w:type w:val="continuous"/>
      <w:pgSz w:w="12240" w:h="15840"/>
      <w:pgMar w:top="1440" w:right="1440" w:bottom="1440" w:left="1440" w:header="720" w:footer="720" w:gutter="0"/>
      <w:cols w:num="2" w:space="720"/>
      <w:titlePg/>
      <w:rtlGutter/>
      <w:docGrid w:linePitch="360"/>
    </w:sectPr>
  </w:body>
</w:document>
</file>

<file path=word/endnotes.xml><?xml version="1.0" encoding="utf-8"?>
<w:endnotes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pPr>
        <w:spacing w:after="0"/>
        <w:rPr>
          <w:sz w:val="21"/>
          <w:szCs w:val="21"/>
        </w:rPr>
      </w:pPr>
      <w:r>
        <w:rPr>
          <w:sz w:val="21"/>
          <w:szCs w:val="21"/>
        </w:rPr>
        <w:separator/>
      </w:r>
    </w:p>
  </w:endnote>
  <w:endnote w:type="continuationSeparator" w:id="0">
    <w:p>
      <w:pPr>
        <w:spacing w:after="0"/>
        <w:rPr>
          <w:sz w:val="21"/>
          <w:szCs w:val="21"/>
        </w:rPr>
      </w:pPr>
      <w:r>
        <w:rPr>
          <w:sz w:val="21"/>
          <w:szCs w:val="21"/>
        </w:rPr>
        <w:continuationSeparator/>
      </w:r>
    </w:p>
  </w:endnote>
  <w:endnote w:type="continuationNotice" w:id="1">
    <w:p>
      <w:pPr>
        <w:spacing w:after="0"/>
      </w:pPr>
    </w:p>
  </w:endnote>
  <w:endnote w:id="2">
    <w:p>
      <w:pPr>
        <w:pStyle w:val="EndnoteText"/>
      </w:pPr>
      <w:r>
        <w:rPr>
          <w:rStyle w:val="EndnoteReference"/>
          <w:rFonts w:ascii="Century Schoolbook" w:hAnsi="Century Schoolbook"/>
          <w:sz w:val="19"/>
          <w:szCs w:val="19"/>
        </w:rPr>
        <w:endnoteRef/>
      </w:r>
      <w:r>
        <w:t xml:space="preserve"> </w:t>
      </w:r>
      <w:r>
        <w:rPr>
          <w:i/>
        </w:rPr>
        <w:t>See</w:t>
      </w:r>
      <w:r>
        <w:t xml:space="preserve"> </w:t>
      </w:r>
      <w:r>
        <w:rPr>
          <w:i/>
        </w:rPr>
        <w:t>Dibble v. Harris</w:t>
      </w:r>
      <w:r>
        <w:t xml:space="preserve">, 12 Ga. 217 (1852).  </w:t>
      </w:r>
    </w:p>
  </w:endnote>
  <w:endnote w:id="3">
    <w:p>
      <w:pPr>
        <w:pStyle w:val="EndnoteText"/>
      </w:pPr>
      <w:r>
        <w:rPr>
          <w:rStyle w:val="EndnoteReference"/>
          <w:rFonts w:ascii="Century Schoolbook" w:hAnsi="Century Schoolbook"/>
          <w:sz w:val="19"/>
          <w:szCs w:val="19"/>
        </w:rPr>
        <w:endnoteRef/>
      </w:r>
      <w:r>
        <w:t xml:space="preserve"> </w:t>
      </w:r>
      <w:r>
        <w:rPr>
          <w:i/>
        </w:rPr>
        <w:t>See</w:t>
      </w:r>
      <w:r>
        <w:t xml:space="preserve">, e.g., </w:t>
      </w:r>
      <w:r>
        <w:rPr>
          <w:i/>
        </w:rPr>
        <w:t>Harris v. Tisereau</w:t>
      </w:r>
      <w:r>
        <w:t xml:space="preserve">, 52 Ga. 153, 182 S.E. 634 (1874);  </w:t>
      </w:r>
      <w:r>
        <w:rPr>
          <w:i/>
        </w:rPr>
        <w:t>Gorham v. Montfort</w:t>
      </w:r>
      <w:r>
        <w:t>, 137 Ga. 134, 72S.E. 893 (1911).</w:t>
      </w:r>
    </w:p>
  </w:endnote>
  <w:endnote w:id="4">
    <w:p>
      <w:pPr>
        <w:pStyle w:val="EndnoteText"/>
      </w:pPr>
      <w:r>
        <w:rPr>
          <w:rStyle w:val="EndnoteReference"/>
          <w:rFonts w:ascii="Century Schoolbook" w:hAnsi="Century Schoolbook"/>
          <w:sz w:val="19"/>
          <w:szCs w:val="19"/>
        </w:rPr>
        <w:endnoteRef/>
      </w:r>
      <w:r>
        <w:t xml:space="preserve"> Lee Tarte Wallace, </w:t>
      </w:r>
      <w:r>
        <w:rPr>
          <w:i/>
        </w:rPr>
        <w:t>Spoliation of Evidence</w:t>
      </w:r>
      <w:r>
        <w:t>, Georgia Bar Journal, Vol. 8, No.5, p.13 (2003).</w:t>
      </w:r>
    </w:p>
  </w:endnote>
  <w:endnote w:id="5">
    <w:p>
      <w:pPr>
        <w:pStyle w:val="EndnoteText"/>
      </w:pPr>
      <w:r>
        <w:rPr>
          <w:rStyle w:val="EndnoteReference"/>
          <w:rFonts w:ascii="Century Schoolbook" w:hAnsi="Century Schoolbook"/>
          <w:sz w:val="19"/>
          <w:szCs w:val="19"/>
        </w:rPr>
        <w:endnoteRef/>
      </w:r>
      <w:r>
        <w:t xml:space="preserve"> </w:t>
      </w:r>
      <w:r>
        <w:rPr>
          <w:i/>
        </w:rPr>
        <w:t>Doyal v. State</w:t>
      </w:r>
      <w:r>
        <w:t xml:space="preserve">, 287 Ga. App. 667, 653 S.E.2d 52 (2007), </w:t>
      </w:r>
      <w:r>
        <w:rPr>
          <w:i/>
        </w:rPr>
        <w:t>but see</w:t>
      </w:r>
      <w:r>
        <w:t xml:space="preserve"> </w:t>
      </w:r>
      <w:r>
        <w:rPr>
          <w:i/>
        </w:rPr>
        <w:t>Morgan v. State</w:t>
      </w:r>
      <w:r>
        <w:t>, 267 Ga. 203, 476 S.E.2d 747 (1996).</w:t>
      </w:r>
    </w:p>
  </w:endnote>
  <w:endnote w:id="6">
    <w:p>
      <w:pPr>
        <w:pStyle w:val="EndnoteText"/>
      </w:pPr>
      <w:r>
        <w:rPr>
          <w:rStyle w:val="EndnoteReference"/>
          <w:rFonts w:ascii="Century Schoolbook" w:hAnsi="Century Schoolbook"/>
          <w:sz w:val="19"/>
          <w:szCs w:val="19"/>
        </w:rPr>
        <w:endnoteRef/>
      </w:r>
      <w:r>
        <w:t xml:space="preserve"> </w:t>
      </w:r>
      <w:r>
        <w:rPr>
          <w:i/>
        </w:rPr>
        <w:t>Jones v. Krystal Company</w:t>
      </w:r>
      <w:r>
        <w:t xml:space="preserve">, 231 Ga. App. 102, 498 S.E.2d 565 (1998).  </w:t>
      </w:r>
    </w:p>
  </w:endnote>
  <w:endnote w:id="7">
    <w:p>
      <w:pPr>
        <w:pStyle w:val="EndnoteText"/>
      </w:pPr>
      <w:r>
        <w:rPr>
          <w:rStyle w:val="EndnoteReference"/>
          <w:rFonts w:ascii="Century Schoolbook" w:hAnsi="Century Schoolbook"/>
          <w:sz w:val="19"/>
          <w:szCs w:val="19"/>
        </w:rPr>
        <w:endnoteRef/>
      </w:r>
      <w:r>
        <w:t xml:space="preserve"> </w:t>
      </w:r>
      <w:r>
        <w:rPr>
          <w:i/>
        </w:rPr>
        <w:t>Id</w:t>
      </w:r>
      <w:r>
        <w:t>.</w:t>
      </w:r>
    </w:p>
  </w:endnote>
  <w:endnote w:id="8">
    <w:p>
      <w:pPr>
        <w:pStyle w:val="EndnoteText"/>
      </w:pPr>
      <w:r>
        <w:rPr>
          <w:rStyle w:val="EndnoteReference"/>
          <w:rFonts w:ascii="Century Schoolbook" w:hAnsi="Century Schoolbook"/>
          <w:sz w:val="19"/>
          <w:szCs w:val="19"/>
        </w:rPr>
        <w:endnoteRef/>
      </w:r>
      <w:r>
        <w:t xml:space="preserve"> </w:t>
      </w:r>
      <w:r>
        <w:rPr>
          <w:i/>
        </w:rPr>
        <w:t>Beardsley v. Suburban Coach Company</w:t>
      </w:r>
      <w:r>
        <w:rPr>
          <w:u w:val="single"/>
        </w:rPr>
        <w:t>.</w:t>
      </w:r>
      <w:r>
        <w:t>83 Ga. App. 381, 63 S.E.2d 911 (1951).</w:t>
      </w:r>
    </w:p>
  </w:endnote>
  <w:endnote w:id="9">
    <w:p>
      <w:pPr>
        <w:pStyle w:val="EndnoteText"/>
      </w:pPr>
      <w:r>
        <w:rPr>
          <w:rStyle w:val="EndnoteReference"/>
          <w:sz w:val="19"/>
          <w:szCs w:val="19"/>
        </w:rPr>
        <w:endnoteRef/>
      </w:r>
      <w:r>
        <w:t xml:space="preserve">  </w:t>
      </w:r>
      <w:r>
        <w:rPr>
          <w:i/>
        </w:rPr>
        <w:t>Id.</w:t>
      </w:r>
      <w:r>
        <w:t xml:space="preserve"> at 393, 63 S.E.2d at 920.</w:t>
      </w:r>
    </w:p>
  </w:endnote>
  <w:endnote w:id="10">
    <w:p>
      <w:pPr>
        <w:pStyle w:val="EndnoteText"/>
      </w:pPr>
      <w:r>
        <w:rPr>
          <w:rStyle w:val="EndnoteReference"/>
          <w:rFonts w:ascii="Century Schoolbook" w:hAnsi="Century Schoolbook"/>
          <w:sz w:val="19"/>
          <w:szCs w:val="19"/>
        </w:rPr>
        <w:endnoteRef/>
      </w:r>
      <w:r>
        <w:t xml:space="preserve"> </w:t>
      </w:r>
      <w:r>
        <w:rPr>
          <w:i/>
        </w:rPr>
        <w:t>Hearing v. Johnson</w:t>
      </w:r>
      <w:r>
        <w:t>, 105 Ga. App. 408, 124 S.E.2d 655 (1962).</w:t>
      </w:r>
    </w:p>
  </w:endnote>
  <w:endnote w:id="11">
    <w:p>
      <w:pPr>
        <w:pStyle w:val="EndnoteText"/>
      </w:pPr>
      <w:r>
        <w:rPr>
          <w:rStyle w:val="EndnoteReference"/>
          <w:rFonts w:ascii="Century Schoolbook" w:hAnsi="Century Schoolbook"/>
          <w:sz w:val="19"/>
          <w:szCs w:val="19"/>
        </w:rPr>
        <w:endnoteRef/>
      </w:r>
      <w:r>
        <w:t xml:space="preserve"> </w:t>
      </w:r>
      <w:r>
        <w:rPr>
          <w:i/>
        </w:rPr>
        <w:t>Bennett v. Associated Food Stores, Inc.</w:t>
      </w:r>
      <w:r>
        <w:t>, 118 Ga. App. 711, 165 S.E.2d 581 (1968).</w:t>
      </w:r>
    </w:p>
  </w:endnote>
  <w:endnote w:id="12">
    <w:p>
      <w:pPr>
        <w:pStyle w:val="EndnoteText"/>
      </w:pPr>
      <w:r>
        <w:rPr>
          <w:rStyle w:val="EndnoteReference"/>
          <w:rFonts w:ascii="Century Schoolbook" w:hAnsi="Century Schoolbook"/>
          <w:sz w:val="19"/>
          <w:szCs w:val="19"/>
        </w:rPr>
        <w:endnoteRef/>
      </w:r>
      <w:r>
        <w:t xml:space="preserve"> </w:t>
      </w:r>
      <w:r>
        <w:rPr>
          <w:i/>
        </w:rPr>
        <w:t>Chapman v. Auto-Owners Insurance Company</w:t>
      </w:r>
      <w:r>
        <w:t xml:space="preserve"> 220 Ga. App. 539, 469 S.E.2d 783 (1996).</w:t>
      </w:r>
    </w:p>
  </w:endnote>
  <w:endnote w:id="13">
    <w:p>
      <w:pPr>
        <w:pStyle w:val="EndnoteText"/>
      </w:pPr>
      <w:r>
        <w:rPr>
          <w:rStyle w:val="EndnoteReference"/>
          <w:sz w:val="19"/>
          <w:szCs w:val="19"/>
        </w:rPr>
        <w:endnoteRef/>
      </w:r>
      <w:r>
        <w:t xml:space="preserve"> </w:t>
      </w:r>
      <w:r>
        <w:rPr>
          <w:i/>
        </w:rPr>
        <w:t>Id.</w:t>
      </w:r>
      <w:r>
        <w:t xml:space="preserve"> at 542, 469 S.E.2d at 786.</w:t>
      </w:r>
    </w:p>
  </w:endnote>
  <w:endnote w:id="14">
    <w:p>
      <w:pPr>
        <w:pStyle w:val="EndnoteText"/>
      </w:pPr>
      <w:r>
        <w:rPr>
          <w:rStyle w:val="EndnoteReference"/>
          <w:sz w:val="19"/>
          <w:szCs w:val="19"/>
        </w:rPr>
        <w:endnoteRef/>
      </w:r>
      <w:r>
        <w:t xml:space="preserve"> </w:t>
      </w:r>
      <w:r>
        <w:rPr>
          <w:i/>
        </w:rPr>
        <w:t>Id</w:t>
      </w:r>
      <w:r>
        <w:t>.</w:t>
      </w:r>
    </w:p>
  </w:endnote>
  <w:endnote w:id="15">
    <w:p>
      <w:pPr>
        <w:pStyle w:val="EndnoteText"/>
      </w:pPr>
      <w:r>
        <w:rPr>
          <w:rStyle w:val="EndnoteReference"/>
          <w:sz w:val="19"/>
          <w:szCs w:val="19"/>
        </w:rPr>
        <w:endnoteRef/>
      </w:r>
      <w:r>
        <w:t xml:space="preserve"> </w:t>
      </w:r>
      <w:r>
        <w:rPr>
          <w:i/>
        </w:rPr>
        <w:t>Id.</w:t>
      </w:r>
      <w:r>
        <w:t xml:space="preserve"> at 542, 469 S.E.2d at 785.</w:t>
      </w:r>
    </w:p>
  </w:endnote>
  <w:endnote w:id="16">
    <w:p>
      <w:pPr>
        <w:pStyle w:val="EndnoteText"/>
      </w:pPr>
      <w:r>
        <w:rPr>
          <w:rStyle w:val="EndnoteReference"/>
          <w:sz w:val="19"/>
          <w:szCs w:val="19"/>
        </w:rPr>
        <w:endnoteRef/>
      </w:r>
      <w:r>
        <w:t xml:space="preserve"> </w:t>
      </w:r>
      <w:r>
        <w:rPr>
          <w:i/>
        </w:rPr>
        <w:t>Id</w:t>
      </w:r>
      <w:r>
        <w:t>. at 542, 469 S.E.2d at 786.</w:t>
      </w:r>
    </w:p>
  </w:endnote>
  <w:endnote w:id="17">
    <w:p>
      <w:pPr>
        <w:pStyle w:val="EndnoteText"/>
      </w:pPr>
      <w:r>
        <w:rPr>
          <w:rStyle w:val="EndnoteReference"/>
          <w:sz w:val="19"/>
          <w:szCs w:val="19"/>
        </w:rPr>
        <w:endnoteRef/>
      </w:r>
      <w:r>
        <w:t xml:space="preserve"> </w:t>
      </w:r>
      <w:r>
        <w:rPr>
          <w:i/>
        </w:rPr>
        <w:t>Id</w:t>
      </w:r>
      <w:r>
        <w:t>. at 540, 469 S.E.2d at 785.</w:t>
      </w:r>
    </w:p>
  </w:endnote>
  <w:endnote w:id="18">
    <w:p>
      <w:pPr>
        <w:pStyle w:val="EndnoteText"/>
      </w:pPr>
      <w:r>
        <w:rPr>
          <w:rStyle w:val="EndnoteReference"/>
          <w:rFonts w:ascii="Century Schoolbook" w:hAnsi="Century Schoolbook"/>
          <w:sz w:val="19"/>
          <w:szCs w:val="19"/>
        </w:rPr>
        <w:endnoteRef/>
      </w:r>
      <w:r>
        <w:t xml:space="preserve"> </w:t>
      </w:r>
      <w:r>
        <w:rPr>
          <w:i/>
        </w:rPr>
        <w:t>Baxley v. Hakiel Industries, Inc.</w:t>
      </w:r>
      <w:r>
        <w:t>, 282 Ga. 312, 647 S.E.2d 29 (2007).</w:t>
      </w:r>
    </w:p>
  </w:endnote>
  <w:endnote w:id="19">
    <w:p>
      <w:pPr>
        <w:pStyle w:val="EndnoteText"/>
      </w:pPr>
      <w:r>
        <w:rPr>
          <w:rStyle w:val="EndnoteReference"/>
          <w:sz w:val="19"/>
          <w:szCs w:val="19"/>
        </w:rPr>
        <w:endnoteRef/>
      </w:r>
      <w:r>
        <w:t xml:space="preserve"> </w:t>
      </w:r>
      <w:r>
        <w:rPr>
          <w:i/>
        </w:rPr>
        <w:t>Id</w:t>
      </w:r>
      <w:r>
        <w:t>. at 313-14, 647 S.E.2d at 30.</w:t>
      </w:r>
    </w:p>
  </w:endnote>
  <w:endnote w:id="20">
    <w:p>
      <w:pPr>
        <w:pStyle w:val="EndnoteText"/>
      </w:pPr>
      <w:r>
        <w:rPr>
          <w:rStyle w:val="EndnoteReference"/>
          <w:rFonts w:ascii="Century Schoolbook" w:hAnsi="Century Schoolbook"/>
          <w:sz w:val="19"/>
          <w:szCs w:val="19"/>
        </w:rPr>
        <w:endnoteRef/>
      </w:r>
      <w:r>
        <w:t xml:space="preserve"> </w:t>
      </w:r>
      <w:r>
        <w:rPr>
          <w:i/>
        </w:rPr>
        <w:t>See</w:t>
      </w:r>
      <w:r>
        <w:t xml:space="preserve"> </w:t>
      </w:r>
      <w:r>
        <w:rPr>
          <w:i/>
        </w:rPr>
        <w:t>Baxley v. Hakiel Industries, Inc.</w:t>
      </w:r>
      <w:r>
        <w:t>, 280 Ga. App. 94, 633 S.E.2d 360 (2006), citing O.C.G.A. § 51-1-40 (b) (“a person who knowingly sells, furnishes, or serves alcoholic beverages to a person who is in a state of noticeable intoxication, knowing that such person will soon be driving a motor vehicle, may become liable for injury or damage caused by or resulting from the intoxication of such person.”).</w:t>
      </w:r>
    </w:p>
  </w:endnote>
  <w:endnote w:id="21">
    <w:p>
      <w:pPr>
        <w:pStyle w:val="EndnoteText"/>
      </w:pPr>
      <w:r>
        <w:rPr>
          <w:rStyle w:val="EndnoteReference"/>
          <w:sz w:val="19"/>
          <w:szCs w:val="19"/>
        </w:rPr>
        <w:endnoteRef/>
      </w:r>
      <w:r>
        <w:t xml:space="preserve"> </w:t>
      </w:r>
      <w:r>
        <w:rPr>
          <w:i/>
        </w:rPr>
        <w:t>Id</w:t>
      </w:r>
      <w:r>
        <w:t>. at 312, 647 S.E.2d at 29.</w:t>
      </w:r>
    </w:p>
  </w:endnote>
  <w:endnote w:id="22">
    <w:p>
      <w:pPr>
        <w:pStyle w:val="EndnoteText"/>
      </w:pPr>
      <w:r>
        <w:rPr>
          <w:rStyle w:val="EndnoteReference"/>
          <w:rFonts w:ascii="Century Schoolbook" w:hAnsi="Century Schoolbook"/>
          <w:sz w:val="19"/>
          <w:szCs w:val="19"/>
        </w:rPr>
        <w:endnoteRef/>
      </w:r>
      <w:r>
        <w:t xml:space="preserve"> </w:t>
      </w:r>
      <w:r>
        <w:rPr>
          <w:i/>
        </w:rPr>
        <w:t>Baxley</w:t>
      </w:r>
      <w:r>
        <w:t xml:space="preserve">, 282 Ga. at 312. </w:t>
      </w:r>
    </w:p>
  </w:endnote>
  <w:endnote w:id="23">
    <w:p>
      <w:pPr>
        <w:pStyle w:val="EndnoteText"/>
      </w:pPr>
      <w:r>
        <w:rPr>
          <w:rStyle w:val="EndnoteReference"/>
          <w:sz w:val="19"/>
          <w:szCs w:val="19"/>
        </w:rPr>
        <w:endnoteRef/>
      </w:r>
      <w:r>
        <w:t xml:space="preserve"> </w:t>
      </w:r>
      <w:r>
        <w:rPr>
          <w:i/>
        </w:rPr>
        <w:t>Id</w:t>
      </w:r>
      <w:r>
        <w:t>.</w:t>
      </w:r>
    </w:p>
  </w:endnote>
  <w:endnote w:id="24">
    <w:p>
      <w:pPr>
        <w:pStyle w:val="EndnoteText"/>
      </w:pPr>
      <w:r>
        <w:rPr>
          <w:rStyle w:val="EndnoteReference"/>
          <w:rFonts w:ascii="Century Schoolbook" w:hAnsi="Century Schoolbook"/>
          <w:sz w:val="19"/>
          <w:szCs w:val="19"/>
        </w:rPr>
        <w:endnoteRef/>
      </w:r>
      <w:r>
        <w:t xml:space="preserve"> </w:t>
      </w:r>
      <w:r>
        <w:rPr>
          <w:i/>
        </w:rPr>
        <w:t>Silman v. Associates Bellemeade</w:t>
      </w:r>
      <w:r>
        <w:t xml:space="preserve">, 286 Ga. 27, 685 S.E.2d 277 (2009).  </w:t>
      </w:r>
    </w:p>
  </w:endnote>
  <w:endnote w:id="25">
    <w:p>
      <w:pPr>
        <w:pStyle w:val="EndnoteText"/>
      </w:pPr>
      <w:r>
        <w:rPr>
          <w:rStyle w:val="EndnoteReference"/>
          <w:sz w:val="19"/>
          <w:szCs w:val="19"/>
        </w:rPr>
        <w:endnoteRef/>
      </w:r>
      <w:r>
        <w:t xml:space="preserve"> </w:t>
      </w:r>
      <w:r>
        <w:rPr>
          <w:i/>
        </w:rPr>
        <w:t>Id</w:t>
      </w:r>
      <w:r>
        <w:t>. at 28, 685 S.E.2d at 278-79.</w:t>
      </w:r>
    </w:p>
  </w:endnote>
  <w:endnote w:id="26">
    <w:p>
      <w:pPr>
        <w:pStyle w:val="EndnoteText"/>
      </w:pPr>
      <w:r>
        <w:rPr>
          <w:rStyle w:val="EndnoteReference"/>
          <w:sz w:val="19"/>
          <w:szCs w:val="19"/>
        </w:rPr>
        <w:endnoteRef/>
      </w:r>
      <w:r>
        <w:t xml:space="preserve"> </w:t>
      </w:r>
      <w:r>
        <w:rPr>
          <w:i/>
        </w:rPr>
        <w:t>Id</w:t>
      </w:r>
      <w:r>
        <w:t>. at 28, 685 S.E.2d at 279.</w:t>
      </w:r>
    </w:p>
  </w:endnote>
  <w:endnote w:id="27">
    <w:p>
      <w:pPr>
        <w:pStyle w:val="EndnoteText"/>
      </w:pPr>
      <w:r>
        <w:rPr>
          <w:rStyle w:val="EndnoteReference"/>
          <w:rFonts w:ascii="Century Schoolbook" w:hAnsi="Century Schoolbook"/>
          <w:sz w:val="19"/>
          <w:szCs w:val="19"/>
        </w:rPr>
        <w:endnoteRef/>
      </w:r>
      <w:r>
        <w:t xml:space="preserve"> </w:t>
      </w:r>
      <w:r>
        <w:rPr>
          <w:i/>
        </w:rPr>
        <w:t>See</w:t>
      </w:r>
      <w:r>
        <w:t xml:space="preserve"> </w:t>
      </w:r>
      <w:r>
        <w:rPr>
          <w:i/>
        </w:rPr>
        <w:t>Wal-Mart Stores, Inc. v. Lee</w:t>
      </w:r>
      <w:r>
        <w:t xml:space="preserve">, 290 Ga. App.541, 659 S.E.2d 905 (2008).  </w:t>
      </w:r>
    </w:p>
  </w:endnote>
  <w:endnote w:id="28">
    <w:p>
      <w:pPr>
        <w:pStyle w:val="EndnoteText"/>
      </w:pPr>
      <w:r>
        <w:rPr>
          <w:rStyle w:val="EndnoteReference"/>
          <w:rFonts w:ascii="Century Schoolbook" w:hAnsi="Century Schoolbook"/>
          <w:sz w:val="19"/>
          <w:szCs w:val="19"/>
        </w:rPr>
        <w:endnoteRef/>
      </w:r>
      <w:r>
        <w:t xml:space="preserve"> </w:t>
      </w:r>
      <w:r>
        <w:rPr>
          <w:i/>
        </w:rPr>
        <w:t>Kitchens v. Brusman</w:t>
      </w:r>
      <w:r>
        <w:t xml:space="preserve">, 303 Ga. App. 703, 694 S.E.2d 667 (2010) citing </w:t>
      </w:r>
      <w:r>
        <w:rPr>
          <w:i/>
        </w:rPr>
        <w:t>Silman v. Assocs. Bellemeade</w:t>
      </w:r>
      <w:r>
        <w:t xml:space="preserve">, 294 Ga. App. 764, 669 S.E.2d 663 (2008).  </w:t>
      </w:r>
    </w:p>
  </w:endnote>
  <w:endnote w:id="29">
    <w:p>
      <w:pPr>
        <w:pStyle w:val="EndnoteText"/>
      </w:pPr>
      <w:r>
        <w:rPr>
          <w:rStyle w:val="EndnoteReference"/>
          <w:rFonts w:ascii="Century Schoolbook" w:hAnsi="Century Schoolbook"/>
          <w:sz w:val="19"/>
          <w:szCs w:val="19"/>
        </w:rPr>
        <w:endnoteRef/>
      </w:r>
      <w:r>
        <w:t xml:space="preserve"> </w:t>
      </w:r>
      <w:r>
        <w:rPr>
          <w:i/>
        </w:rPr>
        <w:t>Craig v. Bailey Brothers Realty, Inc.</w:t>
      </w:r>
      <w:r>
        <w:t xml:space="preserve"> ,304 Ga. App. 794,697 S.E.2d 888 (2010).</w:t>
      </w:r>
    </w:p>
  </w:endnote>
  <w:endnote w:id="30">
    <w:p>
      <w:pPr>
        <w:pStyle w:val="EndnoteText"/>
      </w:pPr>
      <w:r>
        <w:rPr>
          <w:rStyle w:val="EndnoteReference"/>
          <w:sz w:val="19"/>
          <w:szCs w:val="19"/>
        </w:rPr>
        <w:endnoteRef/>
      </w:r>
      <w:r>
        <w:t xml:space="preserve"> </w:t>
      </w:r>
      <w:r>
        <w:rPr>
          <w:i/>
        </w:rPr>
        <w:t>Id</w:t>
      </w:r>
      <w:r>
        <w:t>. at 797, 697 S.E.2d at 891-92.</w:t>
      </w:r>
    </w:p>
  </w:endnote>
  <w:endnote w:id="31">
    <w:p>
      <w:pPr>
        <w:pStyle w:val="EndnoteText"/>
      </w:pPr>
      <w:r>
        <w:rPr>
          <w:rStyle w:val="EndnoteReference"/>
          <w:rFonts w:ascii="Century Schoolbook" w:hAnsi="Century Schoolbook"/>
          <w:sz w:val="19"/>
          <w:szCs w:val="19"/>
        </w:rPr>
        <w:endnoteRef/>
      </w:r>
      <w:r>
        <w:t xml:space="preserve"> </w:t>
      </w:r>
      <w:r>
        <w:rPr>
          <w:i/>
        </w:rPr>
        <w:t>Paggett v. Kroger Company</w:t>
      </w:r>
      <w:r>
        <w:t>, 311 Ga. App. 690, 716 S.E.2d 792 (2011).</w:t>
      </w:r>
    </w:p>
  </w:endnote>
  <w:endnote w:id="32">
    <w:p>
      <w:pPr>
        <w:pStyle w:val="EndnoteText"/>
      </w:pPr>
      <w:r>
        <w:rPr>
          <w:rStyle w:val="EndnoteReference"/>
          <w:sz w:val="19"/>
          <w:szCs w:val="19"/>
        </w:rPr>
        <w:endnoteRef/>
      </w:r>
      <w:r>
        <w:t xml:space="preserve"> </w:t>
      </w:r>
      <w:r>
        <w:rPr>
          <w:i/>
        </w:rPr>
        <w:t>Id</w:t>
      </w:r>
      <w:r>
        <w:t>. at 692-93, 716 S.E.2d at 795.</w:t>
      </w:r>
    </w:p>
  </w:endnote>
  <w:endnote w:id="33">
    <w:p>
      <w:pPr>
        <w:pStyle w:val="EndnoteText"/>
      </w:pPr>
      <w:r>
        <w:rPr>
          <w:rStyle w:val="EndnoteReference"/>
          <w:rFonts w:ascii="Century Schoolbook" w:hAnsi="Century Schoolbook"/>
          <w:sz w:val="19"/>
          <w:szCs w:val="19"/>
        </w:rPr>
        <w:endnoteRef/>
      </w:r>
      <w:r>
        <w:t xml:space="preserve"> </w:t>
      </w:r>
      <w:r>
        <w:rPr>
          <w:i/>
        </w:rPr>
        <w:t>Watts &amp; Colwell Builders, Inc. v. Martin</w:t>
      </w:r>
      <w:r>
        <w:t>, 313 Ga. App. 1, 720 S.E.2d 329 (2011).</w:t>
      </w:r>
    </w:p>
  </w:endnote>
  <w:endnote w:id="34">
    <w:p>
      <w:pPr>
        <w:pStyle w:val="EndnoteText"/>
      </w:pPr>
      <w:r>
        <w:rPr>
          <w:rStyle w:val="EndnoteReference"/>
          <w:rFonts w:ascii="Century Schoolbook" w:hAnsi="Century Schoolbook"/>
          <w:sz w:val="19"/>
          <w:szCs w:val="19"/>
        </w:rPr>
        <w:endnoteRef/>
      </w:r>
      <w:r>
        <w:t xml:space="preserve"> </w:t>
      </w:r>
      <w:r>
        <w:rPr>
          <w:i/>
        </w:rPr>
        <w:t>Flores v. Exprezit! Stores 98-Georgia, LLC</w:t>
      </w:r>
      <w:r>
        <w:t xml:space="preserve"> 314 Ga. App. 570, 724 S.E.2d 870 (2012).</w:t>
      </w:r>
    </w:p>
  </w:endnote>
  <w:endnote w:id="35">
    <w:p>
      <w:pPr>
        <w:pStyle w:val="EndnoteText"/>
      </w:pPr>
      <w:r>
        <w:rPr>
          <w:rStyle w:val="EndnoteReference"/>
          <w:rFonts w:ascii="Century Schoolbook" w:hAnsi="Century Schoolbook"/>
          <w:sz w:val="19"/>
          <w:szCs w:val="19"/>
        </w:rPr>
        <w:endnoteRef/>
      </w:r>
      <w:r>
        <w:t xml:space="preserve"> </w:t>
      </w:r>
      <w:r>
        <w:rPr>
          <w:i/>
        </w:rPr>
        <w:t>Kroger v. Walters</w:t>
      </w:r>
      <w:r>
        <w:t>, 735 S.E.2d 99 (2012).</w:t>
      </w:r>
    </w:p>
  </w:endnote>
  <w:endnote w:id="36">
    <w:p>
      <w:pPr>
        <w:pStyle w:val="EndnoteText"/>
      </w:pPr>
      <w:r>
        <w:rPr>
          <w:rStyle w:val="EndnoteReference"/>
          <w:sz w:val="19"/>
          <w:szCs w:val="19"/>
        </w:rPr>
        <w:endnoteRef/>
      </w:r>
      <w:r>
        <w:t xml:space="preserve"> </w:t>
      </w:r>
      <w:r>
        <w:rPr>
          <w:i/>
        </w:rPr>
        <w:t xml:space="preserve">Id. </w:t>
      </w:r>
      <w:r>
        <w:t>at 53-54, 735 S.E.2d 102.</w:t>
      </w:r>
    </w:p>
  </w:endnote>
  <w:endnote w:id="37">
    <w:p>
      <w:pPr>
        <w:pStyle w:val="EndnoteText"/>
      </w:pPr>
      <w:r>
        <w:rPr>
          <w:rStyle w:val="EndnoteReference"/>
          <w:sz w:val="19"/>
          <w:szCs w:val="19"/>
        </w:rPr>
        <w:endnoteRef/>
      </w:r>
      <w:r>
        <w:t xml:space="preserve"> </w:t>
      </w:r>
      <w:r>
        <w:rPr>
          <w:i/>
        </w:rPr>
        <w:t>Id.</w:t>
      </w:r>
    </w:p>
  </w:endnote>
  <w:endnote w:id="38">
    <w:p>
      <w:pPr>
        <w:pStyle w:val="EndnoteText"/>
      </w:pPr>
      <w:r>
        <w:rPr>
          <w:rStyle w:val="EndnoteReference"/>
          <w:sz w:val="19"/>
          <w:szCs w:val="19"/>
        </w:rPr>
        <w:endnoteRef/>
      </w:r>
      <w:r>
        <w:t xml:space="preserve"> </w:t>
      </w:r>
      <w:r>
        <w:rPr>
          <w:i/>
        </w:rPr>
        <w:t>Id</w:t>
      </w:r>
      <w:r>
        <w:t>. at 57, 735 S.E.2d 107.</w:t>
      </w:r>
    </w:p>
  </w:endnote>
  <w:endnote w:id="39">
    <w:p>
      <w:pPr>
        <w:pStyle w:val="EndnoteText"/>
      </w:pPr>
      <w:r>
        <w:rPr>
          <w:rStyle w:val="EndnoteReference"/>
          <w:rFonts w:ascii="Century Schoolbook" w:hAnsi="Century Schoolbook"/>
          <w:sz w:val="19"/>
          <w:szCs w:val="19"/>
        </w:rPr>
        <w:endnoteRef/>
      </w:r>
      <w:r>
        <w:t xml:space="preserve"> </w:t>
      </w:r>
      <w:r>
        <w:rPr>
          <w:i/>
        </w:rPr>
        <w:t>See</w:t>
      </w:r>
      <w:r>
        <w:t xml:space="preserve">, </w:t>
      </w:r>
      <w:r>
        <w:rPr>
          <w:i/>
        </w:rPr>
        <w:t>generally</w:t>
      </w:r>
      <w:r>
        <w:t xml:space="preserve">, </w:t>
      </w:r>
      <w:r>
        <w:rPr>
          <w:i/>
        </w:rPr>
        <w:t>AMLI Residential Properties, Inc. v. Georgia Power Company</w:t>
      </w:r>
      <w:r>
        <w:t>, 293 Ga. App. 358, 667 S.E.2d 150 (2008) (In which the appellate court apparently made reference to NFPA 921 when noting that the “trial court found that the recognized standards for investigating the causes of fire require notice to interested parties before destructive testing of evidence to allow those parties to object or be present at the test.”).</w:t>
      </w:r>
      <w:r>
        <w:rPr>
          <w:sz w:val="21"/>
          <w:szCs w:val="21"/>
        </w:rPr>
        <w:t xml:space="preserve">  </w:t>
      </w:r>
    </w:p>
  </w:endnote>
  <w:endnote w:id="40">
    <w:p>
      <w:pPr>
        <w:pStyle w:val="EndnoteText"/>
      </w:pPr>
      <w:r>
        <w:rPr>
          <w:rStyle w:val="EndnoteReference"/>
          <w:rFonts w:ascii="Century Schoolbook" w:hAnsi="Century Schoolbook"/>
          <w:sz w:val="19"/>
          <w:szCs w:val="19"/>
        </w:rPr>
        <w:endnoteRef/>
      </w:r>
      <w:r>
        <w:t xml:space="preserve"> </w:t>
      </w:r>
      <w:r>
        <w:rPr>
          <w:i/>
        </w:rPr>
        <w:t>Owens v. American Refuse Systems, Inc.</w:t>
      </w:r>
      <w:r>
        <w:t>, 244 Ga. App. 780, 536 S.E.2d 782 (2000).</w:t>
      </w:r>
    </w:p>
  </w:endnote>
  <w:endnote w:id="41">
    <w:p>
      <w:pPr>
        <w:pStyle w:val="EndnoteText"/>
      </w:pPr>
      <w:r>
        <w:rPr>
          <w:rStyle w:val="EndnoteReference"/>
          <w:rFonts w:ascii="Century Schoolbook" w:hAnsi="Century Schoolbook"/>
          <w:sz w:val="19"/>
          <w:szCs w:val="19"/>
        </w:rPr>
        <w:endnoteRef/>
      </w:r>
      <w:r>
        <w:t xml:space="preserve"> </w:t>
      </w:r>
      <w:r>
        <w:rPr>
          <w:i/>
        </w:rPr>
        <w:t>See</w:t>
      </w:r>
      <w:r>
        <w:t xml:space="preserve"> </w:t>
      </w:r>
      <w:r>
        <w:rPr>
          <w:i/>
        </w:rPr>
        <w:t>Smith v. Superior Court</w:t>
      </w:r>
      <w:r>
        <w:t>, 151 Cal. App. 3d 491 (1984).</w:t>
      </w:r>
    </w:p>
  </w:endnote>
  <w:endnote w:id="42">
    <w:p>
      <w:pPr>
        <w:pStyle w:val="EndnoteText"/>
      </w:pPr>
      <w:r>
        <w:rPr>
          <w:rStyle w:val="EndnoteReference"/>
          <w:rFonts w:ascii="Century Schoolbook" w:hAnsi="Century Schoolbook"/>
          <w:sz w:val="19"/>
          <w:szCs w:val="19"/>
        </w:rPr>
        <w:endnoteRef/>
      </w:r>
      <w:r>
        <w:t xml:space="preserve"> </w:t>
      </w:r>
      <w:r>
        <w:rPr>
          <w:i/>
        </w:rPr>
        <w:t>Jones v. Krystal Co</w:t>
      </w:r>
      <w:r>
        <w:t>., 231 Ga. App. 102, 498 S.E.2d 565 (1998).</w:t>
      </w:r>
    </w:p>
  </w:endnote>
  <w:endnote w:id="43">
    <w:p>
      <w:pPr>
        <w:pStyle w:val="EndnoteText"/>
      </w:pPr>
      <w:r>
        <w:rPr>
          <w:rStyle w:val="EndnoteReference"/>
          <w:rFonts w:ascii="Century Schoolbook" w:hAnsi="Century Schoolbook"/>
          <w:sz w:val="19"/>
          <w:szCs w:val="19"/>
        </w:rPr>
        <w:endnoteRef/>
      </w:r>
      <w:r>
        <w:t xml:space="preserve"> </w:t>
      </w:r>
      <w:r>
        <w:rPr>
          <w:i/>
        </w:rPr>
        <w:t>Burke v. Paul</w:t>
      </w:r>
      <w:r>
        <w:t>, 289 Ga. App. 826, 658 S.E.2d 430 (2008).</w:t>
      </w:r>
    </w:p>
  </w:endnote>
  <w:endnote w:id="44">
    <w:p>
      <w:pPr>
        <w:pStyle w:val="EndnoteText"/>
      </w:pPr>
      <w:r>
        <w:rPr>
          <w:rStyle w:val="EndnoteReference"/>
          <w:sz w:val="19"/>
          <w:szCs w:val="19"/>
        </w:rPr>
        <w:endnoteRef/>
      </w:r>
      <w:r>
        <w:t xml:space="preserve"> </w:t>
      </w:r>
      <w:r>
        <w:rPr>
          <w:i/>
        </w:rPr>
        <w:t>Id</w:t>
      </w:r>
      <w:r>
        <w:t>. at 826-27, 658 S.E.2d at 431.</w:t>
      </w:r>
    </w:p>
  </w:endnote>
  <w:endnote w:id="45">
    <w:p>
      <w:pPr>
        <w:pStyle w:val="EndnoteText"/>
      </w:pPr>
      <w:r>
        <w:rPr>
          <w:rStyle w:val="EndnoteReference"/>
          <w:sz w:val="19"/>
          <w:szCs w:val="19"/>
        </w:rPr>
        <w:endnoteRef/>
      </w:r>
      <w:r>
        <w:t xml:space="preserve"> </w:t>
      </w:r>
      <w:r>
        <w:rPr>
          <w:i/>
        </w:rPr>
        <w:t>Id</w:t>
      </w:r>
      <w:r>
        <w:t>. at 828-29, 658 S.E.2d at 432-33.</w:t>
      </w:r>
    </w:p>
  </w:endnote>
  <w:endnote w:id="46">
    <w:p>
      <w:pPr>
        <w:pStyle w:val="EndnoteText"/>
      </w:pPr>
      <w:r>
        <w:rPr>
          <w:rStyle w:val="EndnoteReference"/>
          <w:sz w:val="19"/>
          <w:szCs w:val="19"/>
        </w:rPr>
        <w:endnoteRef/>
      </w:r>
      <w:r>
        <w:t xml:space="preserve"> </w:t>
      </w:r>
      <w:r>
        <w:rPr>
          <w:i/>
        </w:rPr>
        <w:t>See</w:t>
      </w:r>
      <w:r>
        <w:t xml:space="preserve"> 289 Ga. App. 826, 658 S.E.2d 430 (2008).</w:t>
      </w:r>
    </w:p>
  </w:endnote>
  <w:endnote w:id="47">
    <w:p>
      <w:pPr>
        <w:pStyle w:val="EndnoteText"/>
      </w:pPr>
      <w:r>
        <w:rPr>
          <w:rStyle w:val="EndnoteReference"/>
          <w:rFonts w:ascii="Century Schoolbook" w:hAnsi="Century Schoolbook"/>
          <w:sz w:val="19"/>
          <w:szCs w:val="19"/>
        </w:rPr>
        <w:endnoteRef/>
      </w:r>
      <w:r>
        <w:t xml:space="preserve"> </w:t>
      </w:r>
      <w:r>
        <w:rPr>
          <w:i/>
        </w:rPr>
        <w:t>AMLI Residential Properties</w:t>
      </w:r>
      <w:r>
        <w:t xml:space="preserve">, </w:t>
      </w:r>
      <w:r>
        <w:rPr>
          <w:i/>
        </w:rPr>
        <w:t>supra</w:t>
      </w:r>
      <w:r>
        <w:t>.</w:t>
      </w:r>
    </w:p>
  </w:endnote>
  <w:endnote w:id="48">
    <w:p>
      <w:pPr>
        <w:pStyle w:val="EndnoteText"/>
      </w:pPr>
      <w:r>
        <w:rPr>
          <w:rStyle w:val="EndnoteReference"/>
          <w:sz w:val="19"/>
          <w:szCs w:val="19"/>
        </w:rPr>
        <w:endnoteRef/>
      </w:r>
      <w:r>
        <w:t xml:space="preserve"> </w:t>
      </w:r>
      <w:r>
        <w:rPr>
          <w:i/>
        </w:rPr>
        <w:t>Id</w:t>
      </w:r>
      <w:r>
        <w:t>. at 358-59, 667 S.E.2d at 152.</w:t>
      </w:r>
    </w:p>
  </w:endnote>
  <w:endnote w:id="49">
    <w:p>
      <w:pPr>
        <w:pStyle w:val="EndnoteText"/>
      </w:pPr>
      <w:r>
        <w:rPr>
          <w:rStyle w:val="EndnoteReference"/>
          <w:sz w:val="19"/>
          <w:szCs w:val="19"/>
        </w:rPr>
        <w:endnoteRef/>
      </w:r>
      <w:r>
        <w:t xml:space="preserve"> </w:t>
      </w:r>
      <w:r>
        <w:rPr>
          <w:i/>
        </w:rPr>
        <w:t>Id</w:t>
      </w:r>
      <w:r>
        <w:t>. at 363, 667 S.E.2d at 155.</w:t>
      </w:r>
    </w:p>
  </w:endnote>
  <w:endnote w:id="50">
    <w:p>
      <w:pPr>
        <w:pStyle w:val="EndnoteText"/>
      </w:pPr>
      <w:r>
        <w:rPr>
          <w:rStyle w:val="EndnoteReference"/>
        </w:rPr>
        <w:endnoteRef/>
      </w:r>
      <w:r>
        <w:t xml:space="preserve"> 262 Ga. 267, 416 S.E.2d 274 (1992).</w:t>
      </w:r>
    </w:p>
  </w:endnote>
  <w:endnote w:id="51">
    <w:p>
      <w:pPr>
        <w:pStyle w:val="EndnoteText"/>
      </w:pPr>
      <w:r>
        <w:rPr>
          <w:rStyle w:val="EndnoteReference"/>
        </w:rPr>
        <w:endnoteRef/>
      </w:r>
      <w:r>
        <w:t xml:space="preserve"> 322 Ga. App. 693, 746 S.E.2d 157 (2013).</w:t>
      </w:r>
    </w:p>
  </w:endnote>
  <w:endnote w:id="52">
    <w:p>
      <w:pPr>
        <w:pStyle w:val="EndnoteText"/>
      </w:pPr>
      <w:r>
        <w:rPr>
          <w:rStyle w:val="EndnoteReference"/>
          <w:rFonts w:ascii="Century Schoolbook" w:hAnsi="Century Schoolbook"/>
        </w:rPr>
        <w:endnoteRef/>
      </w:r>
      <w:r>
        <w:t xml:space="preserve"> </w:t>
      </w:r>
      <w:r>
        <w:rPr>
          <w:i/>
        </w:rPr>
        <w:t>Southern Gen. Ins. Co.</w:t>
      </w:r>
      <w:r>
        <w:t xml:space="preserve">, 262 Ga. 267, 416 S.E.2d 274. </w:t>
      </w:r>
    </w:p>
  </w:endnote>
  <w:endnote w:id="53">
    <w:p>
      <w:pPr>
        <w:pStyle w:val="EndnoteText"/>
      </w:pPr>
      <w:r>
        <w:rPr>
          <w:rStyle w:val="EndnoteReference"/>
          <w:rFonts w:ascii="Century Schoolbook" w:hAnsi="Century Schoolbook"/>
        </w:rPr>
        <w:endnoteRef/>
      </w:r>
      <w:r>
        <w:t xml:space="preserve"> </w:t>
      </w:r>
      <w:r>
        <w:rPr>
          <w:i/>
        </w:rPr>
        <w:t>Id.</w:t>
      </w:r>
      <w:r>
        <w:t xml:space="preserve"> at 268-69, 416 S.E.2d at 275-76. </w:t>
      </w:r>
    </w:p>
  </w:endnote>
  <w:endnote w:id="54">
    <w:p>
      <w:pPr>
        <w:pStyle w:val="EndnoteText"/>
      </w:pPr>
      <w:r>
        <w:rPr>
          <w:rStyle w:val="EndnoteReference"/>
          <w:rFonts w:ascii="Century Schoolbook" w:hAnsi="Century Schoolbook"/>
        </w:rPr>
        <w:endnoteRef/>
      </w:r>
      <w:r>
        <w:t xml:space="preserve"> </w:t>
      </w:r>
      <w:r>
        <w:rPr>
          <w:i/>
        </w:rPr>
        <w:t>Id.</w:t>
      </w:r>
      <w:r>
        <w:t xml:space="preserve"> at 269, 416 S.E.2d at 276.</w:t>
      </w:r>
    </w:p>
  </w:endnote>
  <w:endnote w:id="55">
    <w:p>
      <w:pPr>
        <w:pStyle w:val="EndnoteText"/>
      </w:pPr>
      <w:r>
        <w:rPr>
          <w:rStyle w:val="EndnoteReference"/>
          <w:rFonts w:ascii="Century Schoolbook" w:hAnsi="Century Schoolbook"/>
        </w:rPr>
        <w:endnoteRef/>
      </w:r>
      <w:r>
        <w:t xml:space="preserve"> O.C.G.A. § 9-11-67.1(a) (2006 &amp; Supp. 2013) (effective July 1, 2013). </w:t>
      </w:r>
    </w:p>
  </w:endnote>
  <w:endnote w:id="56">
    <w:p>
      <w:pPr>
        <w:pStyle w:val="EndnoteText"/>
      </w:pPr>
      <w:r>
        <w:rPr>
          <w:rStyle w:val="EndnoteReference"/>
          <w:rFonts w:ascii="Century Schoolbook" w:hAnsi="Century Schoolbook"/>
        </w:rPr>
        <w:endnoteRef/>
      </w:r>
      <w:r>
        <w:t xml:space="preserve"> O.C.G.A. § 9-11-67.1(d).</w:t>
      </w:r>
    </w:p>
  </w:endnote>
  <w:endnote w:id="57">
    <w:p>
      <w:pPr>
        <w:pStyle w:val="EndnoteText"/>
      </w:pPr>
      <w:r>
        <w:rPr>
          <w:rStyle w:val="EndnoteReference"/>
          <w:rFonts w:ascii="Century Schoolbook" w:hAnsi="Century Schoolbook"/>
        </w:rPr>
        <w:endnoteRef/>
      </w:r>
      <w:r>
        <w:t xml:space="preserve"> O.C.G.A. § 9-11-67.1(a).</w:t>
      </w:r>
    </w:p>
  </w:endnote>
  <w:endnote w:id="58">
    <w:p>
      <w:pPr>
        <w:pStyle w:val="EndnoteText"/>
      </w:pPr>
      <w:r>
        <w:rPr>
          <w:rStyle w:val="EndnoteReference"/>
          <w:rFonts w:ascii="Century Schoolbook" w:hAnsi="Century Schoolbook"/>
        </w:rPr>
        <w:endnoteRef/>
      </w:r>
      <w:r>
        <w:t xml:space="preserve"> O.C.G.A.  § 9-11-68(a) (2006). </w:t>
      </w:r>
    </w:p>
  </w:endnote>
  <w:endnote w:id="59">
    <w:p>
      <w:pPr>
        <w:pStyle w:val="EndnoteText"/>
      </w:pPr>
      <w:r>
        <w:rPr>
          <w:rStyle w:val="EndnoteReference"/>
          <w:rFonts w:ascii="Century Schoolbook" w:hAnsi="Century Schoolbook"/>
        </w:rPr>
        <w:endnoteRef/>
      </w:r>
      <w:r>
        <w:t xml:space="preserve"> O.C.G.A. § 9-11-68(b)(2).</w:t>
      </w:r>
    </w:p>
  </w:endnote>
  <w:endnote w:id="60">
    <w:p>
      <w:pPr>
        <w:pStyle w:val="EndnoteText"/>
      </w:pPr>
      <w:r>
        <w:rPr>
          <w:rStyle w:val="EndnoteReference"/>
          <w:rFonts w:ascii="Century Schoolbook" w:hAnsi="Century Schoolbook"/>
        </w:rPr>
        <w:endnoteRef/>
      </w:r>
      <w:r>
        <w:t xml:space="preserve"> O.C.G.A. § 9-11-68(b)(1).</w:t>
      </w:r>
    </w:p>
  </w:endnote>
  <w:endnote w:id="61">
    <w:p>
      <w:pPr>
        <w:pStyle w:val="EndnoteText"/>
      </w:pPr>
      <w:r>
        <w:rPr>
          <w:rStyle w:val="EndnoteReference"/>
          <w:rFonts w:ascii="Century Schoolbook" w:hAnsi="Century Schoolbook"/>
        </w:rPr>
        <w:endnoteRef/>
      </w:r>
      <w:r>
        <w:t xml:space="preserve"> O.C.G.A. § 9-11-68(a).</w:t>
      </w:r>
    </w:p>
  </w:endnote>
  <w:endnote w:id="62">
    <w:p>
      <w:pPr>
        <w:pStyle w:val="EndnoteText"/>
      </w:pPr>
      <w:r>
        <w:rPr>
          <w:rStyle w:val="EndnoteReference"/>
          <w:rFonts w:ascii="Century Schoolbook" w:hAnsi="Century Schoolbook"/>
        </w:rPr>
        <w:endnoteRef/>
      </w:r>
      <w:r>
        <w:t xml:space="preserve"> O.C.G.A. § 9-11-68(c).</w:t>
      </w:r>
    </w:p>
  </w:endnote>
  <w:endnote w:id="63">
    <w:p>
      <w:pPr>
        <w:pStyle w:val="EndnoteText"/>
      </w:pPr>
      <w:r>
        <w:rPr>
          <w:rStyle w:val="EndnoteReference"/>
          <w:rFonts w:ascii="Century Schoolbook" w:hAnsi="Century Schoolbook"/>
        </w:rPr>
        <w:endnoteRef/>
      </w:r>
      <w:r>
        <w:t xml:space="preserve"> 322 Ga. App. 234, 744 S.E.2d 432 (2013).</w:t>
      </w:r>
    </w:p>
  </w:endnote>
  <w:endnote w:id="64">
    <w:p>
      <w:pPr>
        <w:pStyle w:val="EndnoteText"/>
      </w:pPr>
      <w:r>
        <w:rPr>
          <w:rStyle w:val="EndnoteReference"/>
          <w:rFonts w:ascii="Century Schoolbook" w:hAnsi="Century Schoolbook"/>
        </w:rPr>
        <w:endnoteRef/>
      </w:r>
      <w:r>
        <w:t xml:space="preserve"> </w:t>
      </w:r>
      <w:r>
        <w:rPr>
          <w:i/>
        </w:rPr>
        <w:t>Id.</w:t>
      </w:r>
      <w:r>
        <w:t>. at 238-39, 744 S.E.2d at 436 (internal citations omitted).</w:t>
      </w:r>
    </w:p>
  </w:endnote>
  <w:endnote w:id="65">
    <w:p>
      <w:pPr>
        <w:pStyle w:val="EndnoteText"/>
      </w:pPr>
      <w:r>
        <w:rPr>
          <w:rStyle w:val="EndnoteReference"/>
          <w:rFonts w:ascii="Century Schoolbook" w:hAnsi="Century Schoolbook"/>
        </w:rPr>
        <w:endnoteRef/>
      </w:r>
      <w:r>
        <w:t xml:space="preserve"> </w:t>
      </w:r>
      <w:r>
        <w:rPr>
          <w:i/>
        </w:rPr>
        <w:t>See</w:t>
      </w:r>
      <w:r>
        <w:t xml:space="preserve">, </w:t>
      </w:r>
      <w:r>
        <w:rPr>
          <w:i/>
        </w:rPr>
        <w:t>e.g.</w:t>
      </w:r>
      <w:r>
        <w:t xml:space="preserve">, </w:t>
      </w:r>
      <w:r>
        <w:rPr>
          <w:i/>
        </w:rPr>
        <w:t>Brandenburg v. All-Fleet Refinishing, Inc.</w:t>
      </w:r>
      <w:r>
        <w:t>, 252 Ga. App. 40, 555 S.E.2d 208 (2001) (reversing attorney’s fee award because plaintiff failed to submit any evidence of hours, rates, or other indication of the value of services actually rendered by his attorney).</w:t>
      </w:r>
    </w:p>
  </w:endnote>
  <w:endnote w:id="66">
    <w:p>
      <w:pPr>
        <w:pStyle w:val="EndnoteText"/>
      </w:pPr>
      <w:r>
        <w:rPr>
          <w:rStyle w:val="EndnoteReference"/>
          <w:rFonts w:ascii="Century Schoolbook" w:hAnsi="Century Schoolbook"/>
        </w:rPr>
        <w:endnoteRef/>
      </w:r>
      <w:r>
        <w:t xml:space="preserve"> </w:t>
      </w:r>
      <w:r>
        <w:rPr>
          <w:i/>
        </w:rPr>
        <w:t>Ga. Dep’t of Corr. v. Couch</w:t>
      </w:r>
      <w:r>
        <w:t>, 2013 Ga. LEXIS 908 (Nov. 4, 2013).</w:t>
      </w:r>
    </w:p>
  </w:endnote>
  <w:endnote w:id="67">
    <w:p>
      <w:pPr>
        <w:pStyle w:val="EndnoteText"/>
      </w:pPr>
      <w:r>
        <w:rPr>
          <w:rStyle w:val="EndnoteReference"/>
          <w:rFonts w:ascii="Century Schoolbook" w:hAnsi="Century Schoolbook"/>
        </w:rPr>
        <w:endnoteRef/>
      </w:r>
      <w:r>
        <w:t xml:space="preserve"> O.C.G.A. § 9-11-68(d)(2).</w:t>
      </w:r>
    </w:p>
  </w:endnote>
  <w:endnote w:id="68">
    <w:p>
      <w:pPr>
        <w:pStyle w:val="EndnoteText"/>
      </w:pPr>
      <w:r>
        <w:rPr>
          <w:rStyle w:val="EndnoteReference"/>
          <w:rFonts w:ascii="Century Schoolbook" w:hAnsi="Century Schoolbook"/>
        </w:rPr>
        <w:endnoteRef/>
      </w:r>
      <w:r>
        <w:t xml:space="preserve"> 310 Ga. App. 761, 714 S.E.2d 350 (2011).</w:t>
      </w:r>
    </w:p>
  </w:endnote>
  <w:endnote w:id="69">
    <w:p>
      <w:pPr>
        <w:pStyle w:val="EndnoteText"/>
      </w:pPr>
      <w:r>
        <w:rPr>
          <w:rStyle w:val="EndnoteReference"/>
          <w:rFonts w:ascii="Century Schoolbook" w:hAnsi="Century Schoolbook"/>
        </w:rPr>
        <w:endnoteRef/>
      </w:r>
      <w:r>
        <w:t xml:space="preserve"> </w:t>
      </w:r>
      <w:r>
        <w:rPr>
          <w:i/>
        </w:rPr>
        <w:t>Id.</w:t>
      </w:r>
      <w:r>
        <w:t xml:space="preserve"> at 762-63, 714 S.E.2d at 352.</w:t>
      </w:r>
    </w:p>
  </w:endnote>
  <w:endnote w:id="70">
    <w:p>
      <w:pPr>
        <w:pStyle w:val="EndnoteText"/>
      </w:pPr>
      <w:r>
        <w:rPr>
          <w:rStyle w:val="EndnoteReference"/>
          <w:rFonts w:ascii="Century Schoolbook" w:hAnsi="Century Schoolbook"/>
        </w:rPr>
        <w:endnoteRef/>
      </w:r>
      <w:r>
        <w:t xml:space="preserve"> </w:t>
      </w:r>
      <w:r>
        <w:rPr>
          <w:i/>
        </w:rPr>
        <w:t>Id.</w:t>
      </w:r>
      <w:r>
        <w:t xml:space="preserve"> at 763, 714 S.E.2d at 352. </w:t>
      </w:r>
    </w:p>
  </w:endnote>
  <w:endnote w:id="71">
    <w:p>
      <w:pPr>
        <w:pStyle w:val="EndnoteText"/>
      </w:pPr>
      <w:r>
        <w:rPr>
          <w:rStyle w:val="EndnoteReference"/>
          <w:rFonts w:ascii="Century Schoolbook" w:hAnsi="Century Schoolbook"/>
        </w:rPr>
        <w:endnoteRef/>
      </w:r>
      <w:r>
        <w:t xml:space="preserve"> </w:t>
      </w:r>
      <w:r>
        <w:rPr>
          <w:i/>
        </w:rPr>
        <w:t>Id.</w:t>
      </w:r>
      <w:r>
        <w:t xml:space="preserve">, 714 S.E.2d at 352. </w:t>
      </w:r>
    </w:p>
  </w:endnote>
  <w:endnote w:id="72">
    <w:p>
      <w:pPr>
        <w:pStyle w:val="EndnoteText"/>
      </w:pPr>
      <w:r>
        <w:rPr>
          <w:rStyle w:val="EndnoteReference"/>
          <w:rFonts w:ascii="Century Schoolbook" w:hAnsi="Century Schoolbook"/>
        </w:rPr>
        <w:endnoteRef/>
      </w:r>
      <w:r>
        <w:t xml:space="preserve"> 320 Ga. App. 667, 739 S.E.2d 410 (2013).</w:t>
      </w:r>
    </w:p>
  </w:endnote>
  <w:endnote w:id="73">
    <w:p>
      <w:pPr>
        <w:pStyle w:val="EndnoteText"/>
      </w:pPr>
      <w:r>
        <w:rPr>
          <w:rStyle w:val="EndnoteReference"/>
          <w:rFonts w:ascii="Century Schoolbook" w:hAnsi="Century Schoolbook"/>
        </w:rPr>
        <w:endnoteRef/>
      </w:r>
      <w:r>
        <w:t xml:space="preserve"> </w:t>
      </w:r>
      <w:r>
        <w:rPr>
          <w:i/>
        </w:rPr>
        <w:t>Id.</w:t>
      </w:r>
      <w:r>
        <w:t xml:space="preserve"> at 670, 739 S.E.2d at 413 (internal quotation and brackets omitted).</w:t>
      </w:r>
    </w:p>
  </w:endnote>
  <w:endnote w:id="74">
    <w:p>
      <w:pPr>
        <w:pStyle w:val="EndnoteText"/>
      </w:pPr>
      <w:r>
        <w:rPr>
          <w:rStyle w:val="EndnoteReference"/>
          <w:rFonts w:ascii="Century Schoolbook" w:hAnsi="Century Schoolbook"/>
        </w:rPr>
        <w:endnoteRef/>
      </w:r>
      <w:r>
        <w:t xml:space="preserve"> </w:t>
      </w:r>
      <w:r>
        <w:rPr>
          <w:i/>
        </w:rPr>
        <w:t>Id.</w:t>
      </w:r>
      <w:r>
        <w:t xml:space="preserve"> at 670, 739 S.E.2d at 413. </w:t>
      </w:r>
    </w:p>
  </w:endnote>
  <w:endnote w:id="75">
    <w:p>
      <w:pPr>
        <w:pStyle w:val="EndnoteText"/>
      </w:pPr>
      <w:r>
        <w:rPr>
          <w:rStyle w:val="EndnoteReference"/>
          <w:rFonts w:ascii="Century Schoolbook" w:hAnsi="Century Schoolbook"/>
        </w:rPr>
        <w:endnoteRef/>
      </w:r>
      <w:r>
        <w:t xml:space="preserve"> </w:t>
      </w:r>
      <w:r>
        <w:rPr>
          <w:i/>
        </w:rPr>
        <w:t>Id.</w:t>
      </w:r>
      <w:r>
        <w:t>, 739 S.E.2d at 413.</w:t>
      </w:r>
    </w:p>
  </w:endnote>
  <w:endnote w:id="76">
    <w:p>
      <w:pPr>
        <w:pStyle w:val="EndnoteText"/>
      </w:pPr>
      <w:r>
        <w:rPr>
          <w:rStyle w:val="EndnoteReference"/>
          <w:rFonts w:ascii="Century Schoolbook" w:hAnsi="Century Schoolbook"/>
        </w:rPr>
        <w:endnoteRef/>
      </w:r>
      <w:r>
        <w:t xml:space="preserve"> 313 Ga. App. 180, 721 S.E.2d 173 (2011) (</w:t>
      </w:r>
      <w:r>
        <w:rPr>
          <w:i/>
        </w:rPr>
        <w:t>en banc</w:t>
      </w:r>
      <w:r>
        <w:t>).</w:t>
      </w:r>
    </w:p>
  </w:endnote>
  <w:endnote w:id="77">
    <w:p>
      <w:pPr>
        <w:pStyle w:val="EndnoteText"/>
      </w:pPr>
      <w:r>
        <w:rPr>
          <w:rStyle w:val="EndnoteReference"/>
          <w:rFonts w:ascii="Century Schoolbook" w:hAnsi="Century Schoolbook"/>
        </w:rPr>
        <w:endnoteRef/>
      </w:r>
      <w:r>
        <w:t xml:space="preserve"> </w:t>
      </w:r>
      <w:r>
        <w:rPr>
          <w:i/>
        </w:rPr>
        <w:t>Id.</w:t>
      </w:r>
      <w:r>
        <w:t xml:space="preserve"> at 181, 721 S.E.2d at 174. </w:t>
      </w:r>
    </w:p>
  </w:endnote>
  <w:endnote w:id="78">
    <w:p>
      <w:pPr>
        <w:pStyle w:val="EndnoteText"/>
      </w:pPr>
      <w:r>
        <w:rPr>
          <w:rStyle w:val="EndnoteReference"/>
          <w:rFonts w:ascii="Century Schoolbook" w:hAnsi="Century Schoolbook"/>
        </w:rPr>
        <w:endnoteRef/>
      </w:r>
      <w:r>
        <w:t xml:space="preserve"> </w:t>
      </w:r>
      <w:r>
        <w:rPr>
          <w:i/>
        </w:rPr>
        <w:t>Id.</w:t>
      </w:r>
      <w:r>
        <w:t xml:space="preserve">, 721 S.E.2d at 174. </w:t>
      </w:r>
    </w:p>
  </w:endnote>
  <w:endnote w:id="79">
    <w:p>
      <w:pPr>
        <w:pStyle w:val="EndnoteText"/>
      </w:pPr>
      <w:r>
        <w:rPr>
          <w:rStyle w:val="EndnoteReference"/>
          <w:rFonts w:ascii="Century Schoolbook" w:hAnsi="Century Schoolbook"/>
        </w:rPr>
        <w:endnoteRef/>
      </w:r>
      <w:r>
        <w:t xml:space="preserve"> </w:t>
      </w:r>
      <w:r>
        <w:rPr>
          <w:i/>
        </w:rPr>
        <w:t>Id.</w:t>
      </w:r>
      <w:r>
        <w:t xml:space="preserve"> at 182, 721 S.E.2d at 175. </w:t>
      </w:r>
    </w:p>
  </w:endnote>
  <w:endnote w:id="80">
    <w:p>
      <w:pPr>
        <w:pStyle w:val="EndnoteText"/>
      </w:pPr>
      <w:r>
        <w:rPr>
          <w:rStyle w:val="EndnoteReference"/>
          <w:rFonts w:ascii="Century Schoolbook" w:hAnsi="Century Schoolbook"/>
        </w:rPr>
        <w:endnoteRef/>
      </w:r>
      <w:r>
        <w:t xml:space="preserve"> </w:t>
      </w:r>
      <w:r>
        <w:rPr>
          <w:i/>
        </w:rPr>
        <w:t>Id.</w:t>
      </w:r>
      <w:r>
        <w:t xml:space="preserve">, 721 S.E.2d at 175. </w:t>
      </w:r>
    </w:p>
  </w:endnote>
  <w:endnote w:id="81">
    <w:p>
      <w:pPr>
        <w:pStyle w:val="EndnoteText"/>
      </w:pPr>
      <w:r>
        <w:rPr>
          <w:rStyle w:val="EndnoteReference"/>
          <w:rFonts w:ascii="Century Schoolbook" w:hAnsi="Century Schoolbook"/>
        </w:rPr>
        <w:endnoteRef/>
      </w:r>
      <w:r>
        <w:t xml:space="preserve"> </w:t>
      </w:r>
      <w:r>
        <w:rPr>
          <w:i/>
        </w:rPr>
        <w:t>MCG Health, Inc. v. Kight</w:t>
      </w:r>
      <w:r>
        <w:t>, 750 S.E.2d 813, 817, 2013 Ga. App. LEXIS 983 (2013) (</w:t>
      </w:r>
      <w:r>
        <w:rPr>
          <w:i/>
        </w:rPr>
        <w:t>en banc</w:t>
      </w:r>
      <w:r>
        <w:t xml:space="preserve">) (internal brackets omitted); </w:t>
      </w:r>
      <w:r>
        <w:rPr>
          <w:i/>
        </w:rPr>
        <w:t>State Farm Mut. Auto. Ins. Co. v. Adams</w:t>
      </w:r>
      <w:r>
        <w:t xml:space="preserve">, 288 Ga. 315, 319, 702 S.E.2d 898, 902 (2010); </w:t>
      </w:r>
      <w:r>
        <w:rPr>
          <w:i/>
        </w:rPr>
        <w:t>S. Gen. Ins. Co. v. Wellstar Health Sys., Inc.</w:t>
      </w:r>
      <w:r>
        <w:t xml:space="preserve">, 315 Ga. App. 26, 30, 726 S.E.2d 488, 492 (2012).  </w:t>
      </w:r>
      <w:r>
        <w:rPr>
          <w:i/>
        </w:rPr>
        <w:t>See also</w:t>
      </w:r>
      <w:r>
        <w:t xml:space="preserve"> O.C.G.A. § 44-14-470(b) (2002 &amp; 2013 Supp. 2013). </w:t>
      </w:r>
    </w:p>
  </w:endnote>
  <w:endnote w:id="82">
    <w:p>
      <w:pPr>
        <w:pStyle w:val="EndnoteText"/>
      </w:pPr>
      <w:r>
        <w:rPr>
          <w:rStyle w:val="EndnoteReference"/>
          <w:rFonts w:ascii="Century Schoolbook" w:hAnsi="Century Schoolbook"/>
        </w:rPr>
        <w:endnoteRef/>
      </w:r>
      <w:r>
        <w:t xml:space="preserve">  </w:t>
      </w:r>
      <w:r>
        <w:rPr>
          <w:i/>
        </w:rPr>
        <w:t>Torres v. Elkin</w:t>
      </w:r>
      <w:r>
        <w:t>, 317 Ga. App. 135, 141, 730 S.E.2d 518, 523 (2012).</w:t>
      </w:r>
    </w:p>
  </w:endnote>
  <w:endnote w:id="83">
    <w:p>
      <w:pPr>
        <w:pStyle w:val="EndnoteText"/>
      </w:pPr>
      <w:r>
        <w:rPr>
          <w:rStyle w:val="EndnoteReference"/>
          <w:rFonts w:ascii="Century Schoolbook" w:hAnsi="Century Schoolbook"/>
        </w:rPr>
        <w:endnoteRef/>
      </w:r>
      <w:r>
        <w:t xml:space="preserve"> </w:t>
      </w:r>
      <w:r>
        <w:rPr>
          <w:i/>
        </w:rPr>
        <w:t>Id.</w:t>
      </w:r>
      <w:r>
        <w:t>, 730 S.E.2d at 523 (</w:t>
      </w:r>
      <w:r>
        <w:rPr>
          <w:i/>
        </w:rPr>
        <w:t>quoting</w:t>
      </w:r>
      <w:r>
        <w:t xml:space="preserve"> </w:t>
      </w:r>
      <w:r>
        <w:rPr>
          <w:i/>
        </w:rPr>
        <w:t>Raines v. Duskin</w:t>
      </w:r>
      <w:r>
        <w:t>, 247 Ga. 512, 523, 277 S.E.2d 26, 34 (1981)) (internal quotation marks omitted).</w:t>
      </w:r>
    </w:p>
  </w:endnote>
  <w:endnote w:id="84">
    <w:p>
      <w:pPr>
        <w:pStyle w:val="EndnoteText"/>
      </w:pPr>
      <w:r>
        <w:rPr>
          <w:rStyle w:val="EndnoteReference"/>
          <w:rFonts w:ascii="Century Schoolbook" w:hAnsi="Century Schoolbook"/>
        </w:rPr>
        <w:endnoteRef/>
      </w:r>
      <w:r>
        <w:t xml:space="preserve"> </w:t>
      </w:r>
      <w:r>
        <w:rPr>
          <w:i/>
        </w:rPr>
        <w:t>Torres</w:t>
      </w:r>
      <w:r>
        <w:t xml:space="preserve">, 317 Ga. App. at 141, 277 S.E.2d at 34.  </w:t>
      </w:r>
      <w:r>
        <w:rPr>
          <w:i/>
        </w:rPr>
        <w:t>See also</w:t>
      </w:r>
      <w:r>
        <w:t xml:space="preserve"> </w:t>
      </w:r>
      <w:r>
        <w:rPr>
          <w:i/>
        </w:rPr>
        <w:t>Herring v. Dunning</w:t>
      </w:r>
      <w:r>
        <w:t xml:space="preserve">, 213 Ga. App. 695, 699, 446 S.E.2d 199, 203 (1994); </w:t>
      </w:r>
      <w:r>
        <w:rPr>
          <w:i/>
        </w:rPr>
        <w:t>Pourezza v. Teel Appraisals &amp; Advisory, Inc.</w:t>
      </w:r>
      <w:r>
        <w:t>, 273 Ga. App. 880, 883, 616 S.E.2d 108, 111 (2005).</w:t>
      </w:r>
    </w:p>
  </w:endnote>
  <w:endnote w:id="85">
    <w:p>
      <w:pPr>
        <w:pStyle w:val="EndnoteText"/>
      </w:pPr>
      <w:r>
        <w:rPr>
          <w:rStyle w:val="EndnoteReference"/>
          <w:rFonts w:ascii="Century Schoolbook" w:hAnsi="Century Schoolbook"/>
        </w:rPr>
        <w:endnoteRef/>
      </w:r>
      <w:r>
        <w:t xml:space="preserve"> </w:t>
      </w:r>
      <w:r>
        <w:rPr>
          <w:i/>
        </w:rPr>
        <w:t>Herring</w:t>
      </w:r>
      <w:r>
        <w:t>, 213 Ga. App. at 698, 446 S.E.2d at 202-03 (internal punctuation omitted).</w:t>
      </w:r>
    </w:p>
  </w:endnote>
  <w:endnote w:id="86">
    <w:p>
      <w:pPr>
        <w:pStyle w:val="EndnoteText"/>
      </w:pPr>
      <w:r>
        <w:rPr>
          <w:rStyle w:val="EndnoteReference"/>
          <w:rFonts w:ascii="Century Schoolbook" w:hAnsi="Century Schoolbook"/>
        </w:rPr>
        <w:endnoteRef/>
      </w:r>
      <w:r>
        <w:t xml:space="preserve"> 322 Ga. App. 228, 229, 744 S.E.2d 408, 409 (2013).</w:t>
      </w:r>
    </w:p>
  </w:endnote>
  <w:endnote w:id="87">
    <w:p>
      <w:pPr>
        <w:pStyle w:val="EndnoteText"/>
      </w:pPr>
      <w:r>
        <w:rPr>
          <w:rStyle w:val="EndnoteReference"/>
          <w:rFonts w:ascii="Century Schoolbook" w:hAnsi="Century Schoolbook"/>
        </w:rPr>
        <w:endnoteRef/>
      </w:r>
      <w:r>
        <w:t xml:space="preserve"> The lien affidavit provision proposed by the defendants’ attorney read as follows:</w:t>
      </w:r>
    </w:p>
    <w:p>
      <w:pPr>
        <w:pStyle w:val="EndnoteText"/>
        <w:ind w:left="432" w:right="432"/>
      </w:pPr>
      <w:r>
        <w:t>The Undersigned, who first being sworn, deposed and said that they have the legal capacity to give the within affidavit, that the[y] are giving the within affidavit from personal knowledge for all purposes permitted under law, hereby declare, assure, and warrant that they are residents of Henry County, Georgia. In addition, with respect to the treatment of the injuries for which this settlement is made, all hospital, nursing home, physician practice, or provider of traumatic burn care medical practice bills have been fully paid. The sworn statement in this subpart shall constitute an affidavit in compliance with OCGA § 44-14-473.</w:t>
      </w:r>
    </w:p>
    <w:p>
      <w:pPr>
        <w:pStyle w:val="EndnoteText"/>
      </w:pPr>
      <w:r>
        <w:t xml:space="preserve">322 Ga. App. at 230, 744 S.E.2d at 410. </w:t>
      </w:r>
    </w:p>
  </w:endnote>
  <w:endnote w:id="88">
    <w:p>
      <w:pPr>
        <w:pStyle w:val="EndnoteText"/>
      </w:pPr>
      <w:r>
        <w:rPr>
          <w:rStyle w:val="EndnoteReference"/>
          <w:rFonts w:ascii="Century Schoolbook" w:hAnsi="Century Schoolbook"/>
        </w:rPr>
        <w:endnoteRef/>
      </w:r>
      <w:r>
        <w:t xml:space="preserve"> </w:t>
      </w:r>
      <w:r>
        <w:rPr>
          <w:i/>
        </w:rPr>
        <w:t>Id.</w:t>
      </w:r>
      <w:r>
        <w:t xml:space="preserve"> at 230, 744 S.E.2d at 410. </w:t>
      </w:r>
    </w:p>
  </w:endnote>
  <w:endnote w:id="89">
    <w:p>
      <w:pPr>
        <w:pStyle w:val="EndnoteText"/>
      </w:pPr>
      <w:r>
        <w:rPr>
          <w:rStyle w:val="EndnoteReference"/>
          <w:rFonts w:ascii="Century Schoolbook" w:hAnsi="Century Schoolbook"/>
        </w:rPr>
        <w:endnoteRef/>
      </w:r>
      <w:r>
        <w:t xml:space="preserve"> </w:t>
      </w:r>
      <w:r>
        <w:rPr>
          <w:i/>
        </w:rPr>
        <w:t>Id.</w:t>
      </w:r>
      <w:r>
        <w:t xml:space="preserve"> at 232, 744 S.E.2d at 411.</w:t>
      </w:r>
    </w:p>
  </w:endnote>
  <w:endnote w:id="90">
    <w:p>
      <w:pPr>
        <w:pStyle w:val="EndnoteText"/>
      </w:pPr>
      <w:r>
        <w:rPr>
          <w:rStyle w:val="EndnoteReference"/>
          <w:rFonts w:ascii="Century Schoolbook" w:hAnsi="Century Schoolbook"/>
        </w:rPr>
        <w:endnoteRef/>
      </w:r>
      <w:r>
        <w:t xml:space="preserve"> </w:t>
      </w:r>
      <w:r>
        <w:rPr>
          <w:i/>
        </w:rPr>
        <w:t>Id.</w:t>
      </w:r>
      <w:r>
        <w:t xml:space="preserve"> at 233, 744 S.E.2d at 412.</w:t>
      </w:r>
    </w:p>
  </w:endnote>
  <w:endnote w:id="91">
    <w:p>
      <w:pPr>
        <w:pStyle w:val="EndnoteText"/>
      </w:pPr>
      <w:r>
        <w:rPr>
          <w:rStyle w:val="EndnoteReference"/>
        </w:rPr>
        <w:endnoteRef/>
      </w:r>
      <w:r>
        <w:t xml:space="preserve"> </w:t>
      </w:r>
      <w:r>
        <w:rPr>
          <w:i/>
        </w:rPr>
        <w:t>Id.</w:t>
      </w:r>
      <w:r>
        <w:t xml:space="preserve">, 744 S.E.2d at 412. </w:t>
      </w:r>
    </w:p>
  </w:endnote>
  <w:endnote w:id="92">
    <w:p>
      <w:pPr>
        <w:pStyle w:val="EndnoteText"/>
      </w:pPr>
      <w:r>
        <w:rPr>
          <w:rStyle w:val="EndnoteReference"/>
          <w:rFonts w:ascii="Century Schoolbook" w:hAnsi="Century Schoolbook"/>
        </w:rPr>
        <w:endnoteRef/>
      </w:r>
      <w:r>
        <w:t xml:space="preserve"> </w:t>
      </w:r>
      <w:r>
        <w:rPr>
          <w:i/>
        </w:rPr>
        <w:t>Newton v. Ragland</w:t>
      </w:r>
      <w:r>
        <w:t xml:space="preserve">, 750 S.E.2d 768, 770-72, 2013 Ga. App. LEXIS 940 (2013); </w:t>
      </w:r>
      <w:r>
        <w:rPr>
          <w:i/>
        </w:rPr>
        <w:t>Turner v. Williamson</w:t>
      </w:r>
      <w:r>
        <w:t>, 321 Ga. App. 209, 213-14, 738 S.E.2d 712, 715-16 (2013).</w:t>
      </w:r>
    </w:p>
  </w:endnote>
  <w:endnote w:id="93">
    <w:p>
      <w:pPr>
        <w:pStyle w:val="EndnoteText"/>
      </w:pPr>
      <w:r>
        <w:rPr>
          <w:rStyle w:val="EndnoteReference"/>
          <w:rFonts w:ascii="Century Schoolbook" w:hAnsi="Century Schoolbook"/>
        </w:rPr>
        <w:endnoteRef/>
      </w:r>
      <w:r>
        <w:t xml:space="preserve"> </w:t>
      </w:r>
      <w:r>
        <w:rPr>
          <w:i/>
        </w:rPr>
        <w:t>Newton</w:t>
      </w:r>
      <w:r>
        <w:t xml:space="preserve">, 750 S.E.2d at 770-71; </w:t>
      </w:r>
      <w:r>
        <w:rPr>
          <w:i/>
        </w:rPr>
        <w:t>Turner</w:t>
      </w:r>
      <w:r>
        <w:t xml:space="preserve">, 321 Ga. App. at 213, 738 S.E.2d at 715. </w:t>
      </w:r>
    </w:p>
  </w:endnote>
  <w:endnote w:id="94">
    <w:p>
      <w:pPr>
        <w:pStyle w:val="EndnoteText"/>
      </w:pPr>
      <w:r>
        <w:rPr>
          <w:rStyle w:val="EndnoteReference"/>
          <w:rFonts w:ascii="Century Schoolbook" w:hAnsi="Century Schoolbook"/>
        </w:rPr>
        <w:endnoteRef/>
      </w:r>
      <w:r>
        <w:t xml:space="preserve"> </w:t>
      </w:r>
      <w:r>
        <w:rPr>
          <w:i/>
        </w:rPr>
        <w:t>Turner</w:t>
      </w:r>
      <w:r>
        <w:t>, 321 Ga. App. at 214, 738 S.E.2d at 716 (</w:t>
      </w:r>
      <w:r>
        <w:rPr>
          <w:i/>
        </w:rPr>
        <w:t>quoting</w:t>
      </w:r>
      <w:r>
        <w:t xml:space="preserve"> </w:t>
      </w:r>
      <w:r>
        <w:rPr>
          <w:i/>
        </w:rPr>
        <w:t>Herring v. Dunning</w:t>
      </w:r>
      <w:r>
        <w:t xml:space="preserve">, 213 Ga. App. 695, 699, 446 S.E.2d 199, 203 (1994)). </w:t>
      </w:r>
    </w:p>
  </w:endnote>
  <w:endnote w:id="95">
    <w:p>
      <w:pPr>
        <w:pStyle w:val="EndnoteText"/>
      </w:pPr>
      <w:r>
        <w:rPr>
          <w:rStyle w:val="EndnoteReference"/>
          <w:rFonts w:ascii="Century Schoolbook" w:hAnsi="Century Schoolbook"/>
        </w:rPr>
        <w:endnoteRef/>
      </w:r>
      <w:r>
        <w:t xml:space="preserve"> </w:t>
      </w:r>
      <w:r>
        <w:rPr>
          <w:i/>
        </w:rPr>
        <w:t>Newton</w:t>
      </w:r>
      <w:r>
        <w:t xml:space="preserve">, 750 S.E.2d at 771; </w:t>
      </w:r>
      <w:r>
        <w:rPr>
          <w:i/>
        </w:rPr>
        <w:t>Turner</w:t>
      </w:r>
      <w:r>
        <w:t xml:space="preserve">, 321 Ga. App. at 214, 738 S.E.2d at 716. </w:t>
      </w:r>
    </w:p>
  </w:endnote>
  <w:endnote w:id="96">
    <w:p>
      <w:pPr>
        <w:pStyle w:val="EndnoteText"/>
      </w:pPr>
      <w:r>
        <w:rPr>
          <w:rStyle w:val="EndnoteReference"/>
          <w:rFonts w:ascii="Century Schoolbook" w:hAnsi="Century Schoolbook"/>
        </w:rPr>
        <w:endnoteRef/>
      </w:r>
      <w:r>
        <w:t xml:space="preserve"> </w:t>
      </w:r>
      <w:r>
        <w:rPr>
          <w:i/>
        </w:rPr>
        <w:t>Torres v. Elkin</w:t>
      </w:r>
      <w:r>
        <w:t>, 317 Ga. App. 135, 142, 730 S.E.2d 518, 524 (2012).</w:t>
      </w:r>
    </w:p>
  </w:endnote>
  <w:endnote w:id="97">
    <w:p>
      <w:pPr>
        <w:pStyle w:val="EndnoteText"/>
      </w:pPr>
      <w:r>
        <w:rPr>
          <w:rStyle w:val="EndnoteReference"/>
          <w:rFonts w:ascii="Century Schoolbook" w:hAnsi="Century Schoolbook"/>
        </w:rPr>
        <w:endnoteRef/>
      </w:r>
      <w:r>
        <w:t xml:space="preserve"> 280 Ga. 573, 575-76, 630 S.E.2d 374-76 (2006).</w:t>
      </w:r>
    </w:p>
  </w:endnote>
  <w:endnote w:id="98">
    <w:p>
      <w:pPr>
        <w:pStyle w:val="EndnoteText"/>
      </w:pPr>
      <w:r>
        <w:rPr>
          <w:rStyle w:val="EndnoteReference"/>
          <w:rFonts w:ascii="Century Schoolbook" w:hAnsi="Century Schoolbook"/>
        </w:rPr>
        <w:endnoteRef/>
      </w:r>
      <w:r>
        <w:t xml:space="preserve"> 290 Ga. 850, 853, 725 S.E.2d 584, 588 (2012).</w:t>
      </w:r>
    </w:p>
  </w:endnote>
  <w:endnote w:id="99">
    <w:p>
      <w:pPr>
        <w:pStyle w:val="EndnoteText"/>
      </w:pPr>
      <w:r>
        <w:rPr>
          <w:rStyle w:val="EndnoteReference"/>
          <w:rFonts w:ascii="Century Schoolbook" w:hAnsi="Century Schoolbook"/>
        </w:rPr>
        <w:endnoteRef/>
      </w:r>
      <w:r>
        <w:t xml:space="preserve"> </w:t>
      </w:r>
      <w:r>
        <w:rPr>
          <w:i/>
        </w:rPr>
        <w:t xml:space="preserve">Torres, </w:t>
      </w:r>
      <w:r>
        <w:t>317 Ga. App. at 141-43, 730 S.E.2d at 523-25.</w:t>
      </w:r>
    </w:p>
  </w:endnote>
  <w:endnote w:id="100">
    <w:p>
      <w:pPr>
        <w:pStyle w:val="EndnoteText"/>
      </w:pPr>
      <w:r>
        <w:rPr>
          <w:rStyle w:val="EndnoteReference"/>
          <w:rFonts w:ascii="Century Schoolbook" w:hAnsi="Century Schoolbook"/>
        </w:rPr>
        <w:endnoteRef/>
      </w:r>
      <w:r>
        <w:t xml:space="preserve"> </w:t>
      </w:r>
      <w:r>
        <w:rPr>
          <w:i/>
        </w:rPr>
        <w:t>Id.</w:t>
      </w:r>
      <w:r>
        <w:t xml:space="preserve"> at 142, 730 S.E.2d at 524.</w:t>
      </w:r>
    </w:p>
  </w:endnote>
  <w:endnote w:id="101">
    <w:p>
      <w:pPr>
        <w:pStyle w:val="EndnoteText"/>
      </w:pPr>
      <w:r>
        <w:rPr>
          <w:rStyle w:val="EndnoteReference"/>
          <w:rFonts w:ascii="Century Schoolbook" w:hAnsi="Century Schoolbook"/>
        </w:rPr>
        <w:endnoteRef/>
      </w:r>
      <w:r>
        <w:t xml:space="preserve"> </w:t>
      </w:r>
      <w:r>
        <w:rPr>
          <w:i/>
        </w:rPr>
        <w:t>Id.</w:t>
      </w:r>
      <w:r>
        <w:t>, 730 S.E.2d at 524.</w:t>
      </w:r>
    </w:p>
  </w:endnote>
  <w:endnote w:id="102">
    <w:p>
      <w:pPr>
        <w:pStyle w:val="EndnoteText"/>
      </w:pPr>
      <w:r>
        <w:rPr>
          <w:rStyle w:val="EndnoteReference"/>
          <w:rFonts w:ascii="Century Schoolbook" w:hAnsi="Century Schoolbook"/>
        </w:rPr>
        <w:endnoteRef/>
      </w:r>
      <w:r>
        <w:t xml:space="preserve"> </w:t>
      </w:r>
      <w:r>
        <w:rPr>
          <w:i/>
        </w:rPr>
        <w:t>Id.</w:t>
      </w:r>
    </w:p>
  </w:endnote>
  <w:endnote w:id="103">
    <w:p>
      <w:pPr>
        <w:pStyle w:val="EndnoteText"/>
      </w:pPr>
      <w:r>
        <w:rPr>
          <w:rStyle w:val="EndnoteReference"/>
        </w:rPr>
        <w:endnoteRef/>
      </w:r>
      <w:r>
        <w:t xml:space="preserve"> 322 Ga. App. 693, 746 S.E.2d 157 (2013).</w:t>
      </w:r>
    </w:p>
  </w:endnote>
  <w:endnote w:id="104">
    <w:p>
      <w:pPr>
        <w:pStyle w:val="EndnoteText"/>
      </w:pPr>
      <w:r>
        <w:rPr>
          <w:rStyle w:val="EndnoteReference"/>
          <w:rFonts w:ascii="Century Schoolbook" w:hAnsi="Century Schoolbook"/>
        </w:rPr>
        <w:endnoteRef/>
      </w:r>
      <w:r>
        <w:t xml:space="preserve">“[I]t is well settled that an agreement between two parties will occur only when the minds of the parties meet at the same time, upon the same subject matter, and in the same sense.”  </w:t>
      </w:r>
      <w:r>
        <w:rPr>
          <w:i/>
        </w:rPr>
        <w:t>Graham</w:t>
      </w:r>
      <w:r>
        <w:t>, 322 Ga. App. at 697, 746 S.E.2d at 161 (</w:t>
      </w:r>
      <w:r>
        <w:rPr>
          <w:i/>
        </w:rPr>
        <w:t>quoting</w:t>
      </w:r>
      <w:r>
        <w:t xml:space="preserve"> </w:t>
      </w:r>
      <w:r>
        <w:rPr>
          <w:i/>
        </w:rPr>
        <w:t>Powerhouse Custom Homes v. 84 Lumber Co.</w:t>
      </w:r>
      <w:r>
        <w:t xml:space="preserve">, 307 Ga. App. 605, 607, 705 S.E.2d 704, 706 (2011)). </w:t>
      </w:r>
    </w:p>
  </w:endnote>
  <w:endnote w:id="105">
    <w:p>
      <w:pPr>
        <w:pStyle w:val="EndnoteText"/>
      </w:pPr>
      <w:r>
        <w:rPr>
          <w:rStyle w:val="EndnoteReference"/>
          <w:rFonts w:ascii="Century Schoolbook" w:hAnsi="Century Schoolbook"/>
        </w:rPr>
        <w:endnoteRef/>
      </w:r>
      <w:r>
        <w:t xml:space="preserve"> </w:t>
      </w:r>
      <w:r>
        <w:rPr>
          <w:i/>
        </w:rPr>
        <w:t>Graham</w:t>
      </w:r>
      <w:r>
        <w:t>, 322 Ga. App. at 697, 746 S.E.2d at 161.</w:t>
      </w:r>
    </w:p>
  </w:endnote>
  <w:endnote w:id="106">
    <w:p>
      <w:pPr>
        <w:pStyle w:val="EndnoteText"/>
      </w:pPr>
      <w:r>
        <w:rPr>
          <w:rStyle w:val="EndnoteReference"/>
          <w:rFonts w:ascii="Century Schoolbook" w:hAnsi="Century Schoolbook"/>
        </w:rPr>
        <w:endnoteRef/>
      </w:r>
      <w:r>
        <w:t xml:space="preserve"> </w:t>
      </w:r>
      <w:r>
        <w:rPr>
          <w:i/>
        </w:rPr>
        <w:t>Id.</w:t>
      </w:r>
      <w:r>
        <w:t xml:space="preserve"> (</w:t>
      </w:r>
      <w:r>
        <w:rPr>
          <w:i/>
        </w:rPr>
        <w:t>quoting</w:t>
      </w:r>
      <w:r>
        <w:t xml:space="preserve"> </w:t>
      </w:r>
      <w:r>
        <w:rPr>
          <w:i/>
        </w:rPr>
        <w:t>Wilkins v. Butler</w:t>
      </w:r>
      <w:r>
        <w:t>, 187 Ga. App. 84, 369 S.E.2d 267 (1988)).</w:t>
      </w:r>
    </w:p>
  </w:endnote>
  <w:endnote w:id="107">
    <w:p>
      <w:pPr>
        <w:pStyle w:val="EndnoteText"/>
        <w:jc w:val="both"/>
      </w:pPr>
      <w:r>
        <w:rPr>
          <w:rStyle w:val="EndnoteReference"/>
          <w:rFonts w:ascii="Century Schoolbook" w:hAnsi="Century Schoolbook"/>
        </w:rPr>
        <w:endnoteRef/>
      </w:r>
      <w:r>
        <w:t xml:space="preserve"> </w:t>
      </w:r>
      <w:r>
        <w:rPr>
          <w:i/>
        </w:rPr>
        <w:t>Id.</w:t>
      </w:r>
    </w:p>
  </w:endnote>
  <w:endnote w:id="108">
    <w:p>
      <w:pPr>
        <w:pStyle w:val="EndnoteText"/>
        <w:jc w:val="both"/>
      </w:pPr>
      <w:r>
        <w:rPr>
          <w:rStyle w:val="EndnoteReference"/>
          <w:rFonts w:ascii="Century Schoolbook" w:hAnsi="Century Schoolbook"/>
        </w:rPr>
        <w:endnoteRef/>
      </w:r>
      <w:r>
        <w:t xml:space="preserve"> </w:t>
      </w:r>
      <w:r>
        <w:rPr>
          <w:i/>
        </w:rPr>
        <w:t>See</w:t>
      </w:r>
      <w:r>
        <w:t xml:space="preserve">, </w:t>
      </w:r>
      <w:r>
        <w:rPr>
          <w:i/>
        </w:rPr>
        <w:t>e.g.</w:t>
      </w:r>
      <w:r>
        <w:t xml:space="preserve">, </w:t>
      </w:r>
      <w:r>
        <w:rPr>
          <w:i/>
        </w:rPr>
        <w:t>Centric-Jones Co. v. Hufnagel</w:t>
      </w:r>
      <w:r>
        <w:t xml:space="preserve">, 848 P.2d 942 (Colo. 1993) (interpreting Colorado offer of judgment statute); </w:t>
      </w:r>
      <w:r>
        <w:rPr>
          <w:i/>
        </w:rPr>
        <w:t>Rost v. Atkinson</w:t>
      </w:r>
      <w:r>
        <w:t xml:space="preserve">, 292 P.3d 1041 (Colo. Ct. App. 2012) (interpreting Colorado  offer of judgment statute after amendment by legislature in response to </w:t>
      </w:r>
      <w:r>
        <w:rPr>
          <w:i/>
        </w:rPr>
        <w:t>Hufnagel</w:t>
      </w:r>
      <w:r>
        <w:t xml:space="preserve"> decision); </w:t>
      </w:r>
      <w:r>
        <w:rPr>
          <w:i/>
        </w:rPr>
        <w:t>Hernandez v. United Supermarkets of Okla.</w:t>
      </w:r>
      <w:r>
        <w:t xml:space="preserve">, 882 P.2d 84 (Okla. Ct. App. 1994) (interpreting Oklahoma offer of judgment statute); </w:t>
      </w:r>
      <w:r>
        <w:rPr>
          <w:i/>
        </w:rPr>
        <w:t>Perkins v. U.S. West Communs.</w:t>
      </w:r>
      <w:r>
        <w:t xml:space="preserve">, 138 F.3d 336 (8th Cir. 1998) (interpreting </w:t>
      </w:r>
      <w:r>
        <w:rPr>
          <w:smallCaps/>
        </w:rPr>
        <w:t>Fed. R. Civ. P.</w:t>
      </w:r>
      <w:r>
        <w:t xml:space="preserve"> 68).</w:t>
      </w:r>
    </w:p>
  </w:endnote>
  <w:endnote w:id="109">
    <w:p>
      <w:pPr>
        <w:pStyle w:val="EndnoteText"/>
        <w:jc w:val="both"/>
      </w:pPr>
      <w:r>
        <w:rPr>
          <w:rStyle w:val="EndnoteReference"/>
          <w:rFonts w:ascii="Century Schoolbook" w:hAnsi="Century Schoolbook"/>
        </w:rPr>
        <w:endnoteRef/>
      </w:r>
      <w:r>
        <w:t xml:space="preserve"> O.C.G.A. § 9-11-68(c).</w:t>
      </w:r>
    </w:p>
  </w:endnote>
  <w:endnote w:id="110">
    <w:p>
      <w:pPr>
        <w:pStyle w:val="EndnoteText"/>
        <w:jc w:val="both"/>
      </w:pPr>
      <w:r>
        <w:rPr>
          <w:rStyle w:val="EndnoteReference"/>
          <w:rFonts w:ascii="Century Schoolbook" w:hAnsi="Century Schoolbook"/>
        </w:rPr>
        <w:endnoteRef/>
      </w:r>
      <w:r>
        <w:t xml:space="preserve"> </w:t>
      </w:r>
      <w:r>
        <w:rPr>
          <w:i/>
        </w:rPr>
        <w:t>See</w:t>
      </w:r>
      <w:r>
        <w:t xml:space="preserve">, </w:t>
      </w:r>
      <w:r>
        <w:rPr>
          <w:i/>
        </w:rPr>
        <w:t>e.g.</w:t>
      </w:r>
      <w:r>
        <w:t xml:space="preserve">, </w:t>
      </w:r>
      <w:r>
        <w:rPr>
          <w:i/>
        </w:rPr>
        <w:t>Smith v. S.E. Pa. Transp. Auth.</w:t>
      </w:r>
      <w:r>
        <w:t xml:space="preserve">, 258 F.R.D. 300 (E.D. Pa. 2009); </w:t>
      </w:r>
      <w:r>
        <w:rPr>
          <w:i/>
        </w:rPr>
        <w:t>Sershen v. Cholish</w:t>
      </w:r>
      <w:r>
        <w:t xml:space="preserve">, 2010 U.S. Dist. LEXIS 39165 (M.D. Pa. Apr. 20, 2010); </w:t>
      </w:r>
      <w:r>
        <w:rPr>
          <w:i/>
        </w:rPr>
        <w:t>Day v. The Krystal Co.</w:t>
      </w:r>
      <w:r>
        <w:t>, 241 F.R.D. 474 (E.D. Tenn. 2007).</w:t>
      </w:r>
    </w:p>
  </w:endnote>
  <w:endnote w:id="111">
    <w:p>
      <w:pPr>
        <w:pStyle w:val="EndnoteText"/>
        <w:jc w:val="both"/>
      </w:pPr>
      <w:r>
        <w:rPr>
          <w:rStyle w:val="EndnoteReference"/>
          <w:rFonts w:ascii="Century Schoolbook" w:hAnsi="Century Schoolbook"/>
        </w:rPr>
        <w:endnoteRef/>
      </w:r>
      <w:r>
        <w:t xml:space="preserve"> </w:t>
      </w:r>
      <w:r>
        <w:rPr>
          <w:i/>
        </w:rPr>
        <w:t>Smith</w:t>
      </w:r>
      <w:r>
        <w:t xml:space="preserve">, 258 F.R.D. at 300 (internal brackets omitted).  </w:t>
      </w:r>
      <w:r>
        <w:rPr>
          <w:i/>
        </w:rPr>
        <w:t>See also</w:t>
      </w:r>
      <w:r>
        <w:t xml:space="preserve"> </w:t>
      </w:r>
      <w:r>
        <w:rPr>
          <w:i/>
        </w:rPr>
        <w:t>Sershen</w:t>
      </w:r>
      <w:r>
        <w:t xml:space="preserve">, 2010 U.S. Dist. LEXIS 39165 at *6-7; </w:t>
      </w:r>
      <w:r>
        <w:rPr>
          <w:i/>
        </w:rPr>
        <w:t>Day</w:t>
      </w:r>
      <w:r>
        <w:t>, 241 F.R.D. 474.</w:t>
      </w:r>
    </w:p>
  </w:endnote>
  <w:endnote w:id="112">
    <w:p>
      <w:pPr>
        <w:pStyle w:val="EndnoteText"/>
        <w:jc w:val="both"/>
      </w:pPr>
      <w:r>
        <w:rPr>
          <w:rStyle w:val="EndnoteReference"/>
          <w:rFonts w:ascii="Century Schoolbook" w:hAnsi="Century Schoolbook"/>
        </w:rPr>
        <w:endnoteRef/>
      </w:r>
      <w:r>
        <w:t xml:space="preserve"> </w:t>
      </w:r>
      <w:r>
        <w:rPr>
          <w:i/>
        </w:rPr>
        <w:t>Wersch v. Radnor/Landgrant</w:t>
      </w:r>
      <w:r>
        <w:t xml:space="preserve">, 961 P.2d 1047 (Ariz. Ct. App. 1997) (interpreting </w:t>
      </w:r>
      <w:r>
        <w:rPr>
          <w:smallCaps/>
        </w:rPr>
        <w:t>Ariz. Rev. Stat.</w:t>
      </w:r>
      <w:r>
        <w:t xml:space="preserve"> § 12-2101(B).</w:t>
      </w:r>
    </w:p>
  </w:endnote>
  <w:endnote w:id="113">
    <w:p>
      <w:pPr>
        <w:pStyle w:val="EndnoteText"/>
        <w:jc w:val="both"/>
      </w:pPr>
      <w:r>
        <w:rPr>
          <w:rStyle w:val="EndnoteReference"/>
          <w:rFonts w:ascii="Century Schoolbook" w:hAnsi="Century Schoolbook"/>
        </w:rPr>
        <w:endnoteRef/>
      </w:r>
      <w:r>
        <w:t xml:space="preserve"> </w:t>
      </w:r>
      <w:r>
        <w:rPr>
          <w:i/>
        </w:rPr>
        <w:t>Kroener v. Fla. Ins. Guar. Assn.</w:t>
      </w:r>
      <w:r>
        <w:t xml:space="preserve">, 63 So. 3d 914 (Fla. Dist. Ct. App. 2011) (interpreting </w:t>
      </w:r>
      <w:r>
        <w:rPr>
          <w:smallCaps/>
        </w:rPr>
        <w:t>Fla. Stat.</w:t>
      </w:r>
      <w:r>
        <w:t xml:space="preserve"> § 768.79(1)).</w:t>
      </w:r>
    </w:p>
  </w:endnote>
  <w:endnote w:id="114">
    <w:p>
      <w:pPr>
        <w:pStyle w:val="EndnoteText"/>
        <w:jc w:val="both"/>
      </w:pPr>
      <w:r>
        <w:rPr>
          <w:rStyle w:val="EndnoteReference"/>
          <w:rFonts w:ascii="Century Schoolbook" w:hAnsi="Century Schoolbook"/>
        </w:rPr>
        <w:endnoteRef/>
      </w:r>
      <w:r>
        <w:t xml:space="preserve"> </w:t>
      </w:r>
      <w:r>
        <w:rPr>
          <w:i/>
        </w:rPr>
        <w:t>Kroener</w:t>
      </w:r>
      <w:r>
        <w:t>, 63 So. 3d at 920.</w:t>
      </w:r>
    </w:p>
  </w:endnote>
  <w:endnote w:id="115">
    <w:p>
      <w:pPr>
        <w:pStyle w:val="EndnoteText"/>
        <w:jc w:val="both"/>
      </w:pPr>
      <w:r>
        <w:rPr>
          <w:rStyle w:val="EndnoteReference"/>
          <w:rFonts w:ascii="Century Schoolbook" w:hAnsi="Century Schoolbook"/>
        </w:rPr>
        <w:endnoteRef/>
      </w:r>
      <w:r>
        <w:t xml:space="preserve"> </w:t>
      </w:r>
      <w:r>
        <w:rPr>
          <w:i/>
        </w:rPr>
        <w:t>Id.</w:t>
      </w:r>
      <w:r>
        <w:t xml:space="preserve"> (internal quotation omitted).</w:t>
      </w:r>
    </w:p>
  </w:endnote>
  <w:endnote w:id="116">
    <w:p>
      <w:pPr>
        <w:pStyle w:val="EndnoteText"/>
        <w:jc w:val="both"/>
      </w:pPr>
      <w:r>
        <w:rPr>
          <w:rStyle w:val="EndnoteReference"/>
          <w:rFonts w:ascii="Century Schoolbook" w:hAnsi="Century Schoolbook"/>
        </w:rPr>
        <w:endnoteRef/>
      </w:r>
      <w:r>
        <w:t xml:space="preserve"> </w:t>
      </w:r>
      <w:r>
        <w:rPr>
          <w:i/>
        </w:rPr>
        <w:t>Sershen</w:t>
      </w:r>
      <w:r>
        <w:t xml:space="preserve">, 2010 U.S. Dist. LEXIS 39165, *6-7.  </w:t>
      </w:r>
      <w:r>
        <w:rPr>
          <w:i/>
        </w:rPr>
        <w:t>See also</w:t>
      </w:r>
      <w:r>
        <w:t xml:space="preserve"> </w:t>
      </w:r>
      <w:r>
        <w:rPr>
          <w:i/>
        </w:rPr>
        <w:t>Smith</w:t>
      </w:r>
      <w:r>
        <w:t xml:space="preserve">, 258 F.R.D. at 302 (holding that “since summary judgment had already been entered and the case had come to an end, permitting the second judgment [purportedly accepting Rule 68 offer of settlement] to stand would in no way effectuate the purpose of Rule 68, which is to encourage settlement, and would not secure the just, speedy, and inexpensive determination of the action” (brackets supplied; internal brackets and punctuation omitted)); </w:t>
      </w:r>
      <w:r>
        <w:rPr>
          <w:i/>
        </w:rPr>
        <w:t>Wersch</w:t>
      </w:r>
      <w:r>
        <w:t>, 961 P.2d at 1050 (holding that “[t]he better interpretation of [Arizona’s] Rule 68 is that it does not allow a party to nullify a summary judgment”).</w:t>
      </w:r>
    </w:p>
  </w:endnote>
  <w:endnote w:id="117">
    <w:p>
      <w:pPr>
        <w:pStyle w:val="EndnoteText"/>
      </w:pPr>
      <w:r>
        <w:rPr>
          <w:rStyle w:val="EndnoteReference"/>
          <w:sz w:val="19"/>
          <w:szCs w:val="19"/>
        </w:rPr>
        <w:endnoteRef/>
      </w:r>
      <w:r>
        <w:t xml:space="preserve"> 49 C.F.R. § 395, </w:t>
      </w:r>
      <w:r>
        <w:rPr>
          <w:i/>
        </w:rPr>
        <w:t>et seq.</w:t>
      </w:r>
      <w:r>
        <w:t xml:space="preserve"> (2013)</w:t>
      </w:r>
      <w:r>
        <w:rPr>
          <w:i/>
        </w:rPr>
        <w:t>.</w:t>
      </w:r>
    </w:p>
  </w:endnote>
  <w:endnote w:id="118">
    <w:p>
      <w:pPr>
        <w:pStyle w:val="EndnoteText"/>
      </w:pPr>
      <w:r>
        <w:rPr>
          <w:rStyle w:val="EndnoteReference"/>
          <w:sz w:val="19"/>
          <w:szCs w:val="19"/>
        </w:rPr>
        <w:endnoteRef/>
      </w:r>
      <w:r>
        <w:t xml:space="preserve"> 49 C.F.R §§ 395.1(g)(1)(i)(A), 395.3(a)(2) (2013).</w:t>
      </w:r>
    </w:p>
  </w:endnote>
  <w:endnote w:id="119">
    <w:p>
      <w:pPr>
        <w:pStyle w:val="EndnoteText"/>
      </w:pPr>
      <w:r>
        <w:rPr>
          <w:rStyle w:val="EndnoteReference"/>
          <w:sz w:val="19"/>
          <w:szCs w:val="19"/>
        </w:rPr>
        <w:endnoteRef/>
      </w:r>
      <w:r>
        <w:t xml:space="preserve"> 49 C.F.R. § 395.3(a)(3) (2013).</w:t>
      </w:r>
    </w:p>
  </w:endnote>
  <w:endnote w:id="120">
    <w:p>
      <w:pPr>
        <w:pStyle w:val="EndnoteText"/>
      </w:pPr>
      <w:r>
        <w:rPr>
          <w:rStyle w:val="EndnoteReference"/>
          <w:sz w:val="19"/>
          <w:szCs w:val="19"/>
        </w:rPr>
        <w:endnoteRef/>
      </w:r>
      <w:r>
        <w:t xml:space="preserve"> 49 C.F.R § 395.2 (2013).</w:t>
      </w:r>
    </w:p>
  </w:endnote>
  <w:endnote w:id="121">
    <w:p>
      <w:pPr>
        <w:pStyle w:val="EndnoteText"/>
      </w:pPr>
      <w:r>
        <w:rPr>
          <w:rStyle w:val="EndnoteReference"/>
          <w:sz w:val="19"/>
          <w:szCs w:val="19"/>
        </w:rPr>
        <w:endnoteRef/>
      </w:r>
      <w:r>
        <w:t xml:space="preserve"> 49 C.F.R § 395.2(4)(i) (2013).</w:t>
      </w:r>
    </w:p>
  </w:endnote>
  <w:endnote w:id="122">
    <w:p>
      <w:pPr>
        <w:pStyle w:val="EndnoteText"/>
      </w:pPr>
      <w:r>
        <w:rPr>
          <w:rStyle w:val="EndnoteReference"/>
          <w:sz w:val="19"/>
          <w:szCs w:val="19"/>
        </w:rPr>
        <w:endnoteRef/>
      </w:r>
      <w:r>
        <w:t xml:space="preserve"> 49 C.F.R §§ 395.1(g)(1)(i)(D), 395.1(g)(1)(ii)(C), 395.2(4)(iii) (2013).</w:t>
      </w:r>
    </w:p>
  </w:endnote>
  <w:endnote w:id="123">
    <w:p>
      <w:pPr>
        <w:pStyle w:val="EndnoteText"/>
      </w:pPr>
      <w:r>
        <w:rPr>
          <w:rStyle w:val="EndnoteReference"/>
          <w:sz w:val="19"/>
          <w:szCs w:val="19"/>
        </w:rPr>
        <w:endnoteRef/>
      </w:r>
      <w:r>
        <w:t xml:space="preserve"> 49 C.F.R. § 395.3(b) (2013).</w:t>
      </w:r>
    </w:p>
  </w:endnote>
  <w:endnote w:id="124">
    <w:p>
      <w:pPr>
        <w:pStyle w:val="EndnoteText"/>
      </w:pPr>
      <w:r>
        <w:rPr>
          <w:rStyle w:val="EndnoteReference"/>
          <w:sz w:val="19"/>
          <w:szCs w:val="19"/>
        </w:rPr>
        <w:endnoteRef/>
      </w:r>
      <w:r>
        <w:t xml:space="preserve"> 49 C.F.R. § 395.3(b)(1) (2013).</w:t>
      </w:r>
    </w:p>
  </w:endnote>
  <w:endnote w:id="125">
    <w:p>
      <w:pPr>
        <w:pStyle w:val="EndnoteText"/>
      </w:pPr>
      <w:r>
        <w:rPr>
          <w:rStyle w:val="EndnoteReference"/>
          <w:sz w:val="19"/>
          <w:szCs w:val="19"/>
        </w:rPr>
        <w:endnoteRef/>
      </w:r>
      <w:r>
        <w:t xml:space="preserve"> 49 C.F.R. § 395.3(b)(2) (2013).</w:t>
      </w:r>
    </w:p>
  </w:endnote>
  <w:endnote w:id="126">
    <w:p>
      <w:pPr>
        <w:pStyle w:val="EndnoteText"/>
      </w:pPr>
      <w:r>
        <w:rPr>
          <w:rStyle w:val="EndnoteReference"/>
          <w:sz w:val="19"/>
          <w:szCs w:val="19"/>
        </w:rPr>
        <w:endnoteRef/>
      </w:r>
      <w:r>
        <w:t xml:space="preserve"> 49 C.F.R. § 395.3(c) (2013).</w:t>
      </w:r>
    </w:p>
  </w:endnote>
  <w:endnote w:id="127">
    <w:p>
      <w:pPr>
        <w:pStyle w:val="EndnoteText"/>
      </w:pPr>
      <w:r>
        <w:rPr>
          <w:rStyle w:val="EndnoteReference"/>
          <w:sz w:val="19"/>
          <w:szCs w:val="19"/>
        </w:rPr>
        <w:endnoteRef/>
      </w:r>
      <w:r>
        <w:t xml:space="preserve"> 49 C.F.R. § 395.3(a)(3)(ii) (2013).</w:t>
      </w:r>
    </w:p>
  </w:endnote>
  <w:endnote w:id="128">
    <w:p>
      <w:pPr>
        <w:pStyle w:val="EndnoteText"/>
      </w:pPr>
      <w:r>
        <w:rPr>
          <w:rStyle w:val="EndnoteReference"/>
          <w:sz w:val="19"/>
          <w:szCs w:val="19"/>
        </w:rPr>
        <w:endnoteRef/>
      </w:r>
      <w:r>
        <w:t xml:space="preserve"> 49 C.F.R. § 395.2 (2013).</w:t>
      </w:r>
    </w:p>
  </w:endnote>
  <w:endnote w:id="129">
    <w:p>
      <w:pPr>
        <w:pStyle w:val="EndnoteText"/>
      </w:pPr>
      <w:r>
        <w:rPr>
          <w:rStyle w:val="EndnoteReference"/>
          <w:sz w:val="19"/>
          <w:szCs w:val="19"/>
        </w:rPr>
        <w:endnoteRef/>
      </w:r>
      <w:r>
        <w:t xml:space="preserve"> 49 C.F.R. § 395.1(q) (2013) (“Operators of [CMVs] containing Division 1.1, 1.2, or 1.3 explosives subject to the requirements for a 30-minute rest break in § 395.3(a)(3)(ii) may use 30 minutes or more of attendance time to meet the requirement for a rest break, providing they perform no other work during the break” and providing they record “remarks or annotations to indicate the specific on-duty periods that are used to meet the requirement for break.”).</w:t>
      </w:r>
    </w:p>
  </w:endnote>
  <w:endnote w:id="130">
    <w:p>
      <w:pPr>
        <w:pStyle w:val="EndnoteText"/>
      </w:pPr>
      <w:r>
        <w:rPr>
          <w:rStyle w:val="EndnoteReference"/>
          <w:sz w:val="19"/>
          <w:szCs w:val="19"/>
        </w:rPr>
        <w:endnoteRef/>
      </w:r>
      <w:r>
        <w:t xml:space="preserve"> 49 U.S.C. § 521(b)(2)(A) (2012).</w:t>
      </w:r>
    </w:p>
  </w:endnote>
  <w:endnote w:id="131">
    <w:p>
      <w:pPr>
        <w:pStyle w:val="EndnoteText"/>
      </w:pPr>
      <w:r>
        <w:rPr>
          <w:rStyle w:val="EndnoteReference"/>
          <w:sz w:val="19"/>
          <w:szCs w:val="19"/>
        </w:rPr>
        <w:endnoteRef/>
      </w:r>
      <w:r>
        <w:t xml:space="preserve"> 49 U.S.C. § 521(b)(5)(A) (2012). “Imminent hazard” is defined as “any condition of vehicle, employee, or commercial motor vehicle operations which substantially increases the likelihood of serious injury or death if not discontinued immediately.” 49 U.S.C. § 521(b)(5)(B) (2012).</w:t>
      </w:r>
    </w:p>
  </w:endnote>
  <w:endnote w:id="132">
    <w:p>
      <w:pPr>
        <w:pStyle w:val="EndnoteText"/>
      </w:pPr>
      <w:r>
        <w:rPr>
          <w:rStyle w:val="EndnoteReference"/>
          <w:sz w:val="19"/>
          <w:szCs w:val="19"/>
        </w:rPr>
        <w:endnoteRef/>
      </w:r>
      <w:r>
        <w:t xml:space="preserve"> </w:t>
      </w:r>
      <w:r>
        <w:rPr>
          <w:i/>
        </w:rPr>
        <w:t>Auelnback, Inc. v. FHA</w:t>
      </w:r>
      <w:r>
        <w:t xml:space="preserve">, 103 F.3d 156, 161-62 (D.C. Cir. 1997), </w:t>
      </w:r>
      <w:r>
        <w:rPr>
          <w:i/>
        </w:rPr>
        <w:t>citing</w:t>
      </w:r>
      <w:r>
        <w:t xml:space="preserve"> 49 U.S.C. § 521(b)(5)(A).</w:t>
      </w:r>
    </w:p>
  </w:endnote>
  <w:endnote w:id="133">
    <w:p>
      <w:pPr>
        <w:pStyle w:val="EndnoteText"/>
      </w:pPr>
      <w:r>
        <w:rPr>
          <w:rStyle w:val="EndnoteReference"/>
          <w:sz w:val="19"/>
          <w:szCs w:val="19"/>
        </w:rPr>
        <w:endnoteRef/>
      </w:r>
      <w:r>
        <w:t xml:space="preserve"> 49 U.S.C. § 521(b)(6)(A) (2012).</w:t>
      </w:r>
    </w:p>
  </w:endnote>
  <w:endnote w:id="134">
    <w:p>
      <w:pPr>
        <w:pStyle w:val="EndnoteText"/>
      </w:pPr>
      <w:r>
        <w:rPr>
          <w:rStyle w:val="EndnoteReference"/>
          <w:sz w:val="19"/>
          <w:szCs w:val="19"/>
        </w:rPr>
        <w:endnoteRef/>
      </w:r>
      <w:r>
        <w:t xml:space="preserve"> </w:t>
      </w:r>
      <w:r>
        <w:rPr>
          <w:i/>
        </w:rPr>
        <w:t>Id.</w:t>
      </w:r>
    </w:p>
  </w:endnote>
  <w:endnote w:id="135">
    <w:p>
      <w:pPr>
        <w:pStyle w:val="EndnoteText"/>
      </w:pPr>
      <w:r>
        <w:rPr>
          <w:rStyle w:val="EndnoteReference"/>
          <w:sz w:val="19"/>
          <w:szCs w:val="19"/>
        </w:rPr>
        <w:endnoteRef/>
      </w:r>
      <w:r>
        <w:t xml:space="preserve"> 49 C.F.R. § 395.15 (2013).</w:t>
      </w:r>
    </w:p>
  </w:endnote>
  <w:endnote w:id="136">
    <w:p>
      <w:pPr>
        <w:pStyle w:val="EndnoteText"/>
      </w:pPr>
      <w:r>
        <w:rPr>
          <w:rStyle w:val="EndnoteReference"/>
          <w:sz w:val="19"/>
          <w:szCs w:val="19"/>
        </w:rPr>
        <w:endnoteRef/>
      </w:r>
      <w:r>
        <w:t xml:space="preserve"> </w:t>
      </w:r>
      <w:r>
        <w:rPr>
          <w:i/>
        </w:rPr>
        <w:t>R.A. Siegel Co. v. Bowen</w:t>
      </w:r>
      <w:r>
        <w:t xml:space="preserve">, 246 Ga. App. 177, 180, 539 S.E.2d 873, 878 (2000), </w:t>
      </w:r>
      <w:r>
        <w:rPr>
          <w:i/>
        </w:rPr>
        <w:t>citing</w:t>
      </w:r>
      <w:r>
        <w:t xml:space="preserve"> </w:t>
      </w:r>
      <w:r>
        <w:rPr>
          <w:i/>
        </w:rPr>
        <w:t>Chapman v. Auto Owners Ins. Co.</w:t>
      </w:r>
      <w:r>
        <w:t>, 220 Ga. App. 539, 469 S.E.2d 783 (1996) (sanctions for spoliation include a jury charge of a rebuttable presumption that the evidence would have been harmful to the spoliator, dismissal of the case, or exclusion of testimony about the evidence).</w:t>
      </w:r>
    </w:p>
  </w:endnote>
  <w:endnote w:id="137">
    <w:p>
      <w:pPr>
        <w:pStyle w:val="EndnoteText"/>
      </w:pPr>
      <w:r>
        <w:rPr>
          <w:rStyle w:val="EndnoteReference"/>
          <w:sz w:val="19"/>
          <w:szCs w:val="19"/>
        </w:rPr>
        <w:endnoteRef/>
      </w:r>
      <w:r>
        <w:t xml:space="preserve"> 49 C.F.R. § 395.8(k) (2013) (emphasis added).</w:t>
      </w:r>
    </w:p>
  </w:endnote>
  <w:endnote w:id="138">
    <w:p>
      <w:pPr>
        <w:pStyle w:val="EndnoteText"/>
      </w:pPr>
      <w:r>
        <w:rPr>
          <w:rStyle w:val="EndnoteReference"/>
          <w:sz w:val="19"/>
          <w:szCs w:val="19"/>
        </w:rPr>
        <w:endnoteRef/>
      </w:r>
      <w:r>
        <w:t xml:space="preserve"> </w:t>
      </w:r>
      <w:r>
        <w:rPr>
          <w:i/>
        </w:rPr>
        <w:t>Bennett v. McGriff Transp., Inc.</w:t>
      </w:r>
      <w:r>
        <w:t xml:space="preserve">, 841 F. Supp. 2d 1313, 1315 (N.D. Ga. 2012), </w:t>
      </w:r>
      <w:r>
        <w:rPr>
          <w:i/>
        </w:rPr>
        <w:t>citing</w:t>
      </w:r>
      <w:r>
        <w:t xml:space="preserve"> </w:t>
      </w:r>
      <w:r>
        <w:rPr>
          <w:i/>
        </w:rPr>
        <w:t>Carter v. Spells</w:t>
      </w:r>
      <w:r>
        <w:t xml:space="preserve">, 229 Ga. App. 441, 442, 494 S.E.2d 279, 281 (1997). A plaintiff must also show that a driver’s conduct was “egregious” in order to warrant punitive damages. </w:t>
      </w:r>
      <w:r>
        <w:rPr>
          <w:i/>
        </w:rPr>
        <w:t>Bennett</w:t>
      </w:r>
      <w:r>
        <w:t>, 841 F. Supp. 2d at 1315-16 (string citations omitted).</w:t>
      </w:r>
      <w:r>
        <w:rPr>
          <w:i/>
        </w:rPr>
        <w:t xml:space="preserve"> </w:t>
      </w:r>
    </w:p>
  </w:endnote>
  <w:endnote w:id="139">
    <w:p>
      <w:pPr>
        <w:pStyle w:val="EndnoteText"/>
      </w:pPr>
      <w:r>
        <w:rPr>
          <w:rStyle w:val="EndnoteReference"/>
          <w:sz w:val="19"/>
          <w:szCs w:val="19"/>
        </w:rPr>
        <w:endnoteRef/>
      </w:r>
      <w:r>
        <w:t xml:space="preserve"> </w:t>
      </w:r>
      <w:r>
        <w:rPr>
          <w:i/>
        </w:rPr>
        <w:t>Bartja v. National Union Fire Ins. Co. of Pittsburgh, PA</w:t>
      </w:r>
      <w:r>
        <w:t>, 218 Ga. App. 815, 819, 463 S.E.2d 358, 362 (1995).</w:t>
      </w:r>
    </w:p>
  </w:endnote>
  <w:endnote w:id="140">
    <w:p>
      <w:pPr>
        <w:pStyle w:val="EndnoteText"/>
      </w:pPr>
      <w:r>
        <w:rPr>
          <w:rStyle w:val="EndnoteReference"/>
          <w:sz w:val="19"/>
          <w:szCs w:val="19"/>
        </w:rPr>
        <w:endnoteRef/>
      </w:r>
      <w:r>
        <w:t xml:space="preserve"> </w:t>
      </w:r>
      <w:r>
        <w:rPr>
          <w:i/>
          <w:color w:val="000000"/>
        </w:rPr>
        <w:t>Frey v. Gainey Transp. Svcs</w:t>
      </w:r>
      <w:r>
        <w:rPr>
          <w:color w:val="000000"/>
        </w:rPr>
        <w:t xml:space="preserve">., 2006 U.S. Dist. LEXIS 90639, *10 (N.D. Ga. Dec. 14, 2006). </w:t>
      </w:r>
      <w:r>
        <w:rPr>
          <w:i/>
          <w:color w:val="000000"/>
        </w:rPr>
        <w:t>Compare</w:t>
      </w:r>
      <w:r>
        <w:rPr>
          <w:color w:val="000000"/>
        </w:rPr>
        <w:t xml:space="preserve"> </w:t>
      </w:r>
      <w:r>
        <w:rPr>
          <w:i/>
          <w:color w:val="000000"/>
        </w:rPr>
        <w:t>J.B. Hunt Transp. v. Bentley</w:t>
      </w:r>
      <w:r>
        <w:rPr>
          <w:color w:val="000000"/>
        </w:rPr>
        <w:t xml:space="preserve">, 207 Ga. App. 250, 427 S.E.2d 499 (1992) (J.B. Hunt habitually violated hours-of-service requirements, destroyed the driver log books which would have shown the driver’s hours-of-service, and was aware of serious mechanical problems with the tractor, giving rise to the presumption that the driver’s fatigue and/or the known mechanical problems caused the accident). </w:t>
      </w:r>
    </w:p>
  </w:endnote>
  <w:endnote w:id="141">
    <w:p>
      <w:pPr>
        <w:pStyle w:val="EndnoteText"/>
      </w:pPr>
      <w:r>
        <w:rPr>
          <w:rStyle w:val="EndnoteReference"/>
          <w:sz w:val="19"/>
          <w:szCs w:val="19"/>
        </w:rPr>
        <w:endnoteRef/>
      </w:r>
      <w:r>
        <w:t xml:space="preserve"> </w:t>
      </w:r>
      <w:r>
        <w:rPr>
          <w:i/>
          <w:color w:val="000000"/>
        </w:rPr>
        <w:t>J.B. Hunt Transp.</w:t>
      </w:r>
      <w:r>
        <w:rPr>
          <w:color w:val="000000"/>
        </w:rPr>
        <w:t>, 207 Ga. App. at 256-57, 427 S.E.2d at 505.</w:t>
      </w:r>
    </w:p>
  </w:endnote>
  <w:endnote w:id="142">
    <w:p>
      <w:pPr>
        <w:pStyle w:val="EndnoteText"/>
      </w:pPr>
      <w:r>
        <w:rPr>
          <w:rStyle w:val="EndnoteReference"/>
          <w:sz w:val="19"/>
          <w:szCs w:val="19"/>
        </w:rPr>
        <w:endnoteRef/>
      </w:r>
      <w:r>
        <w:t xml:space="preserve"> </w:t>
      </w:r>
      <w:r>
        <w:rPr>
          <w:i/>
        </w:rPr>
        <w:t>Id.</w:t>
      </w:r>
    </w:p>
  </w:endnote>
  <w:endnote w:id="143">
    <w:p>
      <w:pPr>
        <w:pStyle w:val="EndnoteText"/>
      </w:pPr>
      <w:r>
        <w:rPr>
          <w:rStyle w:val="EndnoteReference"/>
          <w:sz w:val="19"/>
          <w:szCs w:val="19"/>
        </w:rPr>
        <w:endnoteRef/>
      </w:r>
      <w:r>
        <w:t xml:space="preserve"> </w:t>
      </w:r>
      <w:r>
        <w:rPr>
          <w:i/>
        </w:rPr>
        <w:t>Id.</w:t>
      </w:r>
      <w:r>
        <w:t xml:space="preserve"> at 253, 427 S.E.2d at 502.</w:t>
      </w:r>
    </w:p>
  </w:endnote>
  <w:endnote w:id="144">
    <w:p>
      <w:pPr>
        <w:pStyle w:val="EndnoteText"/>
      </w:pPr>
      <w:r>
        <w:rPr>
          <w:rStyle w:val="EndnoteReference"/>
          <w:sz w:val="19"/>
          <w:szCs w:val="19"/>
        </w:rPr>
        <w:endnoteRef/>
      </w:r>
      <w:r>
        <w:t xml:space="preserve"> </w:t>
      </w:r>
      <w:r>
        <w:rPr>
          <w:i/>
        </w:rPr>
        <w:t>Id.</w:t>
      </w:r>
    </w:p>
  </w:endnote>
  <w:endnote w:id="145">
    <w:p>
      <w:pPr>
        <w:pStyle w:val="EndnoteText"/>
      </w:pPr>
      <w:r>
        <w:rPr>
          <w:rStyle w:val="EndnoteReference"/>
          <w:sz w:val="19"/>
          <w:szCs w:val="19"/>
        </w:rPr>
        <w:endnoteRef/>
      </w:r>
      <w:r>
        <w:t xml:space="preserve"> </w:t>
      </w:r>
      <w:r>
        <w:rPr>
          <w:i/>
        </w:rPr>
        <w:t>Id.</w:t>
      </w:r>
    </w:p>
  </w:endnote>
  <w:endnote w:id="146">
    <w:p>
      <w:pPr>
        <w:pStyle w:val="EndnoteText"/>
      </w:pPr>
      <w:r>
        <w:rPr>
          <w:rStyle w:val="EndnoteReference"/>
          <w:sz w:val="19"/>
          <w:szCs w:val="19"/>
        </w:rPr>
        <w:endnoteRef/>
      </w:r>
      <w:r>
        <w:t xml:space="preserve"> </w:t>
      </w:r>
      <w:r>
        <w:rPr>
          <w:i/>
          <w:color w:val="000000"/>
        </w:rPr>
        <w:t>Highsmith v. Tractor Trailer Serv.</w:t>
      </w:r>
      <w:r>
        <w:rPr>
          <w:color w:val="000000"/>
        </w:rPr>
        <w:t>, 2005 U.S. Dist. LEXIS 46156, *9-11 (N.D. Ga. 2005).</w:t>
      </w:r>
    </w:p>
  </w:endnote>
  <w:endnote w:id="147">
    <w:p>
      <w:pPr>
        <w:pStyle w:val="EndnoteText"/>
      </w:pPr>
      <w:r>
        <w:rPr>
          <w:rStyle w:val="EndnoteReference"/>
          <w:sz w:val="19"/>
          <w:szCs w:val="19"/>
        </w:rPr>
        <w:endnoteRef/>
      </w:r>
      <w:r>
        <w:t xml:space="preserve"> </w:t>
      </w:r>
      <w:r>
        <w:rPr>
          <w:i/>
          <w:color w:val="000000"/>
        </w:rPr>
        <w:t>Bennett v. McGriff Transp., Inc.</w:t>
      </w:r>
      <w:r>
        <w:rPr>
          <w:color w:val="000000"/>
        </w:rPr>
        <w:t>, 341 F. Supp. 2d 1313, 1316 (N.D. Ga. 2012).</w:t>
      </w:r>
    </w:p>
  </w:endnote>
  <w:endnote w:id="148">
    <w:p>
      <w:pPr>
        <w:pStyle w:val="EndnoteText"/>
      </w:pPr>
      <w:r>
        <w:rPr>
          <w:rStyle w:val="EndnoteReference"/>
          <w:sz w:val="19"/>
          <w:szCs w:val="19"/>
        </w:rPr>
        <w:endnoteRef/>
      </w:r>
      <w:r>
        <w:t xml:space="preserve"> </w:t>
      </w:r>
      <w:r>
        <w:rPr>
          <w:i/>
        </w:rPr>
        <w:t>Id.</w:t>
      </w:r>
      <w:r>
        <w:t xml:space="preserve"> at 1315.</w:t>
      </w:r>
    </w:p>
  </w:endnote>
  <w:endnote w:id="149">
    <w:p>
      <w:pPr>
        <w:pStyle w:val="EndnoteText"/>
      </w:pPr>
      <w:r>
        <w:rPr>
          <w:rStyle w:val="EndnoteReference"/>
          <w:sz w:val="19"/>
          <w:szCs w:val="19"/>
        </w:rPr>
        <w:endnoteRef/>
      </w:r>
      <w:r>
        <w:t xml:space="preserve"> </w:t>
      </w:r>
      <w:r>
        <w:rPr>
          <w:i/>
        </w:rPr>
        <w:t>Id.</w:t>
      </w:r>
      <w:r>
        <w:t xml:space="preserve"> at 1316.</w:t>
      </w:r>
    </w:p>
  </w:endnote>
  <w:endnote w:id="150">
    <w:p>
      <w:pPr>
        <w:pStyle w:val="EndnoteText"/>
      </w:pPr>
      <w:r>
        <w:rPr>
          <w:rStyle w:val="EndnoteReference"/>
          <w:sz w:val="19"/>
          <w:szCs w:val="19"/>
        </w:rPr>
        <w:endnoteRef/>
      </w:r>
      <w:r>
        <w:t xml:space="preserve"> </w:t>
      </w:r>
      <w:r>
        <w:rPr>
          <w:i/>
        </w:rPr>
        <w:t>Id.</w:t>
      </w:r>
    </w:p>
  </w:endnote>
  <w:endnote w:id="151">
    <w:p>
      <w:pPr>
        <w:pStyle w:val="EndnoteText"/>
      </w:pPr>
      <w:r>
        <w:rPr>
          <w:rStyle w:val="EndnoteReference"/>
          <w:sz w:val="19"/>
          <w:szCs w:val="19"/>
        </w:rPr>
        <w:endnoteRef/>
      </w:r>
      <w:r>
        <w:t xml:space="preserve"> </w:t>
      </w:r>
      <w:r>
        <w:rPr>
          <w:i/>
        </w:rPr>
        <w:t>Id.</w:t>
      </w:r>
      <w:r>
        <w:t xml:space="preserve"> </w:t>
      </w:r>
      <w:r>
        <w:rPr>
          <w:i/>
        </w:rPr>
        <w:t>See also</w:t>
      </w:r>
      <w:r>
        <w:t xml:space="preserve"> </w:t>
      </w:r>
      <w:r>
        <w:rPr>
          <w:i/>
        </w:rPr>
        <w:t>Frey v. Gainey Transportation Services, Inc.</w:t>
      </w:r>
      <w:r>
        <w:t xml:space="preserve">, </w:t>
      </w:r>
      <w:r>
        <w:rPr>
          <w:color w:val="000000"/>
        </w:rPr>
        <w:t>2006 U.S. Dist. LEXIS 90639 at *9-11 (N.D. Ga. Dec. 14, 2006)</w:t>
      </w:r>
      <w:r>
        <w:t xml:space="preserve"> (</w:t>
      </w:r>
      <w:r>
        <w:rPr>
          <w:color w:val="000000"/>
        </w:rPr>
        <w:t xml:space="preserve">no evidence that fatigue caused accident, and no evidence to connect any alleged falsifying of driver logs to any alleged fatigue; rather, the defendant driver stated that the plaintiff was in his blind spot as he attempted to change lanes); </w:t>
      </w:r>
      <w:r>
        <w:rPr>
          <w:i/>
          <w:color w:val="000000"/>
        </w:rPr>
        <w:t>MasTec North America v. Wilson</w:t>
      </w:r>
      <w:r>
        <w:rPr>
          <w:color w:val="000000"/>
        </w:rPr>
        <w:t>, 2014 Ga. App. LEXIS 88 (Feb. 28, 2014) (reversing the trial court’s denial of a motion for summary judgment on punitive damages, since the record did not support an inference that the collision was caused a “pattern or policy of dangerous driving”).</w:t>
      </w:r>
    </w:p>
  </w:endnote>
  <w:endnote w:id="152">
    <w:p>
      <w:pPr>
        <w:pStyle w:val="EndnoteText"/>
      </w:pPr>
      <w:r>
        <w:rPr>
          <w:rStyle w:val="EndnoteReference"/>
          <w:sz w:val="19"/>
          <w:szCs w:val="19"/>
        </w:rPr>
        <w:endnoteRef/>
      </w:r>
      <w:r>
        <w:t xml:space="preserve"> </w:t>
      </w:r>
      <w:r>
        <w:rPr>
          <w:i/>
          <w:color w:val="000000"/>
        </w:rPr>
        <w:t>Highsmith v. Tractor Trailer Serv.</w:t>
      </w:r>
      <w:r>
        <w:rPr>
          <w:color w:val="000000"/>
        </w:rPr>
        <w:t>, 2005 U.S. Dist. LEXIS 46156, *35-37 (N.D. Ga. 2005).</w:t>
      </w:r>
    </w:p>
  </w:endnote>
  <w:endnote w:id="153">
    <w:p>
      <w:pPr>
        <w:pStyle w:val="EndnoteText"/>
      </w:pPr>
      <w:r>
        <w:rPr>
          <w:rStyle w:val="EndnoteReference"/>
          <w:sz w:val="19"/>
          <w:szCs w:val="19"/>
        </w:rPr>
        <w:endnoteRef/>
      </w:r>
      <w:r>
        <w:t xml:space="preserve"> </w:t>
      </w:r>
      <w:r>
        <w:rPr>
          <w:i/>
          <w:color w:val="000000"/>
        </w:rPr>
        <w:t>Id.</w:t>
      </w:r>
      <w:r>
        <w:rPr>
          <w:color w:val="000000"/>
        </w:rPr>
        <w:t xml:space="preserve"> at *36.</w:t>
      </w:r>
    </w:p>
  </w:endnote>
  <w:endnote w:id="154">
    <w:p>
      <w:pPr>
        <w:pStyle w:val="EndnoteText"/>
      </w:pPr>
      <w:r>
        <w:rPr>
          <w:rStyle w:val="EndnoteReference"/>
          <w:sz w:val="19"/>
          <w:szCs w:val="19"/>
        </w:rPr>
        <w:endnoteRef/>
      </w:r>
      <w:r>
        <w:t xml:space="preserve"> </w:t>
      </w:r>
      <w:r>
        <w:rPr>
          <w:i/>
          <w:color w:val="000000"/>
        </w:rPr>
        <w:t>Id.</w:t>
      </w:r>
      <w:r>
        <w:rPr>
          <w:color w:val="000000"/>
        </w:rPr>
        <w:t xml:space="preserve"> at *35.</w:t>
      </w:r>
    </w:p>
  </w:endnote>
  <w:endnote w:id="155">
    <w:p>
      <w:pPr>
        <w:pStyle w:val="EndnoteText"/>
      </w:pPr>
      <w:r>
        <w:rPr>
          <w:rStyle w:val="EndnoteReference"/>
          <w:sz w:val="19"/>
          <w:szCs w:val="19"/>
        </w:rPr>
        <w:endnoteRef/>
      </w:r>
      <w:r>
        <w:t xml:space="preserve"> </w:t>
      </w:r>
      <w:r>
        <w:rPr>
          <w:i/>
          <w:color w:val="000000"/>
        </w:rPr>
        <w:t>Id.</w:t>
      </w:r>
      <w:r>
        <w:t xml:space="preserve"> at *36-37.</w:t>
      </w:r>
    </w:p>
  </w:endnote>
  <w:endnote w:id="156">
    <w:p>
      <w:pPr>
        <w:pStyle w:val="EndnoteText"/>
      </w:pPr>
      <w:r>
        <w:rPr>
          <w:rStyle w:val="EndnoteReference"/>
          <w:sz w:val="19"/>
          <w:szCs w:val="19"/>
        </w:rPr>
        <w:endnoteRef/>
      </w:r>
      <w:r>
        <w:t xml:space="preserve"> </w:t>
      </w:r>
      <w:r>
        <w:rPr>
          <w:i/>
        </w:rPr>
        <w:t>Id.</w:t>
      </w:r>
    </w:p>
  </w:endnote>
  <w:endnote w:id="157">
    <w:p>
      <w:pPr>
        <w:pStyle w:val="EndnoteText"/>
      </w:pPr>
      <w:r>
        <w:rPr>
          <w:rStyle w:val="EndnoteReference"/>
          <w:rFonts w:ascii="Century Schoolbook" w:hAnsi="Century Schoolbook"/>
          <w:sz w:val="19"/>
          <w:szCs w:val="19"/>
        </w:rPr>
        <w:endnoteRef/>
      </w:r>
      <w:r>
        <w:t xml:space="preserve"> </w:t>
      </w:r>
      <w:r>
        <w:rPr>
          <w:i/>
        </w:rPr>
        <w:t>Hartford Ins. Co. v. Henderson &amp; Son, Inc.</w:t>
      </w:r>
      <w:r>
        <w:t xml:space="preserve">, 258 Ga. 493, 494, 371 S.E.2d 401, 402 (1988).  </w:t>
      </w:r>
    </w:p>
  </w:endnote>
  <w:endnote w:id="158">
    <w:p>
      <w:pPr>
        <w:pStyle w:val="EndnoteText"/>
      </w:pPr>
      <w:r>
        <w:rPr>
          <w:rStyle w:val="EndnoteReference"/>
          <w:rFonts w:ascii="Century Schoolbook" w:hAnsi="Century Schoolbook"/>
          <w:sz w:val="19"/>
          <w:szCs w:val="19"/>
        </w:rPr>
        <w:endnoteRef/>
      </w:r>
      <w:r>
        <w:t xml:space="preserve"> Caudill</w:t>
      </w:r>
      <w:r>
        <w:rPr>
          <w:i/>
        </w:rPr>
        <w:t xml:space="preserve"> v. Strickland</w:t>
      </w:r>
      <w:r>
        <w:t>, 230 Ga. App. 644, 644, 498 S.E.2d 81, 83 (1998).</w:t>
      </w:r>
    </w:p>
  </w:endnote>
  <w:endnote w:id="159">
    <w:p>
      <w:pPr>
        <w:pStyle w:val="EndnoteText"/>
      </w:pPr>
      <w:r>
        <w:rPr>
          <w:rStyle w:val="EndnoteReference"/>
          <w:sz w:val="19"/>
          <w:szCs w:val="19"/>
        </w:rPr>
        <w:endnoteRef/>
      </w:r>
      <w:r>
        <w:t xml:space="preserve"> O.C.G.A. § 40-2-140 (Supp. 2013).</w:t>
      </w:r>
    </w:p>
  </w:endnote>
  <w:endnote w:id="160">
    <w:p>
      <w:pPr>
        <w:pStyle w:val="EndnoteText"/>
      </w:pPr>
      <w:r>
        <w:rPr>
          <w:rStyle w:val="EndnoteReference"/>
          <w:sz w:val="19"/>
          <w:szCs w:val="19"/>
        </w:rPr>
        <w:endnoteRef/>
      </w:r>
      <w:r>
        <w:t xml:space="preserve"> O.C.G.A. § 40-1-112 (Supp. 2013). </w:t>
      </w:r>
    </w:p>
  </w:endnote>
  <w:endnote w:id="161">
    <w:p>
      <w:pPr>
        <w:pStyle w:val="EndnoteText"/>
      </w:pPr>
      <w:r>
        <w:rPr>
          <w:rStyle w:val="EndnoteReference"/>
          <w:rFonts w:ascii="Century Schoolbook" w:hAnsi="Century Schoolbook"/>
          <w:sz w:val="19"/>
          <w:szCs w:val="19"/>
        </w:rPr>
        <w:endnoteRef/>
      </w:r>
      <w:r>
        <w:t xml:space="preserve"> Georgia is one of a handful of states that permits direct actions by an injured party against the insurer of the responsible party. Louisiana and Wisconsin permit direct actions against the insurer of the responsible party.  </w:t>
      </w:r>
      <w:r>
        <w:rPr>
          <w:smallCaps/>
        </w:rPr>
        <w:t>La. Rev. Stat. Ann.</w:t>
      </w:r>
      <w:r>
        <w:t xml:space="preserve"> § 22:1269 (2011); </w:t>
      </w:r>
      <w:r>
        <w:rPr>
          <w:smallCaps/>
        </w:rPr>
        <w:t>Wis. Stat. Ann.</w:t>
      </w:r>
      <w:r>
        <w:t xml:space="preserve"> § 632.24 (2013).  The Louisiana and Wisconsin direct actions are not limited to cases involving commercial motor carriers.  </w:t>
      </w:r>
    </w:p>
    <w:p>
      <w:pPr>
        <w:pStyle w:val="EndnoteText"/>
      </w:pPr>
      <w:r>
        <w:t xml:space="preserve">   Several other states limit direct actions against insurers under certain circumstances. For example, in Kansas, a direct action can be brought against the insurer of a public motor carrier.  </w:t>
      </w:r>
      <w:r>
        <w:rPr>
          <w:smallCaps/>
        </w:rPr>
        <w:t>Kan. Stat. Ann.</w:t>
      </w:r>
      <w:r>
        <w:t xml:space="preserve"> § 66-1,128 (2008).  In Nebraska, a direct action can be brought against an automobile insurance carrier where the insured is insolvent or bankrupt. </w:t>
      </w:r>
      <w:r>
        <w:rPr>
          <w:smallCaps/>
        </w:rPr>
        <w:t>Neb. Rev. Stat.</w:t>
      </w:r>
      <w:r>
        <w:t xml:space="preserve"> § 44-508 (2007).  In Rhode Island, a direct action may be brought against a liability insurer where process cannot be served on the insured.  </w:t>
      </w:r>
      <w:r>
        <w:rPr>
          <w:smallCaps/>
        </w:rPr>
        <w:t>R.I. Gen. Laws</w:t>
      </w:r>
      <w:r>
        <w:t xml:space="preserve"> § 27-7-2 (2009).  </w:t>
      </w:r>
    </w:p>
    <w:p>
      <w:pPr>
        <w:pStyle w:val="EndnoteText"/>
      </w:pPr>
      <w:r>
        <w:t xml:space="preserve">   In addition, the New Mexico Supreme Court has held that the compulsory requirements of the state’s financial responsibility statute, as well as an absence of a prohibition against joinder, permits an injured party to bring an action directly against the automobile liability insurer of a responsible party. </w:t>
      </w:r>
      <w:r>
        <w:rPr>
          <w:i/>
        </w:rPr>
        <w:t>Raskob v. Sanchez</w:t>
      </w:r>
      <w:r>
        <w:t>, 126 N.M. 394, 970 P.2d 580 (1998).</w:t>
      </w:r>
    </w:p>
  </w:endnote>
  <w:endnote w:id="162">
    <w:p>
      <w:pPr>
        <w:pStyle w:val="EndnoteText"/>
      </w:pPr>
      <w:r>
        <w:rPr>
          <w:rStyle w:val="EndnoteReference"/>
          <w:rFonts w:ascii="Century Schoolbook" w:hAnsi="Century Schoolbook"/>
          <w:sz w:val="19"/>
          <w:szCs w:val="19"/>
        </w:rPr>
        <w:endnoteRef/>
      </w:r>
      <w:r>
        <w:t xml:space="preserve"> </w:t>
      </w:r>
      <w:r>
        <w:rPr>
          <w:i/>
        </w:rPr>
        <w:t>Glenn McClendon Trucking Co. v. Williams</w:t>
      </w:r>
      <w:r>
        <w:t xml:space="preserve">, 183 Ga. App. 508, 509, 359 S.E.2d 351, 353 (1987). </w:t>
      </w:r>
    </w:p>
  </w:endnote>
  <w:endnote w:id="163">
    <w:p>
      <w:pPr>
        <w:pStyle w:val="EndnoteText"/>
      </w:pPr>
      <w:r>
        <w:rPr>
          <w:rStyle w:val="EndnoteReference"/>
          <w:rFonts w:ascii="Century Schoolbook" w:hAnsi="Century Schoolbook"/>
          <w:sz w:val="19"/>
          <w:szCs w:val="19"/>
        </w:rPr>
        <w:endnoteRef/>
      </w:r>
      <w:r>
        <w:t xml:space="preserve"> 1931 Ga. Laws 199 - 213 (Repealed 2012).  </w:t>
      </w:r>
    </w:p>
  </w:endnote>
  <w:endnote w:id="164">
    <w:p>
      <w:pPr>
        <w:pStyle w:val="EndnoteText"/>
      </w:pPr>
      <w:r>
        <w:rPr>
          <w:rStyle w:val="EndnoteReference"/>
          <w:sz w:val="19"/>
          <w:szCs w:val="19"/>
        </w:rPr>
        <w:endnoteRef/>
      </w:r>
      <w:r>
        <w:t xml:space="preserve"> </w:t>
      </w:r>
      <w:r>
        <w:rPr>
          <w:i/>
        </w:rPr>
        <w:t>Id.</w:t>
      </w:r>
      <w:r>
        <w:t xml:space="preserve"> at 199, </w:t>
      </w:r>
      <w:r>
        <w:rPr>
          <w:sz w:val="21"/>
          <w:szCs w:val="21"/>
        </w:rPr>
        <w:t xml:space="preserve">§ </w:t>
      </w:r>
      <w:r>
        <w:t>3.</w:t>
      </w:r>
    </w:p>
  </w:endnote>
  <w:endnote w:id="165">
    <w:p>
      <w:pPr>
        <w:pStyle w:val="EndnoteText"/>
      </w:pPr>
      <w:r>
        <w:rPr>
          <w:rStyle w:val="EndnoteReference"/>
          <w:rFonts w:ascii="Century Schoolbook" w:hAnsi="Century Schoolbook"/>
          <w:sz w:val="19"/>
          <w:szCs w:val="19"/>
        </w:rPr>
        <w:endnoteRef/>
      </w:r>
      <w:r>
        <w:t xml:space="preserve"> </w:t>
      </w:r>
      <w:r>
        <w:rPr>
          <w:i/>
        </w:rPr>
        <w:t>Id</w:t>
      </w:r>
      <w:r>
        <w:t>. at 199, § 7.</w:t>
      </w:r>
    </w:p>
  </w:endnote>
  <w:endnote w:id="166">
    <w:p>
      <w:pPr>
        <w:pStyle w:val="EndnoteText"/>
      </w:pPr>
      <w:r>
        <w:rPr>
          <w:rStyle w:val="EndnoteReference"/>
          <w:sz w:val="19"/>
          <w:szCs w:val="19"/>
        </w:rPr>
        <w:endnoteRef/>
      </w:r>
      <w:r>
        <w:t xml:space="preserve"> O.C.G.A. § 46-7-12 (Repealed 2012).</w:t>
      </w:r>
    </w:p>
  </w:endnote>
  <w:endnote w:id="167">
    <w:p>
      <w:pPr>
        <w:pStyle w:val="EndnoteText"/>
      </w:pPr>
      <w:r>
        <w:rPr>
          <w:rStyle w:val="EndnoteReference"/>
          <w:rFonts w:ascii="Century Schoolbook" w:hAnsi="Century Schoolbook"/>
          <w:sz w:val="19"/>
          <w:szCs w:val="19"/>
        </w:rPr>
        <w:endnoteRef/>
      </w:r>
      <w:r>
        <w:t xml:space="preserve"> </w:t>
      </w:r>
      <w:r>
        <w:rPr>
          <w:i/>
        </w:rPr>
        <w:t>Id</w:t>
      </w:r>
      <w:r>
        <w:t>.</w:t>
      </w:r>
    </w:p>
  </w:endnote>
  <w:endnote w:id="168">
    <w:p>
      <w:pPr>
        <w:pStyle w:val="EndnoteText"/>
      </w:pPr>
      <w:r>
        <w:rPr>
          <w:rStyle w:val="EndnoteReference"/>
          <w:rFonts w:ascii="Century Schoolbook" w:hAnsi="Century Schoolbook"/>
          <w:sz w:val="19"/>
          <w:szCs w:val="19"/>
        </w:rPr>
        <w:endnoteRef/>
      </w:r>
      <w:r>
        <w:t xml:space="preserve"> Lockhart</w:t>
      </w:r>
      <w:r>
        <w:rPr>
          <w:i/>
        </w:rPr>
        <w:t xml:space="preserve"> v. S. Gen. Ins. Co.</w:t>
      </w:r>
      <w:r>
        <w:t>, 231 Ga. App. 311, 312, 498 S.E.2d 161, 163 (1998).</w:t>
      </w:r>
    </w:p>
  </w:endnote>
  <w:endnote w:id="169">
    <w:p>
      <w:pPr>
        <w:pStyle w:val="EndnoteText"/>
      </w:pPr>
      <w:r>
        <w:rPr>
          <w:rStyle w:val="EndnoteReference"/>
          <w:sz w:val="19"/>
          <w:szCs w:val="19"/>
        </w:rPr>
        <w:endnoteRef/>
      </w:r>
      <w:r>
        <w:t xml:space="preserve"> O.C.G.A. § 46-7-12 (Repealed 2012).</w:t>
      </w:r>
    </w:p>
  </w:endnote>
  <w:endnote w:id="170">
    <w:p>
      <w:pPr>
        <w:pStyle w:val="EndnoteText"/>
      </w:pPr>
      <w:r>
        <w:rPr>
          <w:rStyle w:val="EndnoteReference"/>
          <w:sz w:val="19"/>
          <w:szCs w:val="19"/>
        </w:rPr>
        <w:endnoteRef/>
      </w:r>
      <w:r>
        <w:t xml:space="preserve"> U.S. CONST. art. I, § 8, cl. 3. </w:t>
      </w:r>
    </w:p>
  </w:endnote>
  <w:endnote w:id="171">
    <w:p>
      <w:pPr>
        <w:pStyle w:val="EndnoteText"/>
      </w:pPr>
      <w:r>
        <w:rPr>
          <w:rStyle w:val="EndnoteReference"/>
          <w:rFonts w:ascii="Century Schoolbook" w:hAnsi="Century Schoolbook"/>
          <w:sz w:val="19"/>
          <w:szCs w:val="19"/>
        </w:rPr>
        <w:endnoteRef/>
      </w:r>
      <w:r>
        <w:t xml:space="preserve"> 58 Fed. Reg. 28933 (May 18, 1993).</w:t>
      </w:r>
    </w:p>
  </w:endnote>
  <w:endnote w:id="172">
    <w:p>
      <w:pPr>
        <w:pStyle w:val="EndnoteText"/>
      </w:pPr>
      <w:r>
        <w:rPr>
          <w:rStyle w:val="EndnoteReference"/>
          <w:rFonts w:ascii="Century Schoolbook" w:hAnsi="Century Schoolbook"/>
          <w:sz w:val="19"/>
          <w:szCs w:val="19"/>
        </w:rPr>
        <w:endnoteRef/>
      </w:r>
      <w:r>
        <w:t xml:space="preserve"> 49 U.S.C. § 14504 (Repealed 2008).</w:t>
      </w:r>
    </w:p>
  </w:endnote>
  <w:endnote w:id="173">
    <w:p>
      <w:pPr>
        <w:pStyle w:val="EndnoteText"/>
      </w:pPr>
      <w:r>
        <w:rPr>
          <w:rStyle w:val="EndnoteReference"/>
          <w:rFonts w:ascii="Century Schoolbook" w:hAnsi="Century Schoolbook"/>
          <w:sz w:val="19"/>
          <w:szCs w:val="19"/>
        </w:rPr>
        <w:endnoteRef/>
      </w:r>
      <w:r>
        <w:t xml:space="preserve"> Id.</w:t>
      </w:r>
    </w:p>
  </w:endnote>
  <w:endnote w:id="174">
    <w:p>
      <w:pPr>
        <w:pStyle w:val="EndnoteText"/>
      </w:pPr>
      <w:r>
        <w:rPr>
          <w:rStyle w:val="EndnoteReference"/>
          <w:rFonts w:ascii="Century Schoolbook" w:hAnsi="Century Schoolbook"/>
          <w:sz w:val="19"/>
          <w:szCs w:val="19"/>
        </w:rPr>
        <w:endnoteRef/>
      </w:r>
      <w:r>
        <w:t xml:space="preserve"> O.C.G.A. § 46-7-12 (Repealed 2012). </w:t>
      </w:r>
    </w:p>
  </w:endnote>
  <w:endnote w:id="175">
    <w:p>
      <w:pPr>
        <w:pStyle w:val="EndnoteText"/>
      </w:pPr>
      <w:r>
        <w:rPr>
          <w:rStyle w:val="EndnoteReference"/>
          <w:rFonts w:ascii="Century Schoolbook" w:hAnsi="Century Schoolbook"/>
          <w:sz w:val="19"/>
          <w:szCs w:val="19"/>
        </w:rPr>
        <w:endnoteRef/>
      </w:r>
      <w:r>
        <w:t xml:space="preserve"> O.C.G.A. § 46-7-16(Repealed 2012).</w:t>
      </w:r>
    </w:p>
  </w:endnote>
  <w:endnote w:id="176">
    <w:p>
      <w:pPr>
        <w:pStyle w:val="EndnoteText"/>
      </w:pPr>
      <w:r>
        <w:rPr>
          <w:rStyle w:val="EndnoteReference"/>
          <w:rFonts w:ascii="Century Schoolbook" w:hAnsi="Century Schoolbook"/>
          <w:sz w:val="19"/>
          <w:szCs w:val="19"/>
        </w:rPr>
        <w:endnoteRef/>
      </w:r>
      <w:r>
        <w:t xml:space="preserve"> O.C.G.A. § 46-7-12 (Repealed 2012) (applicable to motor carriers of household goods and passengers that obtained a permit to operate in Georgia) and O.C.G.A § 46-7-12.1 (1982) (Repealed 2012) (applicable to motor carriers of property operating in Georgia).</w:t>
      </w:r>
    </w:p>
  </w:endnote>
  <w:endnote w:id="177">
    <w:p>
      <w:pPr>
        <w:pStyle w:val="EndnoteText"/>
      </w:pPr>
      <w:r>
        <w:rPr>
          <w:rStyle w:val="EndnoteReference"/>
          <w:sz w:val="19"/>
          <w:szCs w:val="19"/>
        </w:rPr>
        <w:endnoteRef/>
      </w:r>
      <w:r>
        <w:t xml:space="preserve"> O.C.G.A. § 46-7-12.1 (Repealed 2012)</w:t>
      </w:r>
    </w:p>
  </w:endnote>
  <w:endnote w:id="178">
    <w:p>
      <w:pPr>
        <w:pStyle w:val="EndnoteText"/>
      </w:pPr>
      <w:r>
        <w:rPr>
          <w:rStyle w:val="EndnoteReference"/>
          <w:rFonts w:ascii="Century Schoolbook" w:hAnsi="Century Schoolbook"/>
          <w:sz w:val="19"/>
          <w:szCs w:val="19"/>
        </w:rPr>
        <w:endnoteRef/>
      </w:r>
      <w:r>
        <w:t xml:space="preserve"> Westport</w:t>
      </w:r>
      <w:r>
        <w:rPr>
          <w:i/>
        </w:rPr>
        <w:t xml:space="preserve"> Trucking Co. v. Griffin, </w:t>
      </w:r>
      <w:r>
        <w:t>254 Ga. 361, 329 S.E.2d 487 (1985).</w:t>
      </w:r>
    </w:p>
  </w:endnote>
  <w:endnote w:id="179">
    <w:p>
      <w:pPr>
        <w:pStyle w:val="EndnoteText"/>
      </w:pPr>
      <w:r>
        <w:rPr>
          <w:rStyle w:val="EndnoteReference"/>
          <w:rFonts w:ascii="Century Schoolbook" w:hAnsi="Century Schoolbook"/>
          <w:sz w:val="19"/>
          <w:szCs w:val="19"/>
        </w:rPr>
        <w:endnoteRef/>
      </w:r>
      <w:r>
        <w:t xml:space="preserve"> Dundee</w:t>
      </w:r>
      <w:r>
        <w:rPr>
          <w:i/>
        </w:rPr>
        <w:t xml:space="preserve"> Mills, Inc. v. John Deere Ins</w:t>
      </w:r>
      <w:r>
        <w:t xml:space="preserve">., 248 Ga. App. 39, 545 S.E.2d 604 (2001); </w:t>
      </w:r>
      <w:r>
        <w:rPr>
          <w:i/>
        </w:rPr>
        <w:t>Caudill v. Strickland</w:t>
      </w:r>
      <w:r>
        <w:t xml:space="preserve">, 230 Ga. App. 644, 498 S.E.2d 81 (1998).  </w:t>
      </w:r>
    </w:p>
  </w:endnote>
  <w:endnote w:id="180">
    <w:p>
      <w:pPr>
        <w:pStyle w:val="EndnoteText"/>
      </w:pPr>
      <w:r>
        <w:rPr>
          <w:rStyle w:val="EndnoteReference"/>
          <w:rFonts w:ascii="Century Schoolbook" w:hAnsi="Century Schoolbook"/>
          <w:sz w:val="19"/>
          <w:szCs w:val="19"/>
        </w:rPr>
        <w:endnoteRef/>
      </w:r>
      <w:r>
        <w:t xml:space="preserve"> </w:t>
      </w:r>
      <w:r>
        <w:rPr>
          <w:i/>
        </w:rPr>
        <w:t xml:space="preserve">See Clark v. Irvin, </w:t>
      </w:r>
      <w:r>
        <w:t xml:space="preserve">No. 1:09-CV-101 (M.D. Ga. May 26, 2011); </w:t>
      </w:r>
      <w:r>
        <w:rPr>
          <w:i/>
        </w:rPr>
        <w:t>Erving v. Vanliner Ins. Co.</w:t>
      </w:r>
      <w:r>
        <w:t xml:space="preserve">, No 407-CV-84 (S.D. Ga. April 1, 2008); and </w:t>
      </w:r>
      <w:r>
        <w:rPr>
          <w:i/>
        </w:rPr>
        <w:t>Cain v. Shoreline Transp., Inc</w:t>
      </w:r>
      <w:r>
        <w:t xml:space="preserve">., No. 1:07-CV-2635-GET (N.D. Ga. Sept. 22, 2008);   </w:t>
      </w:r>
    </w:p>
  </w:endnote>
  <w:endnote w:id="181">
    <w:p>
      <w:pPr>
        <w:pStyle w:val="EndnoteText"/>
      </w:pPr>
      <w:r>
        <w:rPr>
          <w:rStyle w:val="EndnoteReference"/>
          <w:rFonts w:ascii="Century Schoolbook" w:hAnsi="Century Schoolbook"/>
          <w:sz w:val="19"/>
          <w:szCs w:val="19"/>
        </w:rPr>
        <w:endnoteRef/>
      </w:r>
      <w:r>
        <w:t xml:space="preserve"> No. 1:07-CV-2635-GET (N.D. Ga. Sept. 22, 2008).</w:t>
      </w:r>
    </w:p>
  </w:endnote>
  <w:endnote w:id="182">
    <w:p>
      <w:pPr>
        <w:pStyle w:val="EndnoteText"/>
      </w:pPr>
      <w:r>
        <w:rPr>
          <w:rStyle w:val="EndnoteReference"/>
          <w:rFonts w:ascii="Century Schoolbook" w:hAnsi="Century Schoolbook"/>
          <w:sz w:val="19"/>
          <w:szCs w:val="19"/>
        </w:rPr>
        <w:endnoteRef/>
      </w:r>
      <w:r>
        <w:t xml:space="preserve"> No 407-CV-84 (S.D. Ga. April 1, 2008).</w:t>
      </w:r>
    </w:p>
  </w:endnote>
  <w:endnote w:id="183">
    <w:p>
      <w:pPr>
        <w:pStyle w:val="EndnoteText"/>
      </w:pPr>
      <w:r>
        <w:rPr>
          <w:rStyle w:val="EndnoteReference"/>
          <w:sz w:val="19"/>
          <w:szCs w:val="19"/>
        </w:rPr>
        <w:endnoteRef/>
      </w:r>
      <w:r>
        <w:t xml:space="preserve"> </w:t>
      </w:r>
      <w:r>
        <w:rPr>
          <w:i/>
        </w:rPr>
        <w:t>Id</w:t>
      </w:r>
      <w:r>
        <w:t>.</w:t>
      </w:r>
    </w:p>
  </w:endnote>
  <w:endnote w:id="184">
    <w:p>
      <w:pPr>
        <w:pStyle w:val="EndnoteText"/>
      </w:pPr>
      <w:r>
        <w:rPr>
          <w:rStyle w:val="EndnoteReference"/>
          <w:sz w:val="19"/>
          <w:szCs w:val="19"/>
        </w:rPr>
        <w:endnoteRef/>
      </w:r>
      <w:r>
        <w:t xml:space="preserve"> </w:t>
      </w:r>
      <w:r>
        <w:rPr>
          <w:i/>
        </w:rPr>
        <w:t>Id</w:t>
      </w:r>
      <w:r>
        <w:t>.</w:t>
      </w:r>
    </w:p>
  </w:endnote>
  <w:endnote w:id="185">
    <w:p>
      <w:pPr>
        <w:pStyle w:val="EndnoteText"/>
      </w:pPr>
      <w:r>
        <w:rPr>
          <w:rStyle w:val="EndnoteReference"/>
          <w:sz w:val="19"/>
          <w:szCs w:val="19"/>
        </w:rPr>
        <w:endnoteRef/>
      </w:r>
      <w:r>
        <w:t xml:space="preserve"> No. 1:09-CV-101 (M.D. Ga. May 26, 2011).</w:t>
      </w:r>
    </w:p>
  </w:endnote>
  <w:endnote w:id="186">
    <w:p>
      <w:pPr>
        <w:pStyle w:val="EndnoteText"/>
      </w:pPr>
      <w:r>
        <w:rPr>
          <w:rStyle w:val="EndnoteReference"/>
          <w:rFonts w:ascii="Century Schoolbook" w:hAnsi="Century Schoolbook"/>
          <w:sz w:val="19"/>
          <w:szCs w:val="19"/>
        </w:rPr>
        <w:endnoteRef/>
      </w:r>
      <w:r>
        <w:t xml:space="preserve"> Id.</w:t>
      </w:r>
    </w:p>
  </w:endnote>
  <w:endnote w:id="187">
    <w:p>
      <w:pPr>
        <w:pStyle w:val="EndnoteText"/>
      </w:pPr>
      <w:r>
        <w:rPr>
          <w:rStyle w:val="EndnoteReference"/>
          <w:sz w:val="19"/>
          <w:szCs w:val="19"/>
        </w:rPr>
        <w:endnoteRef/>
      </w:r>
      <w:r>
        <w:t xml:space="preserve"> </w:t>
      </w:r>
      <w:r>
        <w:rPr>
          <w:i/>
        </w:rPr>
        <w:t>Id</w:t>
      </w:r>
      <w:r>
        <w:t>.</w:t>
      </w:r>
    </w:p>
  </w:endnote>
  <w:endnote w:id="188">
    <w:p>
      <w:pPr>
        <w:pStyle w:val="EndnoteText"/>
      </w:pPr>
      <w:r>
        <w:rPr>
          <w:rStyle w:val="EndnoteReference"/>
          <w:rFonts w:ascii="Century Schoolbook" w:hAnsi="Century Schoolbook"/>
          <w:sz w:val="19"/>
          <w:szCs w:val="19"/>
        </w:rPr>
        <w:endnoteRef/>
      </w:r>
      <w:r>
        <w:t xml:space="preserve"> 49 U.S.C. § 14504 (Repealed 2008).</w:t>
      </w:r>
    </w:p>
  </w:endnote>
  <w:endnote w:id="189">
    <w:p>
      <w:pPr>
        <w:pStyle w:val="EndnoteText"/>
      </w:pPr>
      <w:r>
        <w:rPr>
          <w:rStyle w:val="EndnoteReference"/>
          <w:sz w:val="19"/>
          <w:szCs w:val="19"/>
        </w:rPr>
        <w:endnoteRef/>
      </w:r>
      <w:r>
        <w:t xml:space="preserve"> 40-2-140 (Supp. 2013).</w:t>
      </w:r>
    </w:p>
  </w:endnote>
  <w:endnote w:id="190">
    <w:p>
      <w:pPr>
        <w:pStyle w:val="EndnoteText"/>
      </w:pPr>
      <w:r>
        <w:rPr>
          <w:rStyle w:val="EndnoteReference"/>
          <w:rFonts w:ascii="Century Schoolbook" w:hAnsi="Century Schoolbook"/>
          <w:sz w:val="19"/>
          <w:szCs w:val="19"/>
        </w:rPr>
        <w:endnoteRef/>
      </w:r>
      <w:r>
        <w:t xml:space="preserve"> The Georgia General Assembly also amended former O.C.G.A. section 46-7-12.1 (Repealed 2012) in its entirety so that it no longer addressed direct actions against insurers.  At that time, former O.C.G.A. section 46-7-12 (Repealed 2012) remained intact insofar as it applied to insurers of </w:t>
      </w:r>
      <w:r>
        <w:rPr>
          <w:i/>
        </w:rPr>
        <w:t>intrastate</w:t>
      </w:r>
      <w:r>
        <w:t xml:space="preserve"> motor carriers of household goods and passengers. </w:t>
      </w:r>
    </w:p>
  </w:endnote>
  <w:endnote w:id="191">
    <w:p>
      <w:pPr>
        <w:pStyle w:val="EndnoteText"/>
        <w:rPr>
          <w:sz w:val="21"/>
          <w:szCs w:val="21"/>
        </w:rPr>
      </w:pPr>
      <w:r>
        <w:rPr>
          <w:rStyle w:val="EndnoteReference"/>
          <w:sz w:val="21"/>
          <w:szCs w:val="21"/>
        </w:rPr>
        <w:endnoteRef/>
      </w:r>
      <w:r>
        <w:rPr>
          <w:sz w:val="21"/>
          <w:szCs w:val="21"/>
        </w:rPr>
        <w:t xml:space="preserve"> </w:t>
      </w:r>
      <w:r>
        <w:t>O.C.G.A. § 40-2-140 was amended in the 2013 legislative session.  Effective July 1, 2014, the Department of Public Safety will be responsible for the administration of the federal UCR in Georgia.</w:t>
      </w:r>
    </w:p>
    <w:p>
      <w:pPr>
        <w:pStyle w:val="EndnoteText"/>
      </w:pPr>
      <w:r>
        <w:t xml:space="preserve">   Under current regulations of the Department of Revenue, the burden is on the insurer to provide proof of insurance regarding the motor carrier.  Under </w:t>
      </w:r>
      <w:r>
        <w:rPr>
          <w:smallCaps/>
        </w:rPr>
        <w:t>Ga. Comp. R. &amp; Regs.</w:t>
      </w:r>
      <w:r>
        <w:t xml:space="preserve"> 560-10-31-.04 the insurer’s obligations are:</w:t>
      </w:r>
    </w:p>
    <w:p>
      <w:pPr>
        <w:pStyle w:val="EndnoteText"/>
      </w:pPr>
      <w:r>
        <w:t xml:space="preserve">With respect to an </w:t>
      </w:r>
      <w:r>
        <w:rPr>
          <w:i/>
        </w:rPr>
        <w:t>interstate</w:t>
      </w:r>
      <w:r>
        <w:t xml:space="preserve"> carrier, an insurer’s obligations are fulfilled if the insurer filed proof of insurance with the Federal Motor Carrier Safety Administration.</w:t>
      </w:r>
    </w:p>
    <w:p>
      <w:pPr>
        <w:pStyle w:val="EndnoteText"/>
      </w:pPr>
      <w:r>
        <w:t xml:space="preserve">With respect to an </w:t>
      </w:r>
      <w:r>
        <w:rPr>
          <w:i/>
        </w:rPr>
        <w:t xml:space="preserve">intrastate </w:t>
      </w:r>
      <w:r>
        <w:t xml:space="preserve">carrier, an insurer’s obligations may be filled by filing electronically with the Department of Public Safety, by filing a certificate of insurance (Form E) with the Department, </w:t>
      </w:r>
      <w:r>
        <w:rPr>
          <w:i/>
        </w:rPr>
        <w:t>or</w:t>
      </w:r>
      <w:r>
        <w:t xml:space="preserve"> by filing proof of insurance with the Federal Motor Carrier Safety Administration.</w:t>
      </w:r>
    </w:p>
  </w:endnote>
  <w:endnote w:id="192">
    <w:p>
      <w:pPr>
        <w:pStyle w:val="EndnoteText"/>
      </w:pPr>
      <w:r>
        <w:rPr>
          <w:rStyle w:val="EndnoteReference"/>
          <w:rFonts w:ascii="Century Schoolbook" w:hAnsi="Century Schoolbook"/>
          <w:sz w:val="19"/>
          <w:szCs w:val="19"/>
        </w:rPr>
        <w:endnoteRef/>
      </w:r>
      <w:r>
        <w:t xml:space="preserve"> Under Georgia rules of statutory construction, “a statute must be construed in relation to other statutes of which it is a part, and all statutes relating to the same subject-matter, briefly called statutes ‘</w:t>
      </w:r>
      <w:r>
        <w:rPr>
          <w:i/>
        </w:rPr>
        <w:t>in pari materia</w:t>
      </w:r>
      <w:r>
        <w:t xml:space="preserve">,’ are construed together, and harmonized wherever possible so as to ascertain the legislative intendment and give effect thereto.” </w:t>
      </w:r>
      <w:r>
        <w:rPr>
          <w:i/>
        </w:rPr>
        <w:t>Monticello, Ltd. v. City of Atlanta</w:t>
      </w:r>
      <w:r>
        <w:t xml:space="preserve">, 231 Ga. App. 382, 383, 499 S.E. 2d 157, 159 (1998).    </w:t>
      </w:r>
    </w:p>
    <w:p>
      <w:pPr>
        <w:pStyle w:val="EndnoteText"/>
      </w:pPr>
      <w:r>
        <w:t xml:space="preserve">Georgia rules of statutory construction further dictate that statutes must be read as a whole and that the express mention of one thing in a statute implies the exclusion of other things.  </w:t>
      </w:r>
      <w:r>
        <w:rPr>
          <w:i/>
        </w:rPr>
        <w:t>Walker Cnty.</w:t>
      </w:r>
      <w:r>
        <w:t xml:space="preserve"> v. Tri-State Crematory, 292 Ga. App. 411, 415, 664 S.E.2d 788, 791 (2008) (holding that “in construing language in any one part of a statute, a court should consider the entire scheme of the statute and attempt to gather the legislative intent from the statute as whole.”); </w:t>
      </w:r>
      <w:r>
        <w:rPr>
          <w:i/>
        </w:rPr>
        <w:t>see</w:t>
      </w:r>
      <w:r>
        <w:t xml:space="preserve"> </w:t>
      </w:r>
      <w:r>
        <w:rPr>
          <w:i/>
        </w:rPr>
        <w:t>also</w:t>
      </w:r>
      <w:r>
        <w:t xml:space="preserve"> </w:t>
      </w:r>
      <w:r>
        <w:rPr>
          <w:i/>
        </w:rPr>
        <w:t>Rodgers v. Gen. Motors Corp.,</w:t>
      </w:r>
      <w:r>
        <w:t xml:space="preserve"> 277 Ga. App. 547, 550, 627 S.E.2d 151, 154 (2006) (applying the rule of “</w:t>
      </w:r>
      <w:r>
        <w:rPr>
          <w:i/>
        </w:rPr>
        <w:t>inclusion unius, exclusion alterius</w:t>
      </w:r>
      <w:r>
        <w:t xml:space="preserve">.”). </w:t>
      </w:r>
    </w:p>
  </w:endnote>
  <w:endnote w:id="193">
    <w:p>
      <w:pPr>
        <w:pStyle w:val="EndnoteText"/>
      </w:pPr>
      <w:r>
        <w:rPr>
          <w:rStyle w:val="EndnoteReference"/>
          <w:sz w:val="19"/>
          <w:szCs w:val="19"/>
        </w:rPr>
        <w:endnoteRef/>
      </w:r>
      <w:r>
        <w:t xml:space="preserve"> O.C.G.A. § 40-1-126 (Supp. 2013).</w:t>
      </w:r>
    </w:p>
  </w:endnote>
  <w:endnote w:id="194">
    <w:p>
      <w:pPr>
        <w:pStyle w:val="EndnoteText"/>
      </w:pPr>
      <w:r>
        <w:rPr>
          <w:rStyle w:val="EndnoteReference"/>
          <w:sz w:val="19"/>
          <w:szCs w:val="19"/>
        </w:rPr>
        <w:endnoteRef/>
      </w:r>
      <w:r>
        <w:t xml:space="preserve"> </w:t>
      </w:r>
      <w:r>
        <w:rPr>
          <w:i/>
        </w:rPr>
        <w:t>Id</w:t>
      </w:r>
      <w:r>
        <w:t xml:space="preserve">. </w:t>
      </w:r>
    </w:p>
  </w:endnote>
  <w:endnote w:id="195">
    <w:p>
      <w:pPr>
        <w:pStyle w:val="EndnoteText"/>
      </w:pPr>
      <w:r>
        <w:rPr>
          <w:rStyle w:val="EndnoteReference"/>
          <w:rFonts w:ascii="Century Schoolbook" w:hAnsi="Century Schoolbook"/>
          <w:sz w:val="19"/>
          <w:szCs w:val="19"/>
        </w:rPr>
        <w:endnoteRef/>
      </w:r>
      <w:r>
        <w:t xml:space="preserve"> </w:t>
      </w:r>
      <w:r>
        <w:rPr>
          <w:i/>
        </w:rPr>
        <w:t xml:space="preserve">Clark v. Irvin, </w:t>
      </w:r>
      <w:r>
        <w:t xml:space="preserve">No. 1:09-CV-101 (M.D. Ga. May 26, 2011).  </w:t>
      </w:r>
    </w:p>
  </w:endnote>
  <w:endnote w:id="196">
    <w:p>
      <w:pPr>
        <w:pStyle w:val="EndnoteText"/>
      </w:pPr>
      <w:r>
        <w:rPr>
          <w:rStyle w:val="EndnoteReference"/>
          <w:rFonts w:ascii="Century Schoolbook" w:hAnsi="Century Schoolbook"/>
          <w:sz w:val="19"/>
          <w:szCs w:val="19"/>
        </w:rPr>
        <w:endnoteRef/>
      </w:r>
      <w:r>
        <w:t xml:space="preserve"> 49 U.S.C. § 14504 (Repealed 2008).</w:t>
      </w:r>
    </w:p>
  </w:endnote>
  <w:endnote w:id="197">
    <w:p>
      <w:pPr>
        <w:pStyle w:val="EndnoteText"/>
      </w:pPr>
      <w:r>
        <w:rPr>
          <w:rStyle w:val="EndnoteReference"/>
          <w:rFonts w:ascii="Century Schoolbook" w:hAnsi="Century Schoolbook"/>
          <w:sz w:val="19"/>
          <w:szCs w:val="19"/>
        </w:rPr>
        <w:endnoteRef/>
      </w:r>
      <w:r>
        <w:t xml:space="preserve"> </w:t>
      </w:r>
      <w:r>
        <w:rPr>
          <w:i/>
        </w:rPr>
        <w:t>Bramlett v. Bajric</w:t>
      </w:r>
      <w:r>
        <w:t>,</w:t>
      </w:r>
      <w:r>
        <w:rPr>
          <w:i/>
        </w:rPr>
        <w:t xml:space="preserve"> </w:t>
      </w:r>
      <w:r>
        <w:t>No. 1:12–CV–2148–TWT, 2012 WL 4951213 (N.D. Ga. 2012).</w:t>
      </w:r>
    </w:p>
  </w:endnote>
  <w:endnote w:id="198">
    <w:p>
      <w:pPr>
        <w:pStyle w:val="EndnoteText"/>
      </w:pPr>
      <w:r>
        <w:rPr>
          <w:rStyle w:val="EndnoteReference"/>
          <w:rFonts w:ascii="Century Schoolbook" w:hAnsi="Century Schoolbook"/>
          <w:sz w:val="19"/>
          <w:szCs w:val="19"/>
        </w:rPr>
        <w:endnoteRef/>
      </w:r>
      <w:r>
        <w:t xml:space="preserve"> </w:t>
      </w:r>
      <w:r>
        <w:rPr>
          <w:i/>
        </w:rPr>
        <w:t xml:space="preserve">Id. </w:t>
      </w:r>
      <w:r>
        <w:t>at *2.</w:t>
      </w:r>
    </w:p>
  </w:endnote>
  <w:endnote w:id="199">
    <w:p>
      <w:pPr>
        <w:pStyle w:val="EndnoteText"/>
      </w:pPr>
      <w:r>
        <w:rPr>
          <w:rStyle w:val="EndnoteReference"/>
          <w:rFonts w:ascii="Century Schoolbook" w:hAnsi="Century Schoolbook"/>
          <w:sz w:val="19"/>
          <w:szCs w:val="19"/>
        </w:rPr>
        <w:endnoteRef/>
      </w:r>
      <w:r>
        <w:t xml:space="preserve"> </w:t>
      </w:r>
      <w:r>
        <w:rPr>
          <w:i/>
        </w:rPr>
        <w:t xml:space="preserve">Id. </w:t>
      </w:r>
      <w:r>
        <w:t>at *3.</w:t>
      </w:r>
    </w:p>
  </w:endnote>
  <w:endnote w:id="200">
    <w:p>
      <w:pPr>
        <w:pStyle w:val="EndnoteText"/>
      </w:pPr>
      <w:r>
        <w:rPr>
          <w:rStyle w:val="EndnoteReference"/>
          <w:sz w:val="19"/>
          <w:szCs w:val="19"/>
        </w:rPr>
        <w:endnoteRef/>
      </w:r>
      <w:r>
        <w:t xml:space="preserve"> O.C.G.A. §§ 40-1-50 to -57 (Supp. 2013).</w:t>
      </w:r>
    </w:p>
  </w:endnote>
  <w:endnote w:id="201">
    <w:p>
      <w:pPr>
        <w:pStyle w:val="EndnoteText"/>
      </w:pPr>
      <w:r>
        <w:rPr>
          <w:rStyle w:val="EndnoteReference"/>
          <w:sz w:val="19"/>
          <w:szCs w:val="19"/>
        </w:rPr>
        <w:endnoteRef/>
      </w:r>
      <w:r>
        <w:t xml:space="preserve"> O.C.G.A. § 40-1-52.</w:t>
      </w:r>
    </w:p>
  </w:endnote>
  <w:endnote w:id="202">
    <w:p>
      <w:pPr>
        <w:pStyle w:val="EndnoteText"/>
      </w:pPr>
      <w:r>
        <w:rPr>
          <w:rStyle w:val="EndnoteReference"/>
          <w:sz w:val="19"/>
          <w:szCs w:val="19"/>
        </w:rPr>
        <w:endnoteRef/>
      </w:r>
      <w:r>
        <w:t xml:space="preserve"> Id.</w:t>
      </w:r>
    </w:p>
  </w:endnote>
  <w:endnote w:id="203">
    <w:p>
      <w:pPr>
        <w:pStyle w:val="EndnoteText"/>
      </w:pPr>
      <w:r>
        <w:rPr>
          <w:rStyle w:val="EndnoteReference"/>
          <w:sz w:val="19"/>
          <w:szCs w:val="19"/>
        </w:rPr>
        <w:endnoteRef/>
      </w:r>
      <w:r>
        <w:t xml:space="preserve"> O.C.G.A. § 40-1-57.</w:t>
      </w:r>
    </w:p>
  </w:endnote>
  <w:endnote w:id="204">
    <w:p>
      <w:pPr>
        <w:pStyle w:val="EndnoteText"/>
      </w:pPr>
      <w:r>
        <w:rPr>
          <w:rStyle w:val="EndnoteReference"/>
          <w:sz w:val="19"/>
          <w:szCs w:val="19"/>
        </w:rPr>
        <w:endnoteRef/>
      </w:r>
      <w:r>
        <w:t xml:space="preserve"> O.C.G.A. § 40-1-101 (Supp. 2013).</w:t>
      </w:r>
    </w:p>
  </w:endnote>
  <w:endnote w:id="205">
    <w:p>
      <w:pPr>
        <w:pStyle w:val="EndnoteText"/>
      </w:pPr>
      <w:r>
        <w:rPr>
          <w:rStyle w:val="EndnoteReference"/>
          <w:sz w:val="19"/>
          <w:szCs w:val="19"/>
        </w:rPr>
        <w:endnoteRef/>
      </w:r>
      <w:r>
        <w:t xml:space="preserve"> O.C.G.A. §S 40-1-101(d); -112. </w:t>
      </w:r>
    </w:p>
  </w:endnote>
  <w:endnote w:id="206">
    <w:p>
      <w:pPr>
        <w:pStyle w:val="EndnoteText"/>
      </w:pPr>
      <w:r>
        <w:rPr>
          <w:rStyle w:val="EndnoteReference"/>
          <w:sz w:val="19"/>
          <w:szCs w:val="19"/>
        </w:rPr>
        <w:endnoteRef/>
      </w:r>
      <w:r>
        <w:t xml:space="preserve"> O.C.G.A. § 40-1-112.</w:t>
      </w:r>
    </w:p>
  </w:endnote>
  <w:endnote w:id="207">
    <w:p>
      <w:pPr>
        <w:pStyle w:val="EndnoteText"/>
      </w:pPr>
      <w:r>
        <w:rPr>
          <w:rStyle w:val="EndnoteReference"/>
          <w:sz w:val="19"/>
          <w:szCs w:val="19"/>
        </w:rPr>
        <w:endnoteRef/>
      </w:r>
      <w:r>
        <w:t xml:space="preserve"> O.C.G.A. § 40-1-103 (Supp. 2013).</w:t>
      </w:r>
    </w:p>
  </w:endnote>
  <w:endnote w:id="208">
    <w:p>
      <w:pPr>
        <w:pStyle w:val="EndnoteText"/>
      </w:pPr>
      <w:r>
        <w:rPr>
          <w:rStyle w:val="EndnoteReference"/>
          <w:sz w:val="19"/>
          <w:szCs w:val="19"/>
        </w:rPr>
        <w:endnoteRef/>
      </w:r>
      <w:r>
        <w:t xml:space="preserve"> O.C.G.A. §§  40-1-52, -140.</w:t>
      </w:r>
    </w:p>
  </w:endnote>
  <w:endnote w:id="209">
    <w:p>
      <w:pPr>
        <w:pStyle w:val="EndnoteText"/>
      </w:pPr>
      <w:r>
        <w:rPr>
          <w:rStyle w:val="EndnoteReference"/>
          <w:rFonts w:ascii="Century Schoolbook" w:hAnsi="Century Schoolbook"/>
          <w:sz w:val="19"/>
          <w:szCs w:val="19"/>
        </w:rPr>
        <w:endnoteRef/>
      </w:r>
      <w:r>
        <w:t xml:space="preserve"> </w:t>
      </w:r>
      <w:r>
        <w:rPr>
          <w:i/>
        </w:rPr>
        <w:t>Thomas v. Bobby Stevens Hauling Contractors, Inc.</w:t>
      </w:r>
      <w:r>
        <w:t xml:space="preserve">, 165 Ga. App. 710, 713-14, 302 S.E.2d 585, 588 (1983).  </w:t>
      </w:r>
    </w:p>
  </w:endnote>
  <w:endnote w:id="210">
    <w:p>
      <w:pPr>
        <w:pStyle w:val="EndnoteText"/>
      </w:pPr>
      <w:r>
        <w:rPr>
          <w:rStyle w:val="EndnoteReference"/>
          <w:rFonts w:ascii="Century Schoolbook" w:hAnsi="Century Schoolbook"/>
          <w:sz w:val="19"/>
          <w:szCs w:val="19"/>
        </w:rPr>
        <w:endnoteRef/>
      </w:r>
      <w:r>
        <w:t xml:space="preserve"> </w:t>
      </w:r>
      <w:r>
        <w:rPr>
          <w:i/>
        </w:rPr>
        <w:t>Id.</w:t>
      </w:r>
      <w:r>
        <w:t xml:space="preserve"> at 711, 302 S.E.2d at 587.</w:t>
      </w:r>
    </w:p>
  </w:endnote>
  <w:endnote w:id="211">
    <w:p>
      <w:pPr>
        <w:pStyle w:val="EndnoteText"/>
      </w:pPr>
      <w:r>
        <w:rPr>
          <w:rStyle w:val="EndnoteReference"/>
          <w:rFonts w:ascii="Century Schoolbook" w:hAnsi="Century Schoolbook"/>
          <w:sz w:val="19"/>
          <w:szCs w:val="19"/>
        </w:rPr>
        <w:endnoteRef/>
      </w:r>
      <w:r>
        <w:t xml:space="preserve"> </w:t>
      </w:r>
      <w:r>
        <w:rPr>
          <w:i/>
        </w:rPr>
        <w:t>Id.</w:t>
      </w:r>
      <w:r>
        <w:t xml:space="preserve">  </w:t>
      </w:r>
    </w:p>
  </w:endnote>
  <w:endnote w:id="212">
    <w:p>
      <w:pPr>
        <w:pStyle w:val="EndnoteText"/>
      </w:pPr>
      <w:r>
        <w:rPr>
          <w:rStyle w:val="EndnoteReference"/>
          <w:rFonts w:ascii="Century Schoolbook" w:hAnsi="Century Schoolbook"/>
          <w:sz w:val="19"/>
          <w:szCs w:val="19"/>
        </w:rPr>
        <w:endnoteRef/>
      </w:r>
      <w:r>
        <w:rPr>
          <w:i/>
        </w:rPr>
        <w:t xml:space="preserve"> Id</w:t>
      </w:r>
      <w:r>
        <w:t>. at 714, 302 S.E.2d at 589.</w:t>
      </w:r>
    </w:p>
  </w:endnote>
  <w:endnote w:id="213">
    <w:p>
      <w:pPr>
        <w:pStyle w:val="EndnoteText"/>
      </w:pPr>
      <w:r>
        <w:rPr>
          <w:rStyle w:val="EndnoteReference"/>
          <w:rFonts w:ascii="Century Schoolbook" w:hAnsi="Century Schoolbook"/>
          <w:sz w:val="19"/>
          <w:szCs w:val="19"/>
        </w:rPr>
        <w:endnoteRef/>
      </w:r>
      <w:r>
        <w:t xml:space="preserve"> O.C.G.A. § 33-4-1.  </w:t>
      </w:r>
    </w:p>
  </w:endnote>
  <w:endnote w:id="214">
    <w:p>
      <w:pPr>
        <w:pStyle w:val="EndnoteText"/>
      </w:pPr>
      <w:r>
        <w:rPr>
          <w:rStyle w:val="EndnoteReference"/>
          <w:sz w:val="19"/>
          <w:szCs w:val="19"/>
        </w:rPr>
        <w:endnoteRef/>
      </w:r>
      <w:r>
        <w:t xml:space="preserve"> </w:t>
      </w:r>
      <w:r>
        <w:rPr>
          <w:i/>
          <w:iCs/>
        </w:rPr>
        <w:t>Glenn McClendon Trucking Co. v. Williams</w:t>
      </w:r>
      <w:r>
        <w:t>, 183 Ga. App. 508, 510, 359 S.E.2d 351, 354 (1987).</w:t>
      </w:r>
    </w:p>
  </w:endnote>
  <w:endnote w:id="215">
    <w:p>
      <w:pPr>
        <w:pStyle w:val="EndnoteText"/>
      </w:pPr>
      <w:r>
        <w:rPr>
          <w:rStyle w:val="EndnoteReference"/>
          <w:rFonts w:ascii="Century Schoolbook" w:hAnsi="Century Schoolbook"/>
          <w:sz w:val="19"/>
          <w:szCs w:val="19"/>
        </w:rPr>
        <w:endnoteRef/>
      </w:r>
      <w:r>
        <w:t xml:space="preserve"> 246 Ga. 746, 272 S.E. 702 (1980).  </w:t>
      </w:r>
    </w:p>
  </w:endnote>
  <w:endnote w:id="216">
    <w:p>
      <w:pPr>
        <w:pStyle w:val="EndnoteText"/>
      </w:pPr>
      <w:r>
        <w:rPr>
          <w:rStyle w:val="EndnoteReference"/>
          <w:rFonts w:ascii="Century Schoolbook" w:hAnsi="Century Schoolbook"/>
          <w:sz w:val="19"/>
          <w:szCs w:val="19"/>
        </w:rPr>
        <w:endnoteRef/>
      </w:r>
      <w:r>
        <w:t xml:space="preserve"> </w:t>
      </w:r>
      <w:r>
        <w:rPr>
          <w:i/>
        </w:rPr>
        <w:t>Id.</w:t>
      </w:r>
      <w:r>
        <w:t xml:space="preserve"> at 747, 272 S.E.2d at 703.  </w:t>
      </w:r>
    </w:p>
  </w:endnote>
  <w:endnote w:id="217">
    <w:p>
      <w:pPr>
        <w:pStyle w:val="EndnoteText"/>
      </w:pPr>
      <w:r>
        <w:rPr>
          <w:rStyle w:val="EndnoteReference"/>
          <w:rFonts w:ascii="Century Schoolbook" w:hAnsi="Century Schoolbook"/>
          <w:sz w:val="19"/>
          <w:szCs w:val="19"/>
        </w:rPr>
        <w:endnoteRef/>
      </w:r>
      <w:r>
        <w:t xml:space="preserve"> Id.</w:t>
      </w:r>
    </w:p>
  </w:endnote>
  <w:endnote w:id="218">
    <w:p>
      <w:pPr>
        <w:pStyle w:val="EndnoteText"/>
      </w:pPr>
      <w:r>
        <w:rPr>
          <w:rStyle w:val="EndnoteReference"/>
          <w:rFonts w:ascii="Century Schoolbook" w:hAnsi="Century Schoolbook"/>
          <w:sz w:val="19"/>
          <w:szCs w:val="19"/>
        </w:rPr>
        <w:endnoteRef/>
      </w:r>
      <w:r>
        <w:t xml:space="preserve"> 269 Ga. 449, 499 S.E.2d 638 (1998).</w:t>
      </w:r>
    </w:p>
  </w:endnote>
  <w:endnote w:id="219">
    <w:p>
      <w:pPr>
        <w:pStyle w:val="EndnoteText"/>
      </w:pPr>
      <w:r>
        <w:rPr>
          <w:rStyle w:val="EndnoteReference"/>
          <w:rFonts w:ascii="Century Schoolbook" w:hAnsi="Century Schoolbook"/>
          <w:sz w:val="19"/>
          <w:szCs w:val="19"/>
        </w:rPr>
        <w:endnoteRef/>
      </w:r>
      <w:r>
        <w:t xml:space="preserve"> </w:t>
      </w:r>
      <w:r>
        <w:rPr>
          <w:i/>
        </w:rPr>
        <w:t>Id</w:t>
      </w:r>
      <w:r>
        <w:t xml:space="preserve">. at 450, 499 S.E. at 639. </w:t>
      </w:r>
    </w:p>
  </w:endnote>
  <w:endnote w:id="220">
    <w:p>
      <w:pPr>
        <w:pStyle w:val="EndnoteText"/>
      </w:pPr>
      <w:r>
        <w:rPr>
          <w:rStyle w:val="EndnoteReference"/>
          <w:rFonts w:ascii="Century Schoolbook" w:hAnsi="Century Schoolbook"/>
          <w:sz w:val="19"/>
          <w:szCs w:val="19"/>
        </w:rPr>
        <w:endnoteRef/>
      </w:r>
      <w:r>
        <w:t xml:space="preserve"> </w:t>
      </w:r>
      <w:r>
        <w:rPr>
          <w:i/>
        </w:rPr>
        <w:t>Id.</w:t>
      </w:r>
    </w:p>
  </w:endnote>
  <w:endnote w:id="221">
    <w:p>
      <w:pPr>
        <w:pStyle w:val="EndnoteText"/>
      </w:pPr>
      <w:r>
        <w:rPr>
          <w:rStyle w:val="EndnoteReference"/>
          <w:rFonts w:ascii="Century Schoolbook" w:hAnsi="Century Schoolbook"/>
          <w:sz w:val="19"/>
          <w:szCs w:val="19"/>
        </w:rPr>
        <w:endnoteRef/>
      </w:r>
      <w:r>
        <w:t xml:space="preserve"> </w:t>
      </w:r>
      <w:r>
        <w:rPr>
          <w:i/>
        </w:rPr>
        <w:t xml:space="preserve">Davalos, </w:t>
      </w:r>
      <w:r>
        <w:t xml:space="preserve">246 Ga. at 746, 272 S.E. at 703.  </w:t>
      </w:r>
    </w:p>
  </w:endnote>
  <w:endnote w:id="222">
    <w:p>
      <w:pPr>
        <w:pStyle w:val="EndnoteText"/>
      </w:pPr>
      <w:r>
        <w:rPr>
          <w:rStyle w:val="EndnoteReference"/>
          <w:sz w:val="19"/>
          <w:szCs w:val="19"/>
        </w:rPr>
        <w:endnoteRef/>
      </w:r>
      <w:r>
        <w:t xml:space="preserve"> O.C.G.A. § 40-1-100 (Supp. 2013).</w:t>
      </w:r>
    </w:p>
  </w:endnote>
  <w:endnote w:id="223">
    <w:p>
      <w:pPr>
        <w:pStyle w:val="EndnoteText"/>
      </w:pPr>
      <w:r>
        <w:rPr>
          <w:rStyle w:val="EndnoteReference"/>
          <w:rFonts w:eastAsia="MS Mincho"/>
        </w:rPr>
        <w:endnoteRef/>
      </w:r>
      <w:r>
        <w:t xml:space="preserve"> Nat’l Union Fire Ins. Co. v. Sorrow, 202 Ga. App. 517, 414 S.E. 2d 731 (1992) (holding that a vehicle that was not held out for hire to the public and was not used or hired by the public for the transportation of goods or people was not a motor common carrier or motor contract carrier as defined by the Motor Carrier Act in effect at the time of the accident and, therefore, there could be no direct action against the insurer of the vehicle).</w:t>
      </w:r>
    </w:p>
  </w:endnote>
  <w:endnote w:id="224">
    <w:p>
      <w:pPr>
        <w:pStyle w:val="EndnoteText"/>
      </w:pPr>
      <w:r>
        <w:rPr>
          <w:rStyle w:val="EndnoteReference"/>
          <w:rFonts w:eastAsia="MS Mincho"/>
        </w:rPr>
        <w:endnoteRef/>
      </w:r>
      <w:r>
        <w:t xml:space="preserve"> Under prior versions of the Motor Carrier Act, motor vehicles engaged exclusively in the transportation of agricultural or dairy products, or both, between farm, market, gin, warehouse, or mill were also exempt carriers. See former O.C.G.A. § 46-1-1 (9)(C)(x) (repealed 2011). This exemption, however, is no longer included in the Georgia Motor Carrier Act of 2012. See O.C.G.A. § 40-1-100(12)(B).</w:t>
      </w:r>
    </w:p>
  </w:endnote>
  <w:endnote w:id="225">
    <w:p>
      <w:pPr>
        <w:pStyle w:val="EndnoteText"/>
      </w:pPr>
      <w:r>
        <w:rPr>
          <w:rStyle w:val="EndnoteReference"/>
          <w:rFonts w:eastAsia="MS Mincho"/>
        </w:rPr>
        <w:endnoteRef/>
      </w:r>
      <w:r>
        <w:rPr>
          <w:rStyle w:val="EndnoteReference"/>
          <w:rFonts w:eastAsia="MS Mincho"/>
        </w:rPr>
        <w:t xml:space="preserve"> </w:t>
      </w:r>
      <w:r>
        <w:t>Lewis v. Hays Trucking, Inc., 701 F. Supp. 2d 1300 (N.D. Ga. 2010); Bailey v. Occidental Fire &amp; Cas. Co., 193 Ga. App. 710, 388 S.E.2d 899 (1989).</w:t>
      </w:r>
    </w:p>
  </w:endnote>
  <w:endnote w:id="226">
    <w:p>
      <w:pPr>
        <w:pStyle w:val="EndnoteText"/>
      </w:pPr>
      <w:r>
        <w:rPr>
          <w:rStyle w:val="EndnoteReference"/>
          <w:rFonts w:eastAsia="MS Mincho"/>
        </w:rPr>
        <w:endnoteRef/>
      </w:r>
      <w:r>
        <w:t xml:space="preserve"> Smith v. Commercial Transp., Inc., 220 Ga. App. 866, 470 S.E.2d 446 (1996).</w:t>
      </w:r>
    </w:p>
  </w:endnote>
  <w:endnote w:id="227">
    <w:p>
      <w:pPr>
        <w:pStyle w:val="EndnoteText"/>
      </w:pPr>
      <w:r>
        <w:rPr>
          <w:rStyle w:val="EndnoteReference"/>
          <w:rFonts w:eastAsia="MS Mincho"/>
        </w:rPr>
        <w:endnoteRef/>
      </w:r>
      <w:r>
        <w:t xml:space="preserve"> Jackson v. Sluder, 256 Ga. App. 812, 569 S.E.2d 893 (2002).</w:t>
      </w:r>
    </w:p>
  </w:endnote>
  <w:endnote w:id="228">
    <w:p>
      <w:pPr>
        <w:pStyle w:val="EndnoteText"/>
      </w:pPr>
      <w:r>
        <w:rPr>
          <w:rStyle w:val="EndnoteReference"/>
          <w:rFonts w:eastAsia="MS Mincho"/>
        </w:rPr>
        <w:endnoteRef/>
      </w:r>
      <w:r>
        <w:t xml:space="preserve"> Id. at 818, 569 S.E.2d at 898.</w:t>
      </w:r>
    </w:p>
  </w:endnote>
  <w:endnote w:id="229">
    <w:p>
      <w:pPr>
        <w:pStyle w:val="EndnoteText"/>
      </w:pPr>
      <w:r>
        <w:rPr>
          <w:rStyle w:val="EndnoteReference"/>
          <w:rFonts w:eastAsia="MS Mincho"/>
        </w:rPr>
        <w:endnoteRef/>
      </w:r>
      <w:r>
        <w:t xml:space="preserve"> Johnson v. Woodard, 208 Ga. App. 41, 429 S.E.2d 701 (1993).</w:t>
      </w:r>
    </w:p>
  </w:endnote>
  <w:endnote w:id="230">
    <w:p>
      <w:pPr>
        <w:pStyle w:val="EndnoteText"/>
      </w:pPr>
      <w:r>
        <w:rPr>
          <w:rStyle w:val="EndnoteReference"/>
          <w:rFonts w:eastAsia="MS Mincho"/>
        </w:rPr>
        <w:endnoteRef/>
      </w:r>
      <w:r>
        <w:t xml:space="preserve"> Id. at 43, 429 s.E.2d at 703.</w:t>
      </w:r>
    </w:p>
  </w:endnote>
  <w:endnote w:id="231">
    <w:p>
      <w:pPr>
        <w:pStyle w:val="EndnoteText"/>
        <w:jc w:val="both"/>
      </w:pPr>
      <w:r>
        <w:rPr>
          <w:rStyle w:val="EndnoteReference"/>
          <w:rFonts w:eastAsia="MS Mincho"/>
        </w:rPr>
        <w:endnoteRef/>
      </w:r>
      <w:r>
        <w:t xml:space="preserve"> </w:t>
      </w:r>
      <w:r>
        <w:rPr>
          <w:i/>
        </w:rPr>
        <w:t>Horton v. Dennis</w:t>
      </w:r>
      <w:r>
        <w:t xml:space="preserve">, 325 Ga. App. 212, 750 S.E. 2d 493 (2013).  </w:t>
      </w:r>
    </w:p>
  </w:endnote>
  <w:endnote w:id="232">
    <w:p>
      <w:pPr>
        <w:pStyle w:val="EndnoteText"/>
        <w:jc w:val="both"/>
      </w:pPr>
      <w:r>
        <w:rPr>
          <w:rStyle w:val="EndnoteReference"/>
          <w:rFonts w:eastAsia="MS Mincho"/>
        </w:rPr>
        <w:endnoteRef/>
      </w:r>
      <w:r>
        <w:t xml:space="preserve"> O.C.G.A. § 13-6-11 provides that, “where the plaintiff has specially pleaded and has made prayer [for attorney’s fees] and where the defendant has acted in bad faith, has been stubbornly litigious, or has caused the plaintiff unnecessary trouble and expense, the jury may allow them.”  </w:t>
      </w:r>
    </w:p>
  </w:endnote>
  <w:endnote w:id="233">
    <w:p>
      <w:pPr>
        <w:pStyle w:val="EndnoteText"/>
        <w:jc w:val="both"/>
      </w:pPr>
      <w:r>
        <w:rPr>
          <w:rStyle w:val="EndnoteReference"/>
          <w:rFonts w:eastAsia="MS Mincho"/>
        </w:rPr>
        <w:endnoteRef/>
      </w:r>
      <w:r>
        <w:t xml:space="preserve"> </w:t>
      </w:r>
      <w:r>
        <w:rPr>
          <w:i/>
        </w:rPr>
        <w:t>Horton</w:t>
      </w:r>
      <w:r>
        <w:t>, 325 Ga. App at 212-13, 750 S.E.2d at 494-95.</w:t>
      </w:r>
    </w:p>
  </w:endnote>
  <w:endnote w:id="234">
    <w:p>
      <w:pPr>
        <w:pStyle w:val="EndnoteText"/>
        <w:jc w:val="both"/>
      </w:pPr>
      <w:r>
        <w:rPr>
          <w:rStyle w:val="EndnoteReference"/>
          <w:rFonts w:eastAsia="MS Mincho"/>
        </w:rPr>
        <w:endnoteRef/>
      </w:r>
      <w:r>
        <w:t xml:space="preserve"> </w:t>
      </w:r>
      <w:r>
        <w:rPr>
          <w:i/>
        </w:rPr>
        <w:t>Id</w:t>
      </w:r>
      <w:r>
        <w:t>. at 212, 750 S.E.2d at 494.</w:t>
      </w:r>
    </w:p>
  </w:endnote>
  <w:endnote w:id="235">
    <w:p>
      <w:pPr>
        <w:pStyle w:val="EndnoteText"/>
        <w:jc w:val="both"/>
      </w:pPr>
      <w:r>
        <w:rPr>
          <w:rStyle w:val="EndnoteReference"/>
          <w:rFonts w:eastAsia="MS Mincho"/>
        </w:rPr>
        <w:endnoteRef/>
      </w:r>
      <w:r>
        <w:t xml:space="preserve"> </w:t>
      </w:r>
      <w:r>
        <w:rPr>
          <w:i/>
        </w:rPr>
        <w:t>Id</w:t>
      </w:r>
      <w:r>
        <w:t xml:space="preserve">.  Of note, the </w:t>
      </w:r>
      <w:r>
        <w:rPr>
          <w:i/>
        </w:rPr>
        <w:t>Horton</w:t>
      </w:r>
      <w:r>
        <w:t xml:space="preserve"> court interprets “liability” in this context as negligence.  </w:t>
      </w:r>
      <w:r>
        <w:rPr>
          <w:i/>
        </w:rPr>
        <w:t>See</w:t>
      </w:r>
      <w:r>
        <w:t xml:space="preserve"> </w:t>
      </w:r>
      <w:r>
        <w:rPr>
          <w:i/>
        </w:rPr>
        <w:t>Dilworth v. Boeckler</w:t>
      </w:r>
      <w:r>
        <w:t xml:space="preserve">, 187 Ga. App. 241, 370 S.E. 2d 17 (1988) (liability generally includes negligence and proximate cause). </w:t>
      </w:r>
    </w:p>
  </w:endnote>
  <w:endnote w:id="236">
    <w:p>
      <w:pPr>
        <w:pStyle w:val="EndnoteText"/>
        <w:jc w:val="both"/>
      </w:pPr>
      <w:r>
        <w:rPr>
          <w:rStyle w:val="EndnoteReference"/>
          <w:rFonts w:eastAsia="MS Mincho"/>
        </w:rPr>
        <w:endnoteRef/>
      </w:r>
      <w:r>
        <w:t xml:space="preserve"> </w:t>
      </w:r>
      <w:r>
        <w:rPr>
          <w:i/>
        </w:rPr>
        <w:t>Horton</w:t>
      </w:r>
      <w:r>
        <w:t>, 325 Ga. App at 212, 750 S.E.2d at 494.</w:t>
      </w:r>
    </w:p>
  </w:endnote>
  <w:endnote w:id="237">
    <w:p>
      <w:pPr>
        <w:pStyle w:val="EndnoteText"/>
        <w:jc w:val="both"/>
      </w:pPr>
      <w:r>
        <w:rPr>
          <w:rStyle w:val="EndnoteReference"/>
          <w:rFonts w:eastAsia="MS Mincho"/>
        </w:rPr>
        <w:endnoteRef/>
      </w:r>
      <w:r>
        <w:t xml:space="preserve"> </w:t>
      </w:r>
      <w:r>
        <w:rPr>
          <w:i/>
        </w:rPr>
        <w:t>Id.</w:t>
      </w:r>
      <w:r>
        <w:t xml:space="preserve"> at 213, 750 S.E.2d at 495.</w:t>
      </w:r>
    </w:p>
  </w:endnote>
  <w:endnote w:id="238">
    <w:p>
      <w:pPr>
        <w:pStyle w:val="EndnoteText"/>
        <w:jc w:val="both"/>
      </w:pPr>
      <w:r>
        <w:rPr>
          <w:rStyle w:val="EndnoteReference"/>
          <w:rFonts w:eastAsia="MS Mincho"/>
        </w:rPr>
        <w:endnoteRef/>
      </w:r>
      <w:r>
        <w:t xml:space="preserve"> </w:t>
      </w:r>
      <w:r>
        <w:rPr>
          <w:i/>
        </w:rPr>
        <w:t>Id</w:t>
      </w:r>
      <w:r>
        <w:t xml:space="preserve">.  </w:t>
      </w:r>
    </w:p>
  </w:endnote>
  <w:endnote w:id="239">
    <w:p>
      <w:pPr>
        <w:pStyle w:val="EndnoteText"/>
        <w:jc w:val="both"/>
      </w:pPr>
      <w:r>
        <w:rPr>
          <w:rStyle w:val="EndnoteReference"/>
          <w:rFonts w:eastAsia="MS Mincho"/>
        </w:rPr>
        <w:endnoteRef/>
      </w:r>
      <w:r>
        <w:t xml:space="preserve"> </w:t>
      </w:r>
      <w:r>
        <w:rPr>
          <w:i/>
        </w:rPr>
        <w:t>Id</w:t>
      </w:r>
      <w:r>
        <w:t>. at 214, 750 S.E.2d at 496.</w:t>
      </w:r>
    </w:p>
  </w:endnote>
  <w:endnote w:id="240">
    <w:p>
      <w:pPr>
        <w:pStyle w:val="EndnoteText"/>
        <w:jc w:val="both"/>
      </w:pPr>
      <w:r>
        <w:rPr>
          <w:rStyle w:val="EndnoteReference"/>
          <w:rFonts w:eastAsia="MS Mincho"/>
        </w:rPr>
        <w:endnoteRef/>
      </w:r>
      <w:r>
        <w:t xml:space="preserve"> </w:t>
      </w:r>
      <w:r>
        <w:rPr>
          <w:i/>
        </w:rPr>
        <w:t>Id.</w:t>
      </w:r>
      <w:r>
        <w:t xml:space="preserve"> at 214, 750 S.E.2d at 495-96.</w:t>
      </w:r>
    </w:p>
  </w:endnote>
  <w:endnote w:id="241">
    <w:p>
      <w:pPr>
        <w:pStyle w:val="EndnoteText"/>
        <w:jc w:val="both"/>
      </w:pPr>
      <w:r>
        <w:rPr>
          <w:rStyle w:val="EndnoteReference"/>
          <w:rFonts w:eastAsia="MS Mincho"/>
        </w:rPr>
        <w:endnoteRef/>
      </w:r>
      <w:r>
        <w:t xml:space="preserve"> </w:t>
      </w:r>
      <w:r>
        <w:rPr>
          <w:i/>
        </w:rPr>
        <w:t>Id</w:t>
      </w:r>
      <w:r>
        <w:t>. at 214, 750 S.E.2d at 495.</w:t>
      </w:r>
      <w:r>
        <w:rPr>
          <w:i/>
        </w:rPr>
        <w:t xml:space="preserve"> </w:t>
      </w:r>
    </w:p>
  </w:endnote>
  <w:endnote w:id="242">
    <w:p>
      <w:pPr>
        <w:pStyle w:val="EndnoteText"/>
        <w:jc w:val="both"/>
      </w:pPr>
      <w:r>
        <w:rPr>
          <w:rStyle w:val="EndnoteReference"/>
          <w:rFonts w:eastAsia="MS Mincho"/>
        </w:rPr>
        <w:endnoteRef/>
      </w:r>
      <w:r>
        <w:t xml:space="preserve"> </w:t>
      </w:r>
      <w:r>
        <w:rPr>
          <w:i/>
        </w:rPr>
        <w:t>Id</w:t>
      </w:r>
      <w:r>
        <w:t>.</w:t>
      </w:r>
    </w:p>
  </w:endnote>
  <w:endnote w:id="243">
    <w:p>
      <w:pPr>
        <w:pStyle w:val="EndnoteText"/>
        <w:jc w:val="both"/>
      </w:pPr>
      <w:r>
        <w:rPr>
          <w:rStyle w:val="EndnoteReference"/>
          <w:rFonts w:eastAsia="MS Mincho"/>
        </w:rPr>
        <w:endnoteRef/>
      </w:r>
      <w:r>
        <w:t xml:space="preserve"> </w:t>
      </w:r>
      <w:r>
        <w:rPr>
          <w:i/>
        </w:rPr>
        <w:t>Id</w:t>
      </w:r>
      <w:r>
        <w:t>.</w:t>
      </w:r>
    </w:p>
  </w:endnote>
  <w:endnote w:id="244">
    <w:p>
      <w:pPr>
        <w:pStyle w:val="EndnoteText"/>
        <w:jc w:val="both"/>
      </w:pPr>
      <w:r>
        <w:rPr>
          <w:rStyle w:val="EndnoteReference"/>
          <w:rFonts w:eastAsia="MS Mincho"/>
        </w:rPr>
        <w:endnoteRef/>
      </w:r>
      <w:r>
        <w:t xml:space="preserve"> </w:t>
      </w:r>
      <w:r>
        <w:rPr>
          <w:i/>
        </w:rPr>
        <w:t>Id</w:t>
      </w:r>
      <w:r>
        <w:t>. at 214, 750 S.E.2d at 496.</w:t>
      </w:r>
    </w:p>
  </w:endnote>
  <w:endnote w:id="245">
    <w:p>
      <w:pPr>
        <w:pStyle w:val="EndnoteText"/>
        <w:jc w:val="both"/>
      </w:pPr>
      <w:r>
        <w:rPr>
          <w:rStyle w:val="EndnoteReference"/>
          <w:rFonts w:eastAsia="MS Mincho"/>
        </w:rPr>
        <w:endnoteRef/>
      </w:r>
      <w:r>
        <w:t xml:space="preserve"> </w:t>
      </w:r>
      <w:r>
        <w:rPr>
          <w:i/>
        </w:rPr>
        <w:t>Id</w:t>
      </w:r>
      <w:r>
        <w:t>.</w:t>
      </w:r>
    </w:p>
  </w:endnote>
  <w:endnote w:id="246">
    <w:p>
      <w:pPr>
        <w:pStyle w:val="EndnoteText"/>
        <w:jc w:val="both"/>
      </w:pPr>
      <w:r>
        <w:rPr>
          <w:rStyle w:val="EndnoteReference"/>
          <w:rFonts w:eastAsia="MS Mincho"/>
        </w:rPr>
        <w:endnoteRef/>
      </w:r>
      <w:r>
        <w:t xml:space="preserve"> </w:t>
      </w:r>
      <w:r>
        <w:rPr>
          <w:i/>
        </w:rPr>
        <w:t>Id</w:t>
      </w:r>
      <w:r>
        <w:t>.</w:t>
      </w:r>
    </w:p>
  </w:endnote>
  <w:endnote w:id="247">
    <w:p>
      <w:pPr>
        <w:pStyle w:val="EndnoteText"/>
        <w:jc w:val="both"/>
      </w:pPr>
      <w:r>
        <w:rPr>
          <w:rStyle w:val="EndnoteReference"/>
          <w:rFonts w:eastAsia="MS Mincho"/>
        </w:rPr>
        <w:endnoteRef/>
      </w:r>
      <w:r>
        <w:t xml:space="preserve"> </w:t>
      </w:r>
      <w:r>
        <w:rPr>
          <w:i/>
        </w:rPr>
        <w:t>Id</w:t>
      </w:r>
      <w:r>
        <w:t>.</w:t>
      </w:r>
    </w:p>
  </w:endnote>
  <w:endnote w:id="248">
    <w:p>
      <w:pPr>
        <w:pStyle w:val="EndnoteText"/>
        <w:jc w:val="both"/>
      </w:pPr>
      <w:r>
        <w:rPr>
          <w:rStyle w:val="EndnoteReference"/>
          <w:rFonts w:eastAsia="MS Mincho"/>
        </w:rPr>
        <w:endnoteRef/>
      </w:r>
      <w:r>
        <w:t xml:space="preserve"> </w:t>
      </w:r>
      <w:r>
        <w:rPr>
          <w:i/>
        </w:rPr>
        <w:t>Id</w:t>
      </w:r>
      <w:r>
        <w:t>.</w:t>
      </w:r>
    </w:p>
  </w:endnote>
  <w:endnote w:id="249">
    <w:p>
      <w:pPr>
        <w:pStyle w:val="EndnoteText"/>
        <w:jc w:val="both"/>
      </w:pPr>
      <w:r>
        <w:rPr>
          <w:rStyle w:val="EndnoteReference"/>
          <w:rFonts w:eastAsia="MS Mincho"/>
        </w:rPr>
        <w:endnoteRef/>
      </w:r>
      <w:r>
        <w:t xml:space="preserve"> </w:t>
      </w:r>
      <w:r>
        <w:rPr>
          <w:i/>
        </w:rPr>
        <w:t>Id</w:t>
      </w:r>
      <w:r>
        <w:t>. at 215, 218, 750 S.E.2d at 496, 498.</w:t>
      </w:r>
    </w:p>
  </w:endnote>
  <w:endnote w:id="250">
    <w:p>
      <w:pPr>
        <w:pStyle w:val="EndnoteText"/>
        <w:jc w:val="both"/>
      </w:pPr>
      <w:r>
        <w:rPr>
          <w:rStyle w:val="EndnoteReference"/>
          <w:rFonts w:eastAsia="MS Mincho"/>
        </w:rPr>
        <w:endnoteRef/>
      </w:r>
      <w:r>
        <w:t xml:space="preserve"> </w:t>
      </w:r>
      <w:r>
        <w:rPr>
          <w:i/>
        </w:rPr>
        <w:t>Id</w:t>
      </w:r>
      <w:r>
        <w:t>. at 217-218, 750 S.E.2d at 497-498.</w:t>
      </w:r>
    </w:p>
  </w:endnote>
  <w:endnote w:id="251">
    <w:p>
      <w:pPr>
        <w:pStyle w:val="EndnoteText"/>
        <w:jc w:val="both"/>
      </w:pPr>
      <w:r>
        <w:rPr>
          <w:rStyle w:val="EndnoteReference"/>
          <w:rFonts w:eastAsia="MS Mincho"/>
        </w:rPr>
        <w:endnoteRef/>
      </w:r>
      <w:r>
        <w:t xml:space="preserve"> </w:t>
      </w:r>
      <w:r>
        <w:rPr>
          <w:i/>
        </w:rPr>
        <w:t>Id</w:t>
      </w:r>
      <w:r>
        <w:t>.</w:t>
      </w:r>
    </w:p>
  </w:endnote>
  <w:endnote w:id="252">
    <w:p>
      <w:pPr>
        <w:pStyle w:val="EndnoteText"/>
        <w:jc w:val="both"/>
      </w:pPr>
      <w:r>
        <w:rPr>
          <w:rStyle w:val="EndnoteReference"/>
          <w:rFonts w:eastAsia="MS Mincho"/>
        </w:rPr>
        <w:endnoteRef/>
      </w:r>
      <w:r>
        <w:t xml:space="preserve"> </w:t>
      </w:r>
      <w:r>
        <w:rPr>
          <w:i/>
        </w:rPr>
        <w:t>Id</w:t>
      </w:r>
      <w:r>
        <w:t>.</w:t>
      </w:r>
    </w:p>
  </w:endnote>
  <w:endnote w:id="253">
    <w:p>
      <w:pPr>
        <w:pStyle w:val="EndnoteText"/>
        <w:jc w:val="both"/>
      </w:pPr>
      <w:r>
        <w:rPr>
          <w:rStyle w:val="EndnoteReference"/>
          <w:rFonts w:eastAsia="MS Mincho"/>
        </w:rPr>
        <w:endnoteRef/>
      </w:r>
      <w:r>
        <w:t xml:space="preserve"> </w:t>
      </w:r>
      <w:r>
        <w:rPr>
          <w:i/>
        </w:rPr>
        <w:t>Daniel v. Smith</w:t>
      </w:r>
      <w:r>
        <w:t>, 266 Ga. App. 637, 597 S.E.2d 432 (2004).</w:t>
      </w:r>
    </w:p>
  </w:endnote>
  <w:endnote w:id="254">
    <w:p>
      <w:pPr>
        <w:pStyle w:val="EndnoteText"/>
        <w:jc w:val="both"/>
      </w:pPr>
      <w:r>
        <w:rPr>
          <w:rStyle w:val="EndnoteReference"/>
          <w:rFonts w:eastAsia="MS Mincho"/>
        </w:rPr>
        <w:endnoteRef/>
      </w:r>
      <w:r>
        <w:t xml:space="preserve"> </w:t>
      </w:r>
      <w:r>
        <w:rPr>
          <w:i/>
        </w:rPr>
        <w:t>Id</w:t>
      </w:r>
      <w:r>
        <w:t>. at 638, 597 S.E.2d at 436.</w:t>
      </w:r>
    </w:p>
  </w:endnote>
  <w:endnote w:id="255">
    <w:p>
      <w:pPr>
        <w:pStyle w:val="EndnoteText"/>
        <w:jc w:val="both"/>
      </w:pPr>
      <w:r>
        <w:rPr>
          <w:rStyle w:val="EndnoteReference"/>
          <w:rFonts w:eastAsia="MS Mincho"/>
        </w:rPr>
        <w:endnoteRef/>
      </w:r>
      <w:r>
        <w:t xml:space="preserve"> </w:t>
      </w:r>
      <w:r>
        <w:rPr>
          <w:i/>
        </w:rPr>
        <w:t>Id</w:t>
      </w:r>
      <w:r>
        <w:t>.</w:t>
      </w:r>
    </w:p>
  </w:endnote>
  <w:endnote w:id="256">
    <w:p>
      <w:pPr>
        <w:pStyle w:val="EndnoteText"/>
        <w:jc w:val="both"/>
      </w:pPr>
      <w:r>
        <w:rPr>
          <w:rStyle w:val="EndnoteReference"/>
          <w:rFonts w:eastAsia="MS Mincho"/>
        </w:rPr>
        <w:endnoteRef/>
      </w:r>
      <w:r>
        <w:t xml:space="preserve"> </w:t>
      </w:r>
      <w:r>
        <w:rPr>
          <w:i/>
        </w:rPr>
        <w:t>Id</w:t>
      </w:r>
      <w:r>
        <w:t>.</w:t>
      </w:r>
    </w:p>
  </w:endnote>
  <w:endnote w:id="257">
    <w:p>
      <w:pPr>
        <w:pStyle w:val="EndnoteText"/>
        <w:jc w:val="both"/>
      </w:pPr>
      <w:r>
        <w:rPr>
          <w:rStyle w:val="EndnoteReference"/>
          <w:rFonts w:eastAsia="MS Mincho"/>
        </w:rPr>
        <w:endnoteRef/>
      </w:r>
      <w:r>
        <w:t xml:space="preserve"> </w:t>
      </w:r>
      <w:r>
        <w:rPr>
          <w:i/>
        </w:rPr>
        <w:t>Id</w:t>
      </w:r>
      <w:r>
        <w:t>.</w:t>
      </w:r>
    </w:p>
  </w:endnote>
  <w:endnote w:id="258">
    <w:p>
      <w:pPr>
        <w:pStyle w:val="EndnoteText"/>
        <w:jc w:val="both"/>
      </w:pPr>
      <w:r>
        <w:rPr>
          <w:rStyle w:val="EndnoteReference"/>
          <w:rFonts w:eastAsia="MS Mincho"/>
        </w:rPr>
        <w:endnoteRef/>
      </w:r>
      <w:r>
        <w:t xml:space="preserve"> </w:t>
      </w:r>
      <w:r>
        <w:rPr>
          <w:i/>
        </w:rPr>
        <w:t>Id</w:t>
      </w:r>
      <w:r>
        <w:t>. at 637, 597 S.E.2d at 435.</w:t>
      </w:r>
    </w:p>
  </w:endnote>
  <w:endnote w:id="259">
    <w:p>
      <w:pPr>
        <w:pStyle w:val="EndnoteText"/>
        <w:jc w:val="both"/>
      </w:pPr>
      <w:r>
        <w:rPr>
          <w:rStyle w:val="EndnoteReference"/>
          <w:rFonts w:eastAsia="MS Mincho"/>
        </w:rPr>
        <w:endnoteRef/>
      </w:r>
      <w:r>
        <w:t xml:space="preserve"> </w:t>
      </w:r>
      <w:r>
        <w:rPr>
          <w:i/>
        </w:rPr>
        <w:t>Id</w:t>
      </w:r>
      <w:r>
        <w:t>. at 639, 597 S.E.2d at 436.</w:t>
      </w:r>
    </w:p>
  </w:endnote>
  <w:endnote w:id="260">
    <w:p>
      <w:pPr>
        <w:pStyle w:val="EndnoteText"/>
        <w:jc w:val="both"/>
      </w:pPr>
      <w:r>
        <w:rPr>
          <w:rStyle w:val="EndnoteReference"/>
          <w:rFonts w:eastAsia="MS Mincho"/>
        </w:rPr>
        <w:endnoteRef/>
      </w:r>
      <w:r>
        <w:t xml:space="preserve"> </w:t>
      </w:r>
      <w:r>
        <w:rPr>
          <w:i/>
        </w:rPr>
        <w:t>Id</w:t>
      </w:r>
      <w:r>
        <w:t xml:space="preserve">. at 639, 597 S.E.2d at 436-37.  There is no indication in the reported decision as to whether the defendant had also disputed proximate cause. </w:t>
      </w:r>
    </w:p>
  </w:endnote>
  <w:endnote w:id="261">
    <w:p>
      <w:pPr>
        <w:pStyle w:val="EndnoteText"/>
        <w:jc w:val="both"/>
      </w:pPr>
      <w:r>
        <w:rPr>
          <w:rStyle w:val="EndnoteReference"/>
          <w:rFonts w:eastAsia="MS Mincho"/>
        </w:rPr>
        <w:endnoteRef/>
      </w:r>
      <w:r>
        <w:t xml:space="preserve"> </w:t>
      </w:r>
      <w:r>
        <w:rPr>
          <w:i/>
        </w:rPr>
        <w:t>Daniel</w:t>
      </w:r>
      <w:r>
        <w:t>, 266 Ga. App. at 639, 597 S.E.2d at 437.</w:t>
      </w:r>
    </w:p>
  </w:endnote>
  <w:endnote w:id="262">
    <w:p>
      <w:pPr>
        <w:pStyle w:val="EndnoteText"/>
        <w:jc w:val="both"/>
      </w:pPr>
      <w:r>
        <w:rPr>
          <w:rStyle w:val="EndnoteReference"/>
          <w:rFonts w:eastAsia="MS Mincho"/>
        </w:rPr>
        <w:endnoteRef/>
      </w:r>
      <w:r>
        <w:t xml:space="preserve"> </w:t>
      </w:r>
      <w:r>
        <w:rPr>
          <w:i/>
        </w:rPr>
        <w:t>Anderson v. Cayes</w:t>
      </w:r>
      <w:r>
        <w:t>, 278 Ga. App. 592, 594, 630 S.E.2d 441, 442 (2006).</w:t>
      </w:r>
    </w:p>
  </w:endnote>
  <w:endnote w:id="263">
    <w:p>
      <w:pPr>
        <w:pStyle w:val="EndnoteText"/>
        <w:jc w:val="both"/>
      </w:pPr>
      <w:r>
        <w:rPr>
          <w:rStyle w:val="EndnoteReference"/>
          <w:rFonts w:eastAsia="MS Mincho"/>
        </w:rPr>
        <w:endnoteRef/>
      </w:r>
      <w:r>
        <w:t xml:space="preserve"> </w:t>
      </w:r>
      <w:r>
        <w:rPr>
          <w:i/>
        </w:rPr>
        <w:t>Id</w:t>
      </w:r>
      <w:r>
        <w:t>. at 594, 630 S.E.2d. at 443.</w:t>
      </w:r>
    </w:p>
  </w:endnote>
  <w:endnote w:id="264">
    <w:p>
      <w:pPr>
        <w:pStyle w:val="EndnoteText"/>
        <w:jc w:val="both"/>
      </w:pPr>
      <w:r>
        <w:rPr>
          <w:rStyle w:val="EndnoteReference"/>
          <w:rFonts w:eastAsia="MS Mincho"/>
        </w:rPr>
        <w:endnoteRef/>
      </w:r>
      <w:r>
        <w:t xml:space="preserve"> </w:t>
      </w:r>
      <w:r>
        <w:rPr>
          <w:i/>
        </w:rPr>
        <w:t>Id</w:t>
      </w:r>
      <w:r>
        <w:t>.</w:t>
      </w:r>
    </w:p>
  </w:endnote>
  <w:endnote w:id="265">
    <w:p>
      <w:pPr>
        <w:pStyle w:val="EndnoteText"/>
        <w:jc w:val="both"/>
      </w:pPr>
      <w:r>
        <w:rPr>
          <w:rStyle w:val="EndnoteReference"/>
          <w:rFonts w:eastAsia="MS Mincho"/>
        </w:rPr>
        <w:endnoteRef/>
      </w:r>
      <w:r>
        <w:t xml:space="preserve"> </w:t>
      </w:r>
      <w:r>
        <w:rPr>
          <w:i/>
        </w:rPr>
        <w:t>Id</w:t>
      </w:r>
      <w:r>
        <w:t>.</w:t>
      </w:r>
    </w:p>
  </w:endnote>
  <w:endnote w:id="266">
    <w:p>
      <w:pPr>
        <w:pStyle w:val="EndnoteText"/>
        <w:jc w:val="both"/>
      </w:pPr>
      <w:r>
        <w:rPr>
          <w:rStyle w:val="EndnoteReference"/>
          <w:rFonts w:eastAsia="MS Mincho"/>
        </w:rPr>
        <w:endnoteRef/>
      </w:r>
      <w:r>
        <w:t xml:space="preserve"> </w:t>
      </w:r>
      <w:r>
        <w:rPr>
          <w:i/>
        </w:rPr>
        <w:t>Id</w:t>
      </w:r>
      <w:r>
        <w:t>. at 594, 630 S.E.2d. at 442.</w:t>
      </w:r>
    </w:p>
  </w:endnote>
  <w:endnote w:id="267">
    <w:p>
      <w:pPr>
        <w:pStyle w:val="EndnoteText"/>
        <w:jc w:val="both"/>
      </w:pPr>
      <w:r>
        <w:rPr>
          <w:rStyle w:val="EndnoteReference"/>
          <w:rFonts w:eastAsia="MS Mincho"/>
        </w:rPr>
        <w:endnoteRef/>
      </w:r>
      <w:r>
        <w:t xml:space="preserve"> </w:t>
      </w:r>
      <w:r>
        <w:rPr>
          <w:i/>
        </w:rPr>
        <w:t>French v. Dilleshaw</w:t>
      </w:r>
      <w:r>
        <w:t>, 313 Ga. App. 834, 723 S.E.2d 64 (2012).</w:t>
      </w:r>
    </w:p>
  </w:endnote>
  <w:endnote w:id="268">
    <w:p>
      <w:pPr>
        <w:pStyle w:val="EndnoteText"/>
        <w:jc w:val="both"/>
      </w:pPr>
      <w:r>
        <w:rPr>
          <w:rStyle w:val="EndnoteReference"/>
          <w:rFonts w:eastAsia="MS Mincho"/>
        </w:rPr>
        <w:endnoteRef/>
      </w:r>
      <w:r>
        <w:t xml:space="preserve"> </w:t>
      </w:r>
      <w:r>
        <w:rPr>
          <w:i/>
        </w:rPr>
        <w:t>Id</w:t>
      </w:r>
      <w:r>
        <w:t>. at 834, 723 S.E.2d at 66.</w:t>
      </w:r>
    </w:p>
  </w:endnote>
  <w:endnote w:id="269">
    <w:p>
      <w:pPr>
        <w:pStyle w:val="EndnoteText"/>
        <w:jc w:val="both"/>
      </w:pPr>
      <w:r>
        <w:rPr>
          <w:rStyle w:val="EndnoteReference"/>
          <w:rFonts w:eastAsia="MS Mincho"/>
        </w:rPr>
        <w:endnoteRef/>
      </w:r>
      <w:r>
        <w:t xml:space="preserve"> </w:t>
      </w:r>
      <w:r>
        <w:rPr>
          <w:i/>
        </w:rPr>
        <w:t>Id</w:t>
      </w:r>
      <w:r>
        <w:t>.</w:t>
      </w:r>
    </w:p>
  </w:endnote>
  <w:endnote w:id="270">
    <w:p>
      <w:pPr>
        <w:pStyle w:val="EndnoteText"/>
        <w:jc w:val="both"/>
      </w:pPr>
      <w:r>
        <w:rPr>
          <w:rStyle w:val="EndnoteReference"/>
          <w:rFonts w:eastAsia="MS Mincho"/>
        </w:rPr>
        <w:endnoteRef/>
      </w:r>
      <w:r>
        <w:t xml:space="preserve"> </w:t>
      </w:r>
      <w:r>
        <w:rPr>
          <w:i/>
        </w:rPr>
        <w:t>Id</w:t>
      </w:r>
      <w:r>
        <w:t>. at 840, 723 S.E.2d at 69.</w:t>
      </w:r>
    </w:p>
  </w:endnote>
  <w:endnote w:id="271">
    <w:p>
      <w:pPr>
        <w:pStyle w:val="EndnoteText"/>
        <w:jc w:val="both"/>
      </w:pPr>
      <w:r>
        <w:rPr>
          <w:rStyle w:val="EndnoteReference"/>
          <w:rFonts w:eastAsia="MS Mincho"/>
        </w:rPr>
        <w:endnoteRef/>
      </w:r>
      <w:r>
        <w:t xml:space="preserve"> </w:t>
      </w:r>
      <w:r>
        <w:rPr>
          <w:i/>
        </w:rPr>
        <w:t>Id</w:t>
      </w:r>
      <w:r>
        <w:t>.</w:t>
      </w:r>
    </w:p>
  </w:endnote>
  <w:endnote w:id="272">
    <w:p>
      <w:pPr>
        <w:pStyle w:val="EndnoteText"/>
        <w:jc w:val="both"/>
      </w:pPr>
      <w:r>
        <w:rPr>
          <w:rStyle w:val="EndnoteReference"/>
          <w:rFonts w:eastAsia="MS Mincho"/>
        </w:rPr>
        <w:endnoteRef/>
      </w:r>
      <w:r>
        <w:t xml:space="preserve"> </w:t>
      </w:r>
      <w:r>
        <w:rPr>
          <w:i/>
        </w:rPr>
        <w:t>Penn v. Muktar</w:t>
      </w:r>
      <w:r>
        <w:t>, 309 Ga. App. 849, 711 S.E.2d 337 (2011).</w:t>
      </w:r>
    </w:p>
  </w:endnote>
  <w:endnote w:id="273">
    <w:p>
      <w:pPr>
        <w:pStyle w:val="EndnoteText"/>
        <w:jc w:val="both"/>
      </w:pPr>
      <w:r>
        <w:rPr>
          <w:rStyle w:val="EndnoteReference"/>
          <w:rFonts w:eastAsia="MS Mincho"/>
        </w:rPr>
        <w:endnoteRef/>
      </w:r>
      <w:r>
        <w:t xml:space="preserve"> </w:t>
      </w:r>
      <w:r>
        <w:rPr>
          <w:i/>
        </w:rPr>
        <w:t>Id</w:t>
      </w:r>
      <w:r>
        <w:t>. at 849-50, 711 S.E.2d at 338.</w:t>
      </w:r>
    </w:p>
  </w:endnote>
  <w:endnote w:id="274">
    <w:p>
      <w:pPr>
        <w:pStyle w:val="EndnoteText"/>
        <w:jc w:val="both"/>
      </w:pPr>
      <w:r>
        <w:rPr>
          <w:rStyle w:val="EndnoteReference"/>
          <w:rFonts w:eastAsia="MS Mincho"/>
        </w:rPr>
        <w:endnoteRef/>
      </w:r>
      <w:r>
        <w:t xml:space="preserve"> </w:t>
      </w:r>
      <w:r>
        <w:rPr>
          <w:i/>
        </w:rPr>
        <w:t>Id</w:t>
      </w:r>
      <w:r>
        <w:t>. at 850, 711 S.E.2d at 338.</w:t>
      </w:r>
    </w:p>
  </w:endnote>
  <w:endnote w:id="275">
    <w:p>
      <w:pPr>
        <w:pStyle w:val="EndnoteText"/>
        <w:jc w:val="both"/>
      </w:pPr>
      <w:r>
        <w:rPr>
          <w:rStyle w:val="EndnoteReference"/>
          <w:rFonts w:eastAsia="MS Mincho"/>
        </w:rPr>
        <w:endnoteRef/>
      </w:r>
      <w:r>
        <w:t xml:space="preserve"> </w:t>
      </w:r>
      <w:r>
        <w:rPr>
          <w:i/>
        </w:rPr>
        <w:t>Id</w:t>
      </w:r>
      <w:r>
        <w:t>.</w:t>
      </w:r>
    </w:p>
  </w:endnote>
  <w:endnote w:id="276">
    <w:p>
      <w:pPr>
        <w:pStyle w:val="EndnoteText"/>
        <w:jc w:val="both"/>
      </w:pPr>
      <w:r>
        <w:rPr>
          <w:rStyle w:val="EndnoteReference"/>
          <w:rFonts w:eastAsia="MS Mincho"/>
        </w:rPr>
        <w:endnoteRef/>
      </w:r>
      <w:r>
        <w:t xml:space="preserve"> </w:t>
      </w:r>
      <w:r>
        <w:rPr>
          <w:i/>
        </w:rPr>
        <w:t>Id</w:t>
      </w:r>
      <w:r>
        <w:t>.</w:t>
      </w:r>
    </w:p>
  </w:endnote>
  <w:endnote w:id="277">
    <w:p>
      <w:pPr>
        <w:pStyle w:val="EndnoteText"/>
        <w:jc w:val="both"/>
      </w:pPr>
      <w:r>
        <w:rPr>
          <w:rStyle w:val="EndnoteReference"/>
          <w:rFonts w:eastAsia="MS Mincho"/>
        </w:rPr>
        <w:endnoteRef/>
      </w:r>
      <w:r>
        <w:t xml:space="preserve"> </w:t>
      </w:r>
      <w:r>
        <w:rPr>
          <w:i/>
        </w:rPr>
        <w:t>Kitchens v. Ezell</w:t>
      </w:r>
      <w:r>
        <w:t>, 315 Ga. App. 444, 726 S.E.2d 461 (2012).</w:t>
      </w:r>
    </w:p>
  </w:endnote>
  <w:endnote w:id="278">
    <w:p>
      <w:pPr>
        <w:pStyle w:val="EndnoteText"/>
        <w:jc w:val="both"/>
      </w:pPr>
      <w:r>
        <w:rPr>
          <w:rStyle w:val="EndnoteReference"/>
          <w:rFonts w:eastAsia="MS Mincho"/>
        </w:rPr>
        <w:endnoteRef/>
      </w:r>
      <w:r>
        <w:t xml:space="preserve"> </w:t>
      </w:r>
      <w:r>
        <w:rPr>
          <w:i/>
        </w:rPr>
        <w:t>Id</w:t>
      </w:r>
      <w:r>
        <w:t>. at 445, 726 S.E.2d at 463.</w:t>
      </w:r>
    </w:p>
  </w:endnote>
  <w:endnote w:id="279">
    <w:p>
      <w:pPr>
        <w:pStyle w:val="EndnoteText"/>
        <w:jc w:val="both"/>
      </w:pPr>
      <w:r>
        <w:rPr>
          <w:rStyle w:val="EndnoteReference"/>
          <w:rFonts w:eastAsia="MS Mincho"/>
        </w:rPr>
        <w:endnoteRef/>
      </w:r>
      <w:r>
        <w:t xml:space="preserve"> </w:t>
      </w:r>
      <w:r>
        <w:rPr>
          <w:i/>
        </w:rPr>
        <w:t>Id</w:t>
      </w:r>
      <w:r>
        <w:t>.</w:t>
      </w:r>
    </w:p>
  </w:endnote>
  <w:endnote w:id="280">
    <w:p>
      <w:pPr>
        <w:pStyle w:val="EndnoteText"/>
        <w:jc w:val="both"/>
      </w:pPr>
      <w:r>
        <w:rPr>
          <w:rStyle w:val="EndnoteReference"/>
          <w:rFonts w:eastAsia="MS Mincho"/>
        </w:rPr>
        <w:endnoteRef/>
      </w:r>
      <w:r>
        <w:t xml:space="preserve"> </w:t>
      </w:r>
      <w:r>
        <w:rPr>
          <w:i/>
        </w:rPr>
        <w:t>Id</w:t>
      </w:r>
      <w:r>
        <w:t>.</w:t>
      </w:r>
    </w:p>
  </w:endnote>
  <w:endnote w:id="281">
    <w:p>
      <w:pPr>
        <w:pStyle w:val="EndnoteText"/>
        <w:jc w:val="both"/>
      </w:pPr>
      <w:r>
        <w:rPr>
          <w:rStyle w:val="EndnoteReference"/>
          <w:rFonts w:eastAsia="MS Mincho"/>
        </w:rPr>
        <w:endnoteRef/>
      </w:r>
      <w:r>
        <w:t xml:space="preserve"> </w:t>
      </w:r>
      <w:r>
        <w:rPr>
          <w:i/>
        </w:rPr>
        <w:t>Id</w:t>
      </w:r>
      <w:r>
        <w:t>. at 445-46, 726 S.E.2d at 464.</w:t>
      </w:r>
    </w:p>
  </w:endnote>
  <w:endnote w:id="282">
    <w:p>
      <w:pPr>
        <w:pStyle w:val="EndnoteText"/>
        <w:jc w:val="both"/>
      </w:pPr>
      <w:r>
        <w:rPr>
          <w:rStyle w:val="EndnoteReference"/>
          <w:rFonts w:eastAsia="MS Mincho"/>
        </w:rPr>
        <w:endnoteRef/>
      </w:r>
      <w:r>
        <w:t xml:space="preserve"> </w:t>
      </w:r>
      <w:r>
        <w:rPr>
          <w:i/>
        </w:rPr>
        <w:t>Id</w:t>
      </w:r>
      <w:r>
        <w:t>. at 447, 726 S.E.2d. at 464-65.</w:t>
      </w:r>
    </w:p>
  </w:endnote>
  <w:endnote w:id="283">
    <w:p>
      <w:pPr>
        <w:pStyle w:val="EndnoteText"/>
        <w:jc w:val="both"/>
      </w:pPr>
      <w:r>
        <w:rPr>
          <w:rStyle w:val="EndnoteReference"/>
          <w:rFonts w:eastAsia="MS Mincho"/>
        </w:rPr>
        <w:endnoteRef/>
      </w:r>
      <w:r>
        <w:t xml:space="preserve"> </w:t>
      </w:r>
      <w:r>
        <w:rPr>
          <w:i/>
        </w:rPr>
        <w:t>Id</w:t>
      </w:r>
      <w:r>
        <w:t xml:space="preserve">.  (quoting </w:t>
      </w:r>
      <w:r>
        <w:rPr>
          <w:i/>
        </w:rPr>
        <w:t>Herring v. Dunning</w:t>
      </w:r>
      <w:r>
        <w:t xml:space="preserve">, 213 Ga. App. 695, 699, 446 S.E.2d 199, 203 (1994). </w:t>
      </w:r>
    </w:p>
  </w:endnote>
  <w:endnote w:id="284">
    <w:p>
      <w:pPr>
        <w:pStyle w:val="EndnoteText"/>
        <w:jc w:val="both"/>
      </w:pPr>
      <w:r>
        <w:rPr>
          <w:rStyle w:val="EndnoteReference"/>
          <w:rFonts w:eastAsia="MS Mincho"/>
        </w:rPr>
        <w:endnoteRef/>
      </w:r>
      <w:r>
        <w:t xml:space="preserve"> </w:t>
      </w:r>
      <w:r>
        <w:rPr>
          <w:i/>
        </w:rPr>
        <w:t>Hansen v. Doan</w:t>
      </w:r>
      <w:r>
        <w:t>, 320 Ga. App. 609, 740 S.E.2d 338 (2013).</w:t>
      </w:r>
    </w:p>
  </w:endnote>
  <w:endnote w:id="285">
    <w:p>
      <w:pPr>
        <w:pStyle w:val="EndnoteText"/>
        <w:jc w:val="both"/>
      </w:pPr>
      <w:r>
        <w:rPr>
          <w:rStyle w:val="EndnoteReference"/>
          <w:rFonts w:eastAsia="MS Mincho"/>
        </w:rPr>
        <w:endnoteRef/>
      </w:r>
      <w:r>
        <w:t xml:space="preserve"> </w:t>
      </w:r>
      <w:r>
        <w:rPr>
          <w:i/>
        </w:rPr>
        <w:t>Id</w:t>
      </w:r>
      <w:r>
        <w:t>. at 609, 740 S.E.2d at 340.</w:t>
      </w:r>
    </w:p>
  </w:endnote>
  <w:endnote w:id="286">
    <w:p>
      <w:pPr>
        <w:pStyle w:val="EndnoteText"/>
        <w:jc w:val="both"/>
      </w:pPr>
      <w:r>
        <w:rPr>
          <w:rStyle w:val="EndnoteReference"/>
          <w:rFonts w:eastAsia="MS Mincho"/>
        </w:rPr>
        <w:endnoteRef/>
      </w:r>
      <w:r>
        <w:t xml:space="preserve"> </w:t>
      </w:r>
      <w:r>
        <w:rPr>
          <w:i/>
        </w:rPr>
        <w:t>Id</w:t>
      </w:r>
      <w:r>
        <w:t>. at 610, 740 S.E.2d at 340.</w:t>
      </w:r>
    </w:p>
  </w:endnote>
  <w:endnote w:id="287">
    <w:p>
      <w:pPr>
        <w:pStyle w:val="EndnoteText"/>
        <w:jc w:val="both"/>
      </w:pPr>
      <w:r>
        <w:rPr>
          <w:rStyle w:val="EndnoteReference"/>
          <w:rFonts w:eastAsia="MS Mincho"/>
        </w:rPr>
        <w:endnoteRef/>
      </w:r>
      <w:r>
        <w:t xml:space="preserve"> </w:t>
      </w:r>
      <w:r>
        <w:rPr>
          <w:i/>
        </w:rPr>
        <w:t>Id</w:t>
      </w:r>
      <w:r>
        <w:t>.</w:t>
      </w:r>
    </w:p>
  </w:endnote>
  <w:endnote w:id="288">
    <w:p>
      <w:pPr>
        <w:pStyle w:val="EndnoteText"/>
        <w:jc w:val="both"/>
      </w:pPr>
      <w:r>
        <w:rPr>
          <w:rStyle w:val="EndnoteReference"/>
          <w:rFonts w:eastAsia="MS Mincho"/>
        </w:rPr>
        <w:endnoteRef/>
      </w:r>
      <w:r>
        <w:t xml:space="preserve"> </w:t>
      </w:r>
      <w:r>
        <w:rPr>
          <w:i/>
        </w:rPr>
        <w:t>Id</w:t>
      </w:r>
      <w:r>
        <w:t>.</w:t>
      </w:r>
    </w:p>
  </w:endnote>
  <w:endnote w:id="289">
    <w:p>
      <w:pPr>
        <w:pStyle w:val="EndnoteText"/>
        <w:jc w:val="both"/>
      </w:pPr>
      <w:r>
        <w:rPr>
          <w:rStyle w:val="EndnoteReference"/>
          <w:rFonts w:eastAsia="MS Mincho"/>
        </w:rPr>
        <w:endnoteRef/>
      </w:r>
      <w:r>
        <w:t xml:space="preserve"> </w:t>
      </w:r>
      <w:r>
        <w:rPr>
          <w:i/>
        </w:rPr>
        <w:t>Id</w:t>
      </w:r>
      <w:r>
        <w:t>.</w:t>
      </w:r>
    </w:p>
  </w:endnote>
  <w:endnote w:id="290">
    <w:p>
      <w:pPr>
        <w:pStyle w:val="EndnoteText"/>
        <w:jc w:val="both"/>
      </w:pPr>
      <w:r>
        <w:rPr>
          <w:rStyle w:val="EndnoteReference"/>
          <w:rFonts w:eastAsia="MS Mincho"/>
        </w:rPr>
        <w:endnoteRef/>
      </w:r>
      <w:r>
        <w:t xml:space="preserve"> </w:t>
      </w:r>
      <w:r>
        <w:rPr>
          <w:i/>
        </w:rPr>
        <w:t>Id</w:t>
      </w:r>
      <w:r>
        <w:t>.</w:t>
      </w:r>
    </w:p>
  </w:endnote>
  <w:endnote w:id="291">
    <w:p>
      <w:pPr>
        <w:pStyle w:val="EndnoteText"/>
        <w:jc w:val="both"/>
      </w:pPr>
      <w:r>
        <w:rPr>
          <w:rStyle w:val="EndnoteReference"/>
          <w:rFonts w:eastAsia="MS Mincho"/>
        </w:rPr>
        <w:endnoteRef/>
      </w:r>
      <w:r>
        <w:t xml:space="preserve"> </w:t>
      </w:r>
      <w:r>
        <w:rPr>
          <w:i/>
        </w:rPr>
        <w:t>Id</w:t>
      </w:r>
      <w:r>
        <w:t>. at 610, 740 S.E.2d at 341.</w:t>
      </w:r>
    </w:p>
  </w:endnote>
  <w:endnote w:id="292">
    <w:p>
      <w:pPr>
        <w:pStyle w:val="EndnoteText"/>
        <w:jc w:val="both"/>
      </w:pPr>
      <w:r>
        <w:rPr>
          <w:rStyle w:val="EndnoteReference"/>
          <w:rFonts w:eastAsia="MS Mincho"/>
        </w:rPr>
        <w:endnoteRef/>
      </w:r>
      <w:r>
        <w:t xml:space="preserve"> </w:t>
      </w:r>
      <w:r>
        <w:rPr>
          <w:i/>
        </w:rPr>
        <w:t>Id</w:t>
      </w:r>
      <w:r>
        <w:t>. at 610, 740 S.E.2d at 340.</w:t>
      </w:r>
    </w:p>
  </w:endnote>
  <w:endnote w:id="293">
    <w:p>
      <w:pPr>
        <w:pStyle w:val="EndnoteText"/>
        <w:jc w:val="both"/>
      </w:pPr>
      <w:r>
        <w:rPr>
          <w:rStyle w:val="EndnoteReference"/>
          <w:rFonts w:eastAsia="MS Mincho"/>
        </w:rPr>
        <w:endnoteRef/>
      </w:r>
      <w:r>
        <w:t xml:space="preserve"> </w:t>
      </w:r>
      <w:r>
        <w:rPr>
          <w:i/>
        </w:rPr>
        <w:t>Id</w:t>
      </w:r>
      <w:r>
        <w:t>.</w:t>
      </w:r>
    </w:p>
  </w:endnote>
  <w:endnote w:id="294">
    <w:p>
      <w:pPr>
        <w:pStyle w:val="EndnoteText"/>
        <w:jc w:val="both"/>
      </w:pPr>
      <w:r>
        <w:rPr>
          <w:rStyle w:val="EndnoteReference"/>
          <w:rFonts w:eastAsia="MS Mincho"/>
        </w:rPr>
        <w:endnoteRef/>
      </w:r>
      <w:r>
        <w:t xml:space="preserve"> </w:t>
      </w:r>
      <w:r>
        <w:rPr>
          <w:i/>
        </w:rPr>
        <w:t>Id</w:t>
      </w:r>
      <w:r>
        <w:t>.</w:t>
      </w:r>
    </w:p>
  </w:endnote>
  <w:endnote w:id="295">
    <w:p>
      <w:pPr>
        <w:pStyle w:val="EndnoteText"/>
        <w:jc w:val="both"/>
      </w:pPr>
      <w:r>
        <w:rPr>
          <w:rStyle w:val="EndnoteReference"/>
          <w:rFonts w:eastAsia="MS Mincho"/>
        </w:rPr>
        <w:endnoteRef/>
      </w:r>
      <w:r>
        <w:t xml:space="preserve"> </w:t>
      </w:r>
      <w:r>
        <w:rPr>
          <w:i/>
        </w:rPr>
        <w:t>Id</w:t>
      </w:r>
      <w:r>
        <w:t>. at 614, 740 S.E.2d at 343.</w:t>
      </w:r>
    </w:p>
  </w:endnote>
  <w:endnote w:id="296">
    <w:p>
      <w:pPr>
        <w:pStyle w:val="EndnoteText"/>
        <w:jc w:val="both"/>
      </w:pPr>
      <w:r>
        <w:rPr>
          <w:rStyle w:val="EndnoteReference"/>
          <w:rFonts w:eastAsia="MS Mincho"/>
        </w:rPr>
        <w:endnoteRef/>
      </w:r>
      <w:r>
        <w:t xml:space="preserve"> </w:t>
      </w:r>
      <w:r>
        <w:rPr>
          <w:i/>
        </w:rPr>
        <w:t>Id</w:t>
      </w:r>
      <w:r>
        <w:t xml:space="preserve">. </w:t>
      </w:r>
    </w:p>
  </w:endnote>
  <w:endnote w:id="297">
    <w:p>
      <w:pPr>
        <w:pStyle w:val="EndnoteText"/>
        <w:jc w:val="both"/>
      </w:pPr>
      <w:r>
        <w:rPr>
          <w:rStyle w:val="EndnoteReference"/>
          <w:rFonts w:eastAsia="MS Mincho"/>
        </w:rPr>
        <w:endnoteRef/>
      </w:r>
      <w:r>
        <w:t xml:space="preserve"> </w:t>
      </w:r>
      <w:r>
        <w:rPr>
          <w:i/>
        </w:rPr>
        <w:t>Id</w:t>
      </w:r>
      <w:r>
        <w:t>.</w:t>
      </w:r>
    </w:p>
  </w:endnote>
  <w:endnote w:id="298">
    <w:p>
      <w:pPr>
        <w:pStyle w:val="EndnoteText"/>
        <w:jc w:val="both"/>
      </w:pPr>
      <w:r>
        <w:rPr>
          <w:rStyle w:val="EndnoteReference"/>
          <w:rFonts w:eastAsia="MS Mincho"/>
        </w:rPr>
        <w:endnoteRef/>
      </w:r>
      <w:r>
        <w:t xml:space="preserve"> </w:t>
      </w:r>
      <w:r>
        <w:rPr>
          <w:i/>
        </w:rPr>
        <w:t>Newton v. Ragland</w:t>
      </w:r>
      <w:r>
        <w:t>, -- Ga. App. --, 750 S.E.2d 768 (2013).</w:t>
      </w:r>
    </w:p>
  </w:endnote>
  <w:endnote w:id="299">
    <w:p>
      <w:pPr>
        <w:pStyle w:val="EndnoteText"/>
        <w:jc w:val="both"/>
      </w:pPr>
      <w:r>
        <w:rPr>
          <w:rStyle w:val="EndnoteReference"/>
          <w:rFonts w:eastAsia="MS Mincho"/>
        </w:rPr>
        <w:endnoteRef/>
      </w:r>
      <w:r>
        <w:t xml:space="preserve"> </w:t>
      </w:r>
      <w:r>
        <w:rPr>
          <w:i/>
        </w:rPr>
        <w:t>Id</w:t>
      </w:r>
      <w:r>
        <w:t>. at --, 750 S.E.2d 769.</w:t>
      </w:r>
    </w:p>
  </w:endnote>
  <w:endnote w:id="300">
    <w:p>
      <w:pPr>
        <w:pStyle w:val="EndnoteText"/>
        <w:jc w:val="both"/>
      </w:pPr>
      <w:r>
        <w:rPr>
          <w:rStyle w:val="EndnoteReference"/>
          <w:rFonts w:eastAsia="MS Mincho"/>
        </w:rPr>
        <w:endnoteRef/>
      </w:r>
      <w:r>
        <w:t xml:space="preserve"> </w:t>
      </w:r>
      <w:r>
        <w:rPr>
          <w:i/>
        </w:rPr>
        <w:t>Id</w:t>
      </w:r>
      <w:r>
        <w:t xml:space="preserve">. </w:t>
      </w:r>
    </w:p>
  </w:endnote>
  <w:endnote w:id="301">
    <w:p>
      <w:pPr>
        <w:pStyle w:val="EndnoteText"/>
        <w:jc w:val="both"/>
      </w:pPr>
      <w:r>
        <w:rPr>
          <w:rStyle w:val="EndnoteReference"/>
          <w:rFonts w:eastAsia="MS Mincho"/>
        </w:rPr>
        <w:endnoteRef/>
      </w:r>
      <w:r>
        <w:t xml:space="preserve"> </w:t>
      </w:r>
      <w:r>
        <w:rPr>
          <w:i/>
        </w:rPr>
        <w:t>Id.</w:t>
      </w:r>
    </w:p>
  </w:endnote>
  <w:endnote w:id="302">
    <w:p>
      <w:pPr>
        <w:pStyle w:val="EndnoteText"/>
        <w:jc w:val="both"/>
      </w:pPr>
      <w:r>
        <w:rPr>
          <w:rStyle w:val="EndnoteReference"/>
          <w:rFonts w:eastAsia="MS Mincho"/>
        </w:rPr>
        <w:endnoteRef/>
      </w:r>
      <w:r>
        <w:t xml:space="preserve"> </w:t>
      </w:r>
      <w:r>
        <w:rPr>
          <w:i/>
        </w:rPr>
        <w:t>Id</w:t>
      </w:r>
      <w:r>
        <w:t>. at --, 750 S.E.2d at 770.</w:t>
      </w:r>
    </w:p>
  </w:endnote>
  <w:endnote w:id="303">
    <w:p>
      <w:pPr>
        <w:pStyle w:val="EndnoteText"/>
        <w:jc w:val="both"/>
      </w:pPr>
      <w:r>
        <w:rPr>
          <w:rStyle w:val="EndnoteReference"/>
          <w:rFonts w:eastAsia="MS Mincho"/>
        </w:rPr>
        <w:endnoteRef/>
      </w:r>
      <w:r>
        <w:t xml:space="preserve"> </w:t>
      </w:r>
      <w:r>
        <w:rPr>
          <w:i/>
        </w:rPr>
        <w:t>Id</w:t>
      </w:r>
      <w:r>
        <w:t xml:space="preserve">.  </w:t>
      </w:r>
    </w:p>
  </w:endnote>
  <w:endnote w:id="304">
    <w:p>
      <w:pPr>
        <w:pStyle w:val="EndnoteText"/>
        <w:jc w:val="both"/>
      </w:pPr>
      <w:r>
        <w:rPr>
          <w:rStyle w:val="EndnoteReference"/>
          <w:rFonts w:eastAsia="MS Mincho"/>
        </w:rPr>
        <w:endnoteRef/>
      </w:r>
      <w:r>
        <w:t xml:space="preserve"> </w:t>
      </w:r>
      <w:r>
        <w:rPr>
          <w:i/>
        </w:rPr>
        <w:t>Id</w:t>
      </w:r>
      <w:r>
        <w:t>.</w:t>
      </w:r>
    </w:p>
  </w:endnote>
  <w:endnote w:id="305">
    <w:p>
      <w:pPr>
        <w:pStyle w:val="EndnoteText"/>
        <w:jc w:val="both"/>
      </w:pPr>
      <w:r>
        <w:rPr>
          <w:rStyle w:val="EndnoteReference"/>
          <w:rFonts w:eastAsia="MS Mincho"/>
        </w:rPr>
        <w:endnoteRef/>
      </w:r>
      <w:r>
        <w:t xml:space="preserve"> </w:t>
      </w:r>
      <w:r>
        <w:rPr>
          <w:i/>
        </w:rPr>
        <w:t>Id</w:t>
      </w:r>
      <w:r>
        <w:t>.</w:t>
      </w:r>
    </w:p>
  </w:endnote>
  <w:endnote w:id="306">
    <w:p>
      <w:pPr>
        <w:pStyle w:val="EndnoteText"/>
        <w:jc w:val="both"/>
      </w:pPr>
      <w:r>
        <w:rPr>
          <w:rStyle w:val="EndnoteReference"/>
          <w:rFonts w:eastAsia="MS Mincho"/>
        </w:rPr>
        <w:endnoteRef/>
      </w:r>
      <w:r>
        <w:t xml:space="preserve"> </w:t>
      </w:r>
      <w:r>
        <w:rPr>
          <w:i/>
        </w:rPr>
        <w:t>Turner v. Williamson</w:t>
      </w:r>
      <w:r>
        <w:t>, 321 Ga. App. 209, 738 S.E.2d 712 (2013) (enforceable settlement found where offer to settle acceptable by payment alone and insurer did not condition settlement upon the plaintiff signing the disagreeable release sent along with payment).</w:t>
      </w:r>
    </w:p>
  </w:endnote>
  <w:endnote w:id="307">
    <w:p>
      <w:pPr>
        <w:pStyle w:val="EndnoteText"/>
        <w:jc w:val="both"/>
      </w:pPr>
      <w:r>
        <w:rPr>
          <w:rStyle w:val="EndnoteReference"/>
          <w:rFonts w:eastAsia="MS Mincho"/>
        </w:rPr>
        <w:endnoteRef/>
      </w:r>
      <w:r>
        <w:t xml:space="preserve"> </w:t>
      </w:r>
      <w:r>
        <w:rPr>
          <w:i/>
        </w:rPr>
        <w:t>Newton</w:t>
      </w:r>
      <w:r>
        <w:t>, -- Ga. App.</w:t>
      </w:r>
      <w:r>
        <w:rPr>
          <w:i/>
        </w:rPr>
        <w:t xml:space="preserve"> </w:t>
      </w:r>
      <w:r>
        <w:t>at --, 750 S.E.2d at 771.</w:t>
      </w:r>
    </w:p>
  </w:endnote>
  <w:endnote w:id="308">
    <w:p>
      <w:pPr>
        <w:pStyle w:val="EndnoteText"/>
        <w:jc w:val="both"/>
      </w:pPr>
      <w:r>
        <w:rPr>
          <w:rStyle w:val="EndnoteReference"/>
          <w:rFonts w:eastAsia="MS Mincho"/>
        </w:rPr>
        <w:endnoteRef/>
      </w:r>
      <w:r>
        <w:t xml:space="preserve"> </w:t>
      </w:r>
      <w:r>
        <w:rPr>
          <w:i/>
        </w:rPr>
        <w:t>Id</w:t>
      </w:r>
      <w:r>
        <w:t xml:space="preserve">.  </w:t>
      </w:r>
    </w:p>
  </w:endnote>
  <w:endnote w:id="309">
    <w:p>
      <w:pPr>
        <w:pStyle w:val="EndnoteText"/>
        <w:jc w:val="both"/>
      </w:pPr>
      <w:r>
        <w:rPr>
          <w:rStyle w:val="EndnoteReference"/>
          <w:rFonts w:eastAsia="MS Mincho"/>
        </w:rPr>
        <w:endnoteRef/>
      </w:r>
      <w:r>
        <w:t xml:space="preserve"> O.C.G.A. § 9-11-67.1 applies only to claims “for personal injury, bodily injury, or death arising out of the use of a motor vehicle . . . .”  O.C.G.A. § 9-11-67.1.</w:t>
      </w:r>
    </w:p>
  </w:endnote>
  <w:endnote w:id="310">
    <w:p>
      <w:pPr>
        <w:pStyle w:val="EndnoteText"/>
        <w:jc w:val="both"/>
      </w:pPr>
      <w:r>
        <w:rPr>
          <w:rStyle w:val="EndnoteReference"/>
          <w:rFonts w:eastAsia="MS Mincho"/>
        </w:rPr>
        <w:endnoteRef/>
      </w:r>
      <w:r>
        <w:t xml:space="preserve"> </w:t>
      </w:r>
      <w:r>
        <w:rPr>
          <w:i/>
        </w:rPr>
        <w:t>Eells v. State Farm Mut. Auto. Ins. Co.</w:t>
      </w:r>
      <w:r>
        <w:t>, -- Ga. App. --, 752 S.E.2d 70, 72 (2013).</w:t>
      </w:r>
    </w:p>
  </w:endnote>
  <w:endnote w:id="311">
    <w:p>
      <w:pPr>
        <w:pStyle w:val="EndnoteText"/>
        <w:jc w:val="both"/>
      </w:pPr>
      <w:r>
        <w:rPr>
          <w:rStyle w:val="EndnoteReference"/>
          <w:rFonts w:eastAsia="MS Mincho"/>
        </w:rPr>
        <w:endnoteRef/>
      </w:r>
      <w:r>
        <w:t xml:space="preserve"> </w:t>
      </w:r>
      <w:r>
        <w:rPr>
          <w:i/>
        </w:rPr>
        <w:t>Id</w:t>
      </w:r>
      <w:r>
        <w:t>. at --, 752 S.E.2d at 72.</w:t>
      </w:r>
    </w:p>
  </w:endnote>
  <w:endnote w:id="312">
    <w:p>
      <w:pPr>
        <w:pStyle w:val="EndnoteText"/>
        <w:jc w:val="both"/>
      </w:pPr>
      <w:r>
        <w:rPr>
          <w:rStyle w:val="EndnoteReference"/>
          <w:rFonts w:eastAsia="MS Mincho"/>
        </w:rPr>
        <w:endnoteRef/>
      </w:r>
      <w:r>
        <w:t xml:space="preserve"> </w:t>
      </w:r>
      <w:r>
        <w:rPr>
          <w:i/>
        </w:rPr>
        <w:t>Id</w:t>
      </w:r>
      <w:r>
        <w:t>.</w:t>
      </w:r>
    </w:p>
  </w:endnote>
  <w:endnote w:id="313">
    <w:p>
      <w:pPr>
        <w:pStyle w:val="EndnoteText"/>
        <w:jc w:val="both"/>
      </w:pPr>
      <w:r>
        <w:rPr>
          <w:rStyle w:val="EndnoteReference"/>
          <w:rFonts w:eastAsia="MS Mincho"/>
        </w:rPr>
        <w:endnoteRef/>
      </w:r>
      <w:r>
        <w:t xml:space="preserve"> </w:t>
      </w:r>
      <w:r>
        <w:rPr>
          <w:i/>
        </w:rPr>
        <w:t>Id</w:t>
      </w:r>
      <w:r>
        <w:t>.</w:t>
      </w:r>
    </w:p>
  </w:endnote>
  <w:endnote w:id="314">
    <w:p>
      <w:pPr>
        <w:pStyle w:val="EndnoteText"/>
        <w:jc w:val="both"/>
      </w:pPr>
      <w:r>
        <w:rPr>
          <w:rStyle w:val="EndnoteReference"/>
          <w:rFonts w:eastAsia="MS Mincho"/>
        </w:rPr>
        <w:endnoteRef/>
      </w:r>
      <w:r>
        <w:t xml:space="preserve"> </w:t>
      </w:r>
      <w:r>
        <w:rPr>
          <w:i/>
        </w:rPr>
        <w:t>Id</w:t>
      </w:r>
      <w:r>
        <w:t>.</w:t>
      </w:r>
    </w:p>
  </w:endnote>
  <w:endnote w:id="315">
    <w:p>
      <w:pPr>
        <w:pStyle w:val="EndnoteText"/>
        <w:jc w:val="both"/>
      </w:pPr>
      <w:r>
        <w:rPr>
          <w:rStyle w:val="EndnoteReference"/>
          <w:rFonts w:eastAsia="MS Mincho"/>
        </w:rPr>
        <w:endnoteRef/>
      </w:r>
      <w:r>
        <w:t xml:space="preserve"> </w:t>
      </w:r>
      <w:r>
        <w:rPr>
          <w:i/>
        </w:rPr>
        <w:t>Id</w:t>
      </w:r>
      <w:r>
        <w:t>.</w:t>
      </w:r>
    </w:p>
  </w:endnote>
  <w:endnote w:id="316">
    <w:p>
      <w:pPr>
        <w:pStyle w:val="EndnoteText"/>
        <w:jc w:val="both"/>
      </w:pPr>
      <w:r>
        <w:rPr>
          <w:rStyle w:val="EndnoteReference"/>
          <w:rFonts w:eastAsia="MS Mincho"/>
        </w:rPr>
        <w:endnoteRef/>
      </w:r>
      <w:r>
        <w:t xml:space="preserve"> </w:t>
      </w:r>
      <w:r>
        <w:rPr>
          <w:i/>
        </w:rPr>
        <w:t>Id</w:t>
      </w:r>
      <w:r>
        <w:t>.</w:t>
      </w:r>
    </w:p>
  </w:endnote>
  <w:endnote w:id="317">
    <w:p>
      <w:pPr>
        <w:pStyle w:val="EndnoteText"/>
        <w:jc w:val="both"/>
      </w:pPr>
      <w:r>
        <w:rPr>
          <w:rStyle w:val="EndnoteReference"/>
          <w:rFonts w:eastAsia="MS Mincho"/>
        </w:rPr>
        <w:endnoteRef/>
      </w:r>
      <w:r>
        <w:t xml:space="preserve"> </w:t>
      </w:r>
      <w:r>
        <w:rPr>
          <w:i/>
        </w:rPr>
        <w:t>Id</w:t>
      </w:r>
      <w:r>
        <w:t>. at --, 752 S.E.2d at 74.</w:t>
      </w:r>
    </w:p>
  </w:endnote>
  <w:endnote w:id="318">
    <w:p>
      <w:pPr>
        <w:pStyle w:val="EndnoteText"/>
        <w:jc w:val="both"/>
      </w:pPr>
      <w:r>
        <w:rPr>
          <w:rStyle w:val="EndnoteReference"/>
          <w:rFonts w:eastAsia="MS Mincho"/>
        </w:rPr>
        <w:endnoteRef/>
      </w:r>
      <w:r>
        <w:t xml:space="preserve"> </w:t>
      </w:r>
      <w:r>
        <w:rPr>
          <w:i/>
        </w:rPr>
        <w:t>Id.</w:t>
      </w:r>
      <w:r>
        <w:t xml:space="preserve"> at --, 753 S.E.2d at 72. </w:t>
      </w:r>
    </w:p>
  </w:endnote>
  <w:endnote w:id="319">
    <w:p>
      <w:pPr>
        <w:pStyle w:val="EndnoteText"/>
        <w:jc w:val="both"/>
      </w:pPr>
      <w:r>
        <w:rPr>
          <w:rStyle w:val="EndnoteReference"/>
          <w:rFonts w:eastAsia="MS Mincho"/>
        </w:rPr>
        <w:endnoteRef/>
      </w:r>
      <w:r>
        <w:t xml:space="preserve"> </w:t>
      </w:r>
      <w:r>
        <w:rPr>
          <w:i/>
        </w:rPr>
        <w:t xml:space="preserve">Id. </w:t>
      </w:r>
      <w:r>
        <w:t>at --, 753 S.E.2d at 73.</w:t>
      </w:r>
    </w:p>
  </w:endnote>
  <w:endnote w:id="320">
    <w:p>
      <w:pPr>
        <w:pStyle w:val="EndnoteText"/>
        <w:jc w:val="both"/>
      </w:pPr>
      <w:r>
        <w:rPr>
          <w:rStyle w:val="EndnoteReference"/>
          <w:rFonts w:eastAsia="MS Mincho"/>
        </w:rPr>
        <w:endnoteRef/>
      </w:r>
      <w:r>
        <w:t xml:space="preserve"> </w:t>
      </w:r>
      <w:r>
        <w:rPr>
          <w:i/>
        </w:rPr>
        <w:t>Id</w:t>
      </w:r>
      <w:r>
        <w:t>.</w:t>
      </w:r>
    </w:p>
  </w:endnote>
  <w:endnote w:id="321">
    <w:p>
      <w:pPr>
        <w:pStyle w:val="EndnoteText"/>
        <w:jc w:val="both"/>
      </w:pPr>
      <w:r>
        <w:rPr>
          <w:rStyle w:val="EndnoteReference"/>
          <w:rFonts w:eastAsia="MS Mincho"/>
        </w:rPr>
        <w:endnoteRef/>
      </w:r>
      <w:r>
        <w:t xml:space="preserve"> </w:t>
      </w:r>
      <w:r>
        <w:rPr>
          <w:i/>
        </w:rPr>
        <w:t>Id</w:t>
      </w:r>
      <w:r>
        <w:t>.</w:t>
      </w:r>
    </w:p>
  </w:endnote>
  <w:endnote w:id="322">
    <w:p>
      <w:pPr>
        <w:pStyle w:val="EndnoteText"/>
        <w:jc w:val="both"/>
      </w:pPr>
      <w:r>
        <w:rPr>
          <w:rStyle w:val="EndnoteReference"/>
          <w:rFonts w:eastAsia="MS Mincho"/>
        </w:rPr>
        <w:endnoteRef/>
      </w:r>
      <w:r>
        <w:t xml:space="preserve"> </w:t>
      </w:r>
      <w:r>
        <w:rPr>
          <w:i/>
        </w:rPr>
        <w:t>Id</w:t>
      </w:r>
      <w:r>
        <w:t>. (emphasis in original).</w:t>
      </w:r>
    </w:p>
  </w:endnote>
  <w:endnote w:id="323">
    <w:p>
      <w:pPr>
        <w:pStyle w:val="EndnoteText"/>
        <w:jc w:val="both"/>
      </w:pPr>
      <w:r>
        <w:rPr>
          <w:rStyle w:val="EndnoteReference"/>
          <w:rFonts w:eastAsia="MS Mincho"/>
        </w:rPr>
        <w:endnoteRef/>
      </w:r>
      <w:r>
        <w:t xml:space="preserve"> </w:t>
      </w:r>
      <w:r>
        <w:rPr>
          <w:i/>
        </w:rPr>
        <w:t>Id</w:t>
      </w:r>
      <w:r>
        <w:t>. (emphasis in original).</w:t>
      </w:r>
    </w:p>
  </w:endnote>
  <w:endnote w:id="324">
    <w:p>
      <w:pPr>
        <w:pStyle w:val="EndnoteText"/>
        <w:jc w:val="both"/>
      </w:pPr>
      <w:r>
        <w:rPr>
          <w:rStyle w:val="EndnoteReference"/>
          <w:rFonts w:eastAsia="MS Mincho"/>
        </w:rPr>
        <w:endnoteRef/>
      </w:r>
      <w:r>
        <w:t xml:space="preserve"> </w:t>
      </w:r>
      <w:r>
        <w:rPr>
          <w:i/>
        </w:rPr>
        <w:t>Id.</w:t>
      </w:r>
      <w:r>
        <w:t xml:space="preserve"> at --, 753 S.E.2d at 73-74.</w:t>
      </w:r>
    </w:p>
  </w:endnote>
  <w:endnote w:id="325">
    <w:p>
      <w:pPr>
        <w:pStyle w:val="EndnoteText"/>
        <w:jc w:val="both"/>
      </w:pPr>
      <w:r>
        <w:rPr>
          <w:rStyle w:val="EndnoteReference"/>
          <w:rFonts w:eastAsia="MS Mincho"/>
        </w:rPr>
        <w:endnoteRef/>
      </w:r>
      <w:r>
        <w:t xml:space="preserve"> </w:t>
      </w:r>
      <w:r>
        <w:rPr>
          <w:i/>
        </w:rPr>
        <w:t>Id</w:t>
      </w:r>
      <w:r>
        <w:t>. at --, 753 S.E.2d at 74.</w:t>
      </w:r>
    </w:p>
  </w:endnote>
  <w:endnote w:id="326">
    <w:p>
      <w:pPr>
        <w:pStyle w:val="EndnoteText"/>
        <w:jc w:val="both"/>
      </w:pPr>
      <w:r>
        <w:rPr>
          <w:rStyle w:val="EndnoteReference"/>
          <w:rFonts w:eastAsia="MS Mincho"/>
        </w:rPr>
        <w:endnoteRef/>
      </w:r>
      <w:r>
        <w:t xml:space="preserve"> </w:t>
      </w:r>
      <w:r>
        <w:rPr>
          <w:i/>
        </w:rPr>
        <w:t>Id</w:t>
      </w:r>
      <w:r>
        <w:t>.</w:t>
      </w:r>
    </w:p>
  </w:endnote>
  <w:endnote w:id="327">
    <w:p>
      <w:pPr>
        <w:pStyle w:val="EndnoteText"/>
        <w:jc w:val="both"/>
      </w:pPr>
      <w:r>
        <w:rPr>
          <w:rStyle w:val="EndnoteReference"/>
          <w:rFonts w:eastAsia="MS Mincho"/>
        </w:rPr>
        <w:endnoteRef/>
      </w:r>
      <w:r>
        <w:t xml:space="preserve"> </w:t>
      </w:r>
      <w:r>
        <w:rPr>
          <w:i/>
        </w:rPr>
        <w:t>McGraw v. IDS Prop. &amp; Cas. Ins. Co.</w:t>
      </w:r>
      <w:r>
        <w:t>, 323 Ga. App. 408, 744 S.E.2d 891 (2013).</w:t>
      </w:r>
    </w:p>
  </w:endnote>
  <w:endnote w:id="328">
    <w:p>
      <w:pPr>
        <w:pStyle w:val="EndnoteText"/>
        <w:jc w:val="both"/>
      </w:pPr>
      <w:r>
        <w:rPr>
          <w:rStyle w:val="EndnoteReference"/>
          <w:rFonts w:eastAsia="MS Mincho"/>
        </w:rPr>
        <w:endnoteRef/>
      </w:r>
      <w:r>
        <w:t xml:space="preserve"> </w:t>
      </w:r>
      <w:r>
        <w:rPr>
          <w:i/>
        </w:rPr>
        <w:t>Id</w:t>
      </w:r>
      <w:r>
        <w:t>. at 409, 744 S.E.2d at 892.</w:t>
      </w:r>
    </w:p>
  </w:endnote>
  <w:endnote w:id="329">
    <w:p>
      <w:pPr>
        <w:pStyle w:val="EndnoteText"/>
        <w:jc w:val="both"/>
      </w:pPr>
      <w:r>
        <w:rPr>
          <w:rStyle w:val="EndnoteReference"/>
          <w:rFonts w:eastAsia="MS Mincho"/>
        </w:rPr>
        <w:endnoteRef/>
      </w:r>
      <w:r>
        <w:t xml:space="preserve"> </w:t>
      </w:r>
      <w:r>
        <w:rPr>
          <w:i/>
        </w:rPr>
        <w:t>Id</w:t>
      </w:r>
      <w:r>
        <w:t xml:space="preserve">. </w:t>
      </w:r>
    </w:p>
  </w:endnote>
  <w:endnote w:id="330">
    <w:p>
      <w:pPr>
        <w:pStyle w:val="EndnoteText"/>
        <w:jc w:val="both"/>
      </w:pPr>
      <w:r>
        <w:rPr>
          <w:rStyle w:val="EndnoteReference"/>
          <w:rFonts w:eastAsia="MS Mincho"/>
        </w:rPr>
        <w:endnoteRef/>
      </w:r>
      <w:r>
        <w:t xml:space="preserve"> </w:t>
      </w:r>
      <w:r>
        <w:rPr>
          <w:i/>
        </w:rPr>
        <w:t>Id</w:t>
      </w:r>
      <w:r>
        <w:t xml:space="preserve">. </w:t>
      </w:r>
    </w:p>
  </w:endnote>
  <w:endnote w:id="331">
    <w:p>
      <w:pPr>
        <w:pStyle w:val="EndnoteText"/>
        <w:jc w:val="both"/>
      </w:pPr>
      <w:r>
        <w:rPr>
          <w:rStyle w:val="EndnoteReference"/>
          <w:rFonts w:eastAsia="MS Mincho"/>
        </w:rPr>
        <w:endnoteRef/>
      </w:r>
      <w:r>
        <w:t xml:space="preserve"> </w:t>
      </w:r>
      <w:r>
        <w:rPr>
          <w:i/>
        </w:rPr>
        <w:t>Id</w:t>
      </w:r>
      <w:r>
        <w:t xml:space="preserve">. </w:t>
      </w:r>
    </w:p>
  </w:endnote>
  <w:endnote w:id="332">
    <w:p>
      <w:pPr>
        <w:pStyle w:val="EndnoteText"/>
        <w:jc w:val="both"/>
      </w:pPr>
      <w:r>
        <w:rPr>
          <w:rStyle w:val="EndnoteReference"/>
          <w:rFonts w:eastAsia="MS Mincho"/>
        </w:rPr>
        <w:endnoteRef/>
      </w:r>
      <w:r>
        <w:t xml:space="preserve"> </w:t>
      </w:r>
      <w:r>
        <w:rPr>
          <w:i/>
        </w:rPr>
        <w:t>Id</w:t>
      </w:r>
      <w:r>
        <w:t>.</w:t>
      </w:r>
    </w:p>
  </w:endnote>
  <w:endnote w:id="333">
    <w:p>
      <w:pPr>
        <w:pStyle w:val="EndnoteText"/>
        <w:jc w:val="both"/>
      </w:pPr>
      <w:r>
        <w:rPr>
          <w:rStyle w:val="EndnoteReference"/>
          <w:rFonts w:eastAsia="MS Mincho"/>
        </w:rPr>
        <w:endnoteRef/>
      </w:r>
      <w:r>
        <w:t xml:space="preserve"> </w:t>
      </w:r>
      <w:r>
        <w:rPr>
          <w:i/>
        </w:rPr>
        <w:t>Id</w:t>
      </w:r>
      <w:r>
        <w:t>. at 411, 744 S.E.2d at 894.</w:t>
      </w:r>
    </w:p>
  </w:endnote>
  <w:endnote w:id="334">
    <w:p>
      <w:pPr>
        <w:pStyle w:val="EndnoteText"/>
        <w:jc w:val="both"/>
      </w:pPr>
      <w:r>
        <w:rPr>
          <w:rStyle w:val="EndnoteReference"/>
          <w:rFonts w:eastAsia="MS Mincho"/>
        </w:rPr>
        <w:endnoteRef/>
      </w:r>
      <w:r>
        <w:t xml:space="preserve"> </w:t>
      </w:r>
      <w:r>
        <w:rPr>
          <w:i/>
        </w:rPr>
        <w:t>Id</w:t>
      </w:r>
      <w:r>
        <w:t>. at 409.  744 S.E.2d at 893.</w:t>
      </w:r>
    </w:p>
  </w:endnote>
  <w:endnote w:id="335">
    <w:p>
      <w:pPr>
        <w:pStyle w:val="EndnoteText"/>
        <w:jc w:val="both"/>
      </w:pPr>
      <w:r>
        <w:rPr>
          <w:rStyle w:val="EndnoteReference"/>
          <w:rFonts w:eastAsia="MS Mincho"/>
        </w:rPr>
        <w:endnoteRef/>
      </w:r>
      <w:r>
        <w:t xml:space="preserve"> </w:t>
      </w:r>
      <w:r>
        <w:rPr>
          <w:i/>
        </w:rPr>
        <w:t>Id</w:t>
      </w:r>
      <w:r>
        <w:t>.</w:t>
      </w:r>
    </w:p>
  </w:endnote>
  <w:endnote w:id="336">
    <w:p>
      <w:pPr>
        <w:pStyle w:val="EndnoteText"/>
        <w:jc w:val="both"/>
      </w:pPr>
      <w:r>
        <w:rPr>
          <w:rStyle w:val="EndnoteReference"/>
          <w:rFonts w:eastAsia="MS Mincho"/>
        </w:rPr>
        <w:endnoteRef/>
      </w:r>
      <w:r>
        <w:t xml:space="preserve"> </w:t>
      </w:r>
      <w:r>
        <w:rPr>
          <w:i/>
        </w:rPr>
        <w:t>Id</w:t>
      </w:r>
      <w:r>
        <w:t>. at 410, 744 S.E. 2d at 893 (</w:t>
      </w:r>
      <w:r>
        <w:rPr>
          <w:i/>
        </w:rPr>
        <w:t>quoting</w:t>
      </w:r>
      <w:r>
        <w:t xml:space="preserve"> O.C.G.A. § 33-7-11(a)(1)).</w:t>
      </w:r>
    </w:p>
  </w:endnote>
  <w:endnote w:id="337">
    <w:p>
      <w:pPr>
        <w:pStyle w:val="EndnoteText"/>
        <w:jc w:val="both"/>
      </w:pPr>
      <w:r>
        <w:rPr>
          <w:rStyle w:val="EndnoteReference"/>
          <w:rFonts w:eastAsia="MS Mincho"/>
        </w:rPr>
        <w:endnoteRef/>
      </w:r>
      <w:r>
        <w:t xml:space="preserve"> </w:t>
      </w:r>
      <w:r>
        <w:rPr>
          <w:i/>
        </w:rPr>
        <w:t>Id</w:t>
      </w:r>
      <w:r>
        <w:t>. at 410, 744 S.E. 2d at 893.</w:t>
      </w:r>
    </w:p>
  </w:endnote>
  <w:endnote w:id="338">
    <w:p>
      <w:pPr>
        <w:pStyle w:val="EndnoteText"/>
        <w:jc w:val="both"/>
      </w:pPr>
      <w:r>
        <w:rPr>
          <w:rStyle w:val="EndnoteReference"/>
          <w:rFonts w:eastAsia="MS Mincho"/>
        </w:rPr>
        <w:endnoteRef/>
      </w:r>
      <w:r>
        <w:t xml:space="preserve"> </w:t>
      </w:r>
      <w:r>
        <w:rPr>
          <w:i/>
        </w:rPr>
        <w:t>Id</w:t>
      </w:r>
      <w:r>
        <w:t>.</w:t>
      </w:r>
    </w:p>
  </w:endnote>
  <w:endnote w:id="339">
    <w:p>
      <w:pPr>
        <w:pStyle w:val="EndnoteText"/>
        <w:jc w:val="both"/>
      </w:pPr>
      <w:r>
        <w:rPr>
          <w:rStyle w:val="EndnoteReference"/>
          <w:rFonts w:eastAsia="MS Mincho"/>
        </w:rPr>
        <w:endnoteRef/>
      </w:r>
      <w:r>
        <w:t xml:space="preserve"> </w:t>
      </w:r>
      <w:r>
        <w:rPr>
          <w:i/>
        </w:rPr>
        <w:t>Id</w:t>
      </w:r>
      <w:r>
        <w:t>. at 411, 744 S.E.2d at 894.</w:t>
      </w:r>
    </w:p>
  </w:endnote>
  <w:endnote w:id="340">
    <w:p>
      <w:pPr>
        <w:pStyle w:val="EndnoteText"/>
        <w:jc w:val="both"/>
      </w:pPr>
      <w:r>
        <w:rPr>
          <w:rStyle w:val="EndnoteReference"/>
          <w:rFonts w:eastAsia="MS Mincho"/>
        </w:rPr>
        <w:endnoteRef/>
      </w:r>
      <w:r>
        <w:t xml:space="preserve"> </w:t>
      </w:r>
      <w:r>
        <w:rPr>
          <w:i/>
        </w:rPr>
        <w:t>Id</w:t>
      </w:r>
      <w:r>
        <w:t>.</w:t>
      </w:r>
    </w:p>
  </w:endnote>
  <w:endnote w:id="341">
    <w:p>
      <w:pPr>
        <w:pStyle w:val="EndnoteText"/>
        <w:jc w:val="both"/>
      </w:pPr>
      <w:r>
        <w:rPr>
          <w:rStyle w:val="EndnoteReference"/>
          <w:rFonts w:eastAsia="MS Mincho"/>
        </w:rPr>
        <w:endnoteRef/>
      </w:r>
      <w:r>
        <w:t xml:space="preserve"> </w:t>
      </w:r>
      <w:r>
        <w:rPr>
          <w:i/>
        </w:rPr>
        <w:t>Wilson v. Auto. Ins. Co. of Hartford, Conn</w:t>
      </w:r>
      <w:r>
        <w:t xml:space="preserve">., 293 Ga. 251, 744 S.E.2d 732 (2013).  </w:t>
      </w:r>
    </w:p>
  </w:endnote>
  <w:endnote w:id="342">
    <w:p>
      <w:pPr>
        <w:pStyle w:val="EndnoteText"/>
        <w:jc w:val="both"/>
      </w:pPr>
      <w:r>
        <w:rPr>
          <w:rStyle w:val="EndnoteReference"/>
          <w:rFonts w:eastAsia="MS Mincho"/>
        </w:rPr>
        <w:endnoteRef/>
      </w:r>
      <w:r>
        <w:t xml:space="preserve"> </w:t>
      </w:r>
      <w:r>
        <w:rPr>
          <w:i/>
        </w:rPr>
        <w:t>Id</w:t>
      </w:r>
      <w:r>
        <w:t>.</w:t>
      </w:r>
    </w:p>
  </w:endnote>
  <w:endnote w:id="343">
    <w:p>
      <w:pPr>
        <w:pStyle w:val="EndnoteText"/>
        <w:jc w:val="both"/>
      </w:pPr>
      <w:r>
        <w:rPr>
          <w:rStyle w:val="EndnoteReference"/>
          <w:rFonts w:eastAsia="MS Mincho"/>
        </w:rPr>
        <w:endnoteRef/>
      </w:r>
      <w:r>
        <w:t xml:space="preserve"> </w:t>
      </w:r>
      <w:r>
        <w:rPr>
          <w:i/>
        </w:rPr>
        <w:t>Id</w:t>
      </w:r>
      <w:r>
        <w:t>. at 252, 744 S.E.2d at 733.</w:t>
      </w:r>
    </w:p>
  </w:endnote>
  <w:endnote w:id="344">
    <w:p>
      <w:pPr>
        <w:pStyle w:val="EndnoteText"/>
        <w:jc w:val="both"/>
      </w:pPr>
      <w:r>
        <w:rPr>
          <w:rStyle w:val="EndnoteReference"/>
          <w:rFonts w:eastAsia="MS Mincho"/>
        </w:rPr>
        <w:endnoteRef/>
      </w:r>
      <w:r>
        <w:t xml:space="preserve"> </w:t>
      </w:r>
      <w:r>
        <w:rPr>
          <w:i/>
        </w:rPr>
        <w:t>Id</w:t>
      </w:r>
      <w:r>
        <w:t>.</w:t>
      </w:r>
    </w:p>
  </w:endnote>
  <w:endnote w:id="345">
    <w:p>
      <w:pPr>
        <w:pStyle w:val="EndnoteText"/>
        <w:jc w:val="both"/>
      </w:pPr>
      <w:r>
        <w:rPr>
          <w:rStyle w:val="EndnoteReference"/>
          <w:rFonts w:eastAsia="MS Mincho"/>
        </w:rPr>
        <w:endnoteRef/>
      </w:r>
      <w:r>
        <w:t xml:space="preserve"> </w:t>
      </w:r>
      <w:r>
        <w:rPr>
          <w:i/>
        </w:rPr>
        <w:t>Id</w:t>
      </w:r>
      <w:r>
        <w:t>.</w:t>
      </w:r>
    </w:p>
  </w:endnote>
  <w:endnote w:id="346">
    <w:p>
      <w:pPr>
        <w:pStyle w:val="EndnoteText"/>
        <w:jc w:val="both"/>
      </w:pPr>
      <w:r>
        <w:rPr>
          <w:rStyle w:val="EndnoteReference"/>
          <w:rFonts w:eastAsia="MS Mincho"/>
        </w:rPr>
        <w:endnoteRef/>
      </w:r>
      <w:r>
        <w:t xml:space="preserve"> </w:t>
      </w:r>
      <w:r>
        <w:rPr>
          <w:i/>
        </w:rPr>
        <w:t>Id</w:t>
      </w:r>
      <w:r>
        <w:t>. (</w:t>
      </w:r>
      <w:r>
        <w:rPr>
          <w:i/>
        </w:rPr>
        <w:t>quoting</w:t>
      </w:r>
      <w:r>
        <w:t xml:space="preserve"> O.C.G.A. § 33-7-11).</w:t>
      </w:r>
    </w:p>
  </w:endnote>
  <w:endnote w:id="347">
    <w:p>
      <w:pPr>
        <w:pStyle w:val="EndnoteText"/>
        <w:jc w:val="both"/>
      </w:pPr>
      <w:r>
        <w:rPr>
          <w:rStyle w:val="EndnoteReference"/>
          <w:rFonts w:eastAsia="MS Mincho"/>
        </w:rPr>
        <w:endnoteRef/>
      </w:r>
      <w:r>
        <w:t xml:space="preserve"> </w:t>
      </w:r>
      <w:r>
        <w:rPr>
          <w:i/>
        </w:rPr>
        <w:t>Id</w:t>
      </w:r>
      <w:r>
        <w:t>. at 252, 744 S.E.2d at 733.</w:t>
      </w:r>
    </w:p>
  </w:endnote>
  <w:endnote w:id="348">
    <w:p>
      <w:pPr>
        <w:pStyle w:val="EndnoteText"/>
        <w:jc w:val="both"/>
      </w:pPr>
      <w:r>
        <w:rPr>
          <w:rStyle w:val="EndnoteReference"/>
          <w:rFonts w:eastAsia="MS Mincho"/>
        </w:rPr>
        <w:endnoteRef/>
      </w:r>
      <w:r>
        <w:t xml:space="preserve"> </w:t>
      </w:r>
      <w:r>
        <w:rPr>
          <w:i/>
        </w:rPr>
        <w:t>Id</w:t>
      </w:r>
      <w:r>
        <w:t>. at 254, 744 S.E.2d at 734.</w:t>
      </w:r>
    </w:p>
  </w:endnote>
  <w:endnote w:id="349">
    <w:p>
      <w:pPr>
        <w:pStyle w:val="EndnoteText"/>
        <w:jc w:val="both"/>
      </w:pPr>
      <w:r>
        <w:rPr>
          <w:rStyle w:val="EndnoteReference"/>
          <w:rFonts w:eastAsia="MS Mincho"/>
        </w:rPr>
        <w:endnoteRef/>
      </w:r>
      <w:r>
        <w:t xml:space="preserve"> </w:t>
      </w:r>
      <w:r>
        <w:rPr>
          <w:i/>
        </w:rPr>
        <w:t>Id</w:t>
      </w:r>
      <w:r>
        <w:t>. at 252, 744 S.E.2d at 733.</w:t>
      </w:r>
    </w:p>
  </w:endnote>
  <w:endnote w:id="350">
    <w:p>
      <w:pPr>
        <w:pStyle w:val="EndnoteText"/>
        <w:jc w:val="both"/>
      </w:pPr>
      <w:r>
        <w:rPr>
          <w:rStyle w:val="EndnoteReference"/>
          <w:rFonts w:eastAsia="MS Mincho"/>
        </w:rPr>
        <w:endnoteRef/>
      </w:r>
      <w:r>
        <w:t xml:space="preserve"> </w:t>
      </w:r>
      <w:r>
        <w:rPr>
          <w:i/>
        </w:rPr>
        <w:t>Id</w:t>
      </w:r>
      <w:r>
        <w:t>.</w:t>
      </w:r>
    </w:p>
  </w:endnote>
  <w:endnote w:id="351">
    <w:p>
      <w:pPr>
        <w:pStyle w:val="EndnoteText"/>
        <w:jc w:val="both"/>
      </w:pPr>
      <w:r>
        <w:rPr>
          <w:rStyle w:val="EndnoteReference"/>
          <w:rFonts w:eastAsia="MS Mincho"/>
        </w:rPr>
        <w:endnoteRef/>
      </w:r>
      <w:r>
        <w:t xml:space="preserve"> </w:t>
      </w:r>
      <w:r>
        <w:rPr>
          <w:i/>
        </w:rPr>
        <w:t>Id</w:t>
      </w:r>
      <w:r>
        <w:t>. at 253, 744 S.E.2d 734.</w:t>
      </w:r>
    </w:p>
  </w:endnote>
  <w:endnote w:id="352">
    <w:p>
      <w:pPr>
        <w:pStyle w:val="EndnoteText"/>
        <w:jc w:val="both"/>
      </w:pPr>
      <w:r>
        <w:rPr>
          <w:rStyle w:val="EndnoteReference"/>
          <w:rFonts w:eastAsia="MS Mincho"/>
        </w:rPr>
        <w:endnoteRef/>
      </w:r>
      <w:r>
        <w:t xml:space="preserve"> </w:t>
      </w:r>
      <w:r>
        <w:rPr>
          <w:i/>
        </w:rPr>
        <w:t>Id</w:t>
      </w:r>
      <w:r>
        <w:t>.</w:t>
      </w:r>
    </w:p>
  </w:endnote>
  <w:endnote w:id="353">
    <w:p>
      <w:pPr>
        <w:pStyle w:val="EndnoteText"/>
        <w:jc w:val="both"/>
      </w:pPr>
      <w:r>
        <w:rPr>
          <w:rStyle w:val="EndnoteReference"/>
          <w:rFonts w:eastAsia="MS Mincho"/>
        </w:rPr>
        <w:endnoteRef/>
      </w:r>
      <w:r>
        <w:t xml:space="preserve"> </w:t>
      </w:r>
      <w:r>
        <w:rPr>
          <w:i/>
        </w:rPr>
        <w:t>Id</w:t>
      </w:r>
      <w:r>
        <w:t>. at 254, 744 S.E.2d at 735.</w:t>
      </w:r>
    </w:p>
  </w:endnote>
  <w:endnote w:id="354">
    <w:p>
      <w:pPr>
        <w:pStyle w:val="EndnoteText"/>
        <w:jc w:val="both"/>
      </w:pPr>
      <w:r>
        <w:rPr>
          <w:rStyle w:val="EndnoteReference"/>
          <w:rFonts w:eastAsia="MS Mincho"/>
        </w:rPr>
        <w:endnoteRef/>
      </w:r>
      <w:r>
        <w:t xml:space="preserve"> </w:t>
      </w:r>
      <w:r>
        <w:rPr>
          <w:i/>
        </w:rPr>
        <w:t>Id</w:t>
      </w:r>
      <w:r>
        <w:t>.</w:t>
      </w:r>
    </w:p>
  </w:endnote>
  <w:endnote w:id="355">
    <w:p>
      <w:pPr>
        <w:pStyle w:val="EndnoteText"/>
        <w:jc w:val="both"/>
      </w:pPr>
      <w:r>
        <w:rPr>
          <w:rStyle w:val="EndnoteReference"/>
          <w:rFonts w:eastAsia="MS Mincho"/>
        </w:rPr>
        <w:endnoteRef/>
      </w:r>
      <w:r>
        <w:t xml:space="preserve"> </w:t>
      </w:r>
      <w:r>
        <w:rPr>
          <w:i/>
        </w:rPr>
        <w:t>Id</w:t>
      </w:r>
      <w:r>
        <w:t>. at 254-55, 744 S.E.2d at 735.</w:t>
      </w:r>
    </w:p>
  </w:endnote>
  <w:endnote w:id="356">
    <w:p>
      <w:pPr>
        <w:pStyle w:val="EndnoteText"/>
        <w:jc w:val="both"/>
      </w:pPr>
      <w:r>
        <w:rPr>
          <w:rStyle w:val="EndnoteReference"/>
          <w:rFonts w:eastAsia="MS Mincho"/>
        </w:rPr>
        <w:endnoteRef/>
      </w:r>
      <w:r>
        <w:t xml:space="preserve"> </w:t>
      </w:r>
      <w:r>
        <w:rPr>
          <w:i/>
        </w:rPr>
        <w:t>Wade v. Allstate Fire and Cas. Co.</w:t>
      </w:r>
      <w:r>
        <w:t>, 324 Ga. App. 491, 751 S.E.2d 153 (2013).</w:t>
      </w:r>
    </w:p>
  </w:endnote>
  <w:endnote w:id="357">
    <w:p>
      <w:pPr>
        <w:pStyle w:val="EndnoteText"/>
        <w:jc w:val="both"/>
      </w:pPr>
      <w:r>
        <w:rPr>
          <w:rStyle w:val="EndnoteReference"/>
          <w:rFonts w:eastAsia="MS Mincho"/>
        </w:rPr>
        <w:endnoteRef/>
      </w:r>
      <w:r>
        <w:t xml:space="preserve"> </w:t>
      </w:r>
      <w:r>
        <w:rPr>
          <w:i/>
        </w:rPr>
        <w:t>Id</w:t>
      </w:r>
      <w:r>
        <w:t>. at 492, 751 S.E.2d at 155.</w:t>
      </w:r>
    </w:p>
  </w:endnote>
  <w:endnote w:id="358">
    <w:p>
      <w:pPr>
        <w:pStyle w:val="EndnoteText"/>
        <w:jc w:val="both"/>
      </w:pPr>
      <w:r>
        <w:rPr>
          <w:rStyle w:val="EndnoteReference"/>
          <w:rFonts w:eastAsia="MS Mincho"/>
        </w:rPr>
        <w:endnoteRef/>
      </w:r>
      <w:r>
        <w:t xml:space="preserve"> </w:t>
      </w:r>
      <w:r>
        <w:rPr>
          <w:i/>
        </w:rPr>
        <w:t>Id</w:t>
      </w:r>
      <w:r>
        <w:t>.</w:t>
      </w:r>
    </w:p>
  </w:endnote>
  <w:endnote w:id="359">
    <w:p>
      <w:pPr>
        <w:pStyle w:val="EndnoteText"/>
        <w:jc w:val="both"/>
      </w:pPr>
      <w:r>
        <w:rPr>
          <w:rStyle w:val="EndnoteReference"/>
          <w:rFonts w:eastAsia="MS Mincho"/>
        </w:rPr>
        <w:endnoteRef/>
      </w:r>
      <w:r>
        <w:t xml:space="preserve"> </w:t>
      </w:r>
      <w:r>
        <w:rPr>
          <w:i/>
        </w:rPr>
        <w:t>Id</w:t>
      </w:r>
      <w:r>
        <w:t>.</w:t>
      </w:r>
    </w:p>
  </w:endnote>
  <w:endnote w:id="360">
    <w:p>
      <w:pPr>
        <w:pStyle w:val="EndnoteText"/>
        <w:jc w:val="both"/>
      </w:pPr>
      <w:r>
        <w:rPr>
          <w:rStyle w:val="EndnoteReference"/>
          <w:rFonts w:eastAsia="MS Mincho"/>
        </w:rPr>
        <w:endnoteRef/>
      </w:r>
      <w:r>
        <w:t xml:space="preserve"> </w:t>
      </w:r>
      <w:r>
        <w:rPr>
          <w:i/>
        </w:rPr>
        <w:t>Id</w:t>
      </w:r>
      <w:r>
        <w:t>.</w:t>
      </w:r>
    </w:p>
  </w:endnote>
  <w:endnote w:id="361">
    <w:p>
      <w:pPr>
        <w:pStyle w:val="EndnoteText"/>
        <w:jc w:val="both"/>
      </w:pPr>
      <w:r>
        <w:rPr>
          <w:rStyle w:val="EndnoteReference"/>
          <w:rFonts w:eastAsia="MS Mincho"/>
        </w:rPr>
        <w:endnoteRef/>
      </w:r>
      <w:r>
        <w:t xml:space="preserve"> </w:t>
      </w:r>
      <w:r>
        <w:rPr>
          <w:i/>
        </w:rPr>
        <w:t>Id</w:t>
      </w:r>
      <w:r>
        <w:t>.</w:t>
      </w:r>
    </w:p>
  </w:endnote>
  <w:endnote w:id="362">
    <w:p>
      <w:pPr>
        <w:pStyle w:val="EndnoteText"/>
        <w:jc w:val="both"/>
      </w:pPr>
      <w:r>
        <w:rPr>
          <w:rStyle w:val="EndnoteReference"/>
          <w:rFonts w:eastAsia="MS Mincho"/>
        </w:rPr>
        <w:endnoteRef/>
      </w:r>
      <w:r>
        <w:t xml:space="preserve"> </w:t>
      </w:r>
      <w:r>
        <w:rPr>
          <w:i/>
        </w:rPr>
        <w:t>Id</w:t>
      </w:r>
      <w:r>
        <w:t>.</w:t>
      </w:r>
    </w:p>
  </w:endnote>
  <w:endnote w:id="363">
    <w:p>
      <w:pPr>
        <w:pStyle w:val="EndnoteText"/>
        <w:jc w:val="both"/>
      </w:pPr>
      <w:r>
        <w:rPr>
          <w:rStyle w:val="EndnoteReference"/>
          <w:rFonts w:eastAsia="MS Mincho"/>
        </w:rPr>
        <w:endnoteRef/>
      </w:r>
      <w:r>
        <w:t xml:space="preserve"> </w:t>
      </w:r>
      <w:r>
        <w:rPr>
          <w:i/>
        </w:rPr>
        <w:t>Id</w:t>
      </w:r>
      <w:r>
        <w:t>.</w:t>
      </w:r>
    </w:p>
  </w:endnote>
  <w:endnote w:id="364">
    <w:p>
      <w:pPr>
        <w:pStyle w:val="EndnoteText"/>
        <w:jc w:val="both"/>
      </w:pPr>
      <w:r>
        <w:rPr>
          <w:rStyle w:val="EndnoteReference"/>
          <w:rFonts w:eastAsia="MS Mincho"/>
        </w:rPr>
        <w:endnoteRef/>
      </w:r>
      <w:r>
        <w:t xml:space="preserve"> </w:t>
      </w:r>
      <w:r>
        <w:rPr>
          <w:i/>
        </w:rPr>
        <w:t>Id</w:t>
      </w:r>
      <w:r>
        <w:t>.</w:t>
      </w:r>
    </w:p>
  </w:endnote>
  <w:endnote w:id="365">
    <w:p>
      <w:pPr>
        <w:pStyle w:val="EndnoteText"/>
        <w:jc w:val="both"/>
      </w:pPr>
      <w:r>
        <w:rPr>
          <w:rStyle w:val="EndnoteReference"/>
          <w:rFonts w:eastAsia="MS Mincho"/>
        </w:rPr>
        <w:endnoteRef/>
      </w:r>
      <w:r>
        <w:t xml:space="preserve"> </w:t>
      </w:r>
      <w:r>
        <w:rPr>
          <w:i/>
        </w:rPr>
        <w:t>Id</w:t>
      </w:r>
      <w:r>
        <w:t>. at 493, 751 S.E.2d at 156.</w:t>
      </w:r>
    </w:p>
  </w:endnote>
  <w:endnote w:id="366">
    <w:p>
      <w:pPr>
        <w:pStyle w:val="EndnoteText"/>
        <w:jc w:val="both"/>
      </w:pPr>
      <w:r>
        <w:rPr>
          <w:rStyle w:val="EndnoteReference"/>
          <w:rFonts w:eastAsia="MS Mincho"/>
        </w:rPr>
        <w:endnoteRef/>
      </w:r>
      <w:r>
        <w:t xml:space="preserve"> </w:t>
      </w:r>
      <w:r>
        <w:rPr>
          <w:i/>
        </w:rPr>
        <w:t>Id</w:t>
      </w:r>
      <w:r>
        <w:t xml:space="preserve">. </w:t>
      </w:r>
    </w:p>
  </w:endnote>
  <w:endnote w:id="367">
    <w:p>
      <w:pPr>
        <w:pStyle w:val="EndnoteText"/>
        <w:jc w:val="both"/>
      </w:pPr>
      <w:r>
        <w:rPr>
          <w:rStyle w:val="EndnoteReference"/>
          <w:rFonts w:eastAsia="MS Mincho"/>
        </w:rPr>
        <w:endnoteRef/>
      </w:r>
      <w:r>
        <w:t xml:space="preserve"> </w:t>
      </w:r>
      <w:r>
        <w:rPr>
          <w:i/>
        </w:rPr>
        <w:t>Id</w:t>
      </w:r>
      <w:r>
        <w:t>.</w:t>
      </w:r>
    </w:p>
  </w:endnote>
  <w:endnote w:id="368">
    <w:p>
      <w:pPr>
        <w:pStyle w:val="EndnoteText"/>
        <w:jc w:val="both"/>
      </w:pPr>
      <w:r>
        <w:rPr>
          <w:rStyle w:val="EndnoteReference"/>
          <w:rFonts w:eastAsia="MS Mincho"/>
        </w:rPr>
        <w:endnoteRef/>
      </w:r>
      <w:r>
        <w:t xml:space="preserve"> </w:t>
      </w:r>
      <w:r>
        <w:rPr>
          <w:i/>
        </w:rPr>
        <w:t>Id</w:t>
      </w:r>
      <w:r>
        <w:t>.</w:t>
      </w:r>
    </w:p>
  </w:endnote>
  <w:endnote w:id="369">
    <w:p>
      <w:pPr>
        <w:pStyle w:val="EndnoteText"/>
        <w:jc w:val="both"/>
      </w:pPr>
      <w:r>
        <w:rPr>
          <w:rStyle w:val="EndnoteReference"/>
          <w:rFonts w:eastAsia="MS Mincho"/>
        </w:rPr>
        <w:endnoteRef/>
      </w:r>
      <w:r>
        <w:t xml:space="preserve"> </w:t>
      </w:r>
      <w:r>
        <w:rPr>
          <w:i/>
        </w:rPr>
        <w:t>Parsons v. State Farm Mut. Auto. Ins. Co.</w:t>
      </w:r>
      <w:r>
        <w:t>, 319 Ga. App. 616, 737 S.E.2d 718 (2013).</w:t>
      </w:r>
    </w:p>
  </w:endnote>
  <w:endnote w:id="370">
    <w:p>
      <w:pPr>
        <w:pStyle w:val="EndnoteText"/>
        <w:jc w:val="both"/>
      </w:pPr>
      <w:r>
        <w:rPr>
          <w:rStyle w:val="EndnoteReference"/>
          <w:rFonts w:eastAsia="MS Mincho"/>
        </w:rPr>
        <w:endnoteRef/>
      </w:r>
      <w:r>
        <w:t xml:space="preserve"> </w:t>
      </w:r>
      <w:r>
        <w:rPr>
          <w:i/>
        </w:rPr>
        <w:t>Id</w:t>
      </w:r>
      <w:r>
        <w:t>. at 616. 737 S.E.2d at 719.</w:t>
      </w:r>
    </w:p>
  </w:endnote>
  <w:endnote w:id="371">
    <w:p>
      <w:pPr>
        <w:pStyle w:val="EndnoteText"/>
        <w:jc w:val="both"/>
      </w:pPr>
      <w:r>
        <w:rPr>
          <w:rStyle w:val="EndnoteReference"/>
          <w:rFonts w:eastAsia="MS Mincho"/>
        </w:rPr>
        <w:endnoteRef/>
      </w:r>
      <w:r>
        <w:t xml:space="preserve"> </w:t>
      </w:r>
      <w:r>
        <w:rPr>
          <w:i/>
        </w:rPr>
        <w:t>Id</w:t>
      </w:r>
      <w:r>
        <w:t>.</w:t>
      </w:r>
    </w:p>
  </w:endnote>
  <w:endnote w:id="372">
    <w:p>
      <w:pPr>
        <w:pStyle w:val="EndnoteText"/>
        <w:jc w:val="both"/>
      </w:pPr>
      <w:r>
        <w:rPr>
          <w:rStyle w:val="EndnoteReference"/>
          <w:rFonts w:eastAsia="MS Mincho"/>
        </w:rPr>
        <w:endnoteRef/>
      </w:r>
      <w:r>
        <w:t xml:space="preserve"> </w:t>
      </w:r>
      <w:r>
        <w:rPr>
          <w:i/>
        </w:rPr>
        <w:t>Id</w:t>
      </w:r>
      <w:r>
        <w:t>. at 617, 737 S.E.2d at 719.</w:t>
      </w:r>
    </w:p>
  </w:endnote>
  <w:endnote w:id="373">
    <w:p>
      <w:pPr>
        <w:pStyle w:val="EndnoteText"/>
        <w:jc w:val="both"/>
      </w:pPr>
      <w:r>
        <w:rPr>
          <w:rStyle w:val="EndnoteReference"/>
          <w:rFonts w:eastAsia="MS Mincho"/>
        </w:rPr>
        <w:endnoteRef/>
      </w:r>
      <w:r>
        <w:t xml:space="preserve"> </w:t>
      </w:r>
      <w:r>
        <w:rPr>
          <w:i/>
        </w:rPr>
        <w:t>Id</w:t>
      </w:r>
      <w:r>
        <w:t>. at 617, 737 S.E.2d at 719-20.</w:t>
      </w:r>
    </w:p>
  </w:endnote>
  <w:endnote w:id="374">
    <w:p>
      <w:pPr>
        <w:pStyle w:val="EndnoteText"/>
        <w:jc w:val="both"/>
      </w:pPr>
      <w:r>
        <w:rPr>
          <w:rStyle w:val="EndnoteReference"/>
          <w:rFonts w:eastAsia="MS Mincho"/>
        </w:rPr>
        <w:endnoteRef/>
      </w:r>
      <w:r>
        <w:t xml:space="preserve"> </w:t>
      </w:r>
      <w:r>
        <w:rPr>
          <w:i/>
        </w:rPr>
        <w:t>Id</w:t>
      </w:r>
      <w:r>
        <w:t>. at 618, 737 S.E.2d at 720.</w:t>
      </w:r>
    </w:p>
  </w:endnote>
  <w:endnote w:id="375">
    <w:p>
      <w:pPr>
        <w:pStyle w:val="EndnoteText"/>
        <w:jc w:val="both"/>
      </w:pPr>
      <w:r>
        <w:rPr>
          <w:rStyle w:val="EndnoteReference"/>
          <w:rFonts w:eastAsia="MS Mincho"/>
        </w:rPr>
        <w:endnoteRef/>
      </w:r>
      <w:r>
        <w:t xml:space="preserve"> </w:t>
      </w:r>
      <w:r>
        <w:rPr>
          <w:i/>
        </w:rPr>
        <w:t>Id</w:t>
      </w:r>
      <w:r>
        <w:t xml:space="preserve">. </w:t>
      </w:r>
    </w:p>
  </w:endnote>
  <w:endnote w:id="376">
    <w:p>
      <w:pPr>
        <w:pStyle w:val="EndnoteText"/>
        <w:jc w:val="both"/>
      </w:pPr>
      <w:r>
        <w:rPr>
          <w:rStyle w:val="EndnoteReference"/>
          <w:rFonts w:eastAsia="MS Mincho"/>
        </w:rPr>
        <w:endnoteRef/>
      </w:r>
      <w:r>
        <w:t xml:space="preserve"> </w:t>
      </w:r>
      <w:r>
        <w:rPr>
          <w:i/>
        </w:rPr>
        <w:t>Id</w:t>
      </w:r>
      <w:r>
        <w:t>.</w:t>
      </w:r>
    </w:p>
  </w:endnote>
  <w:endnote w:id="377">
    <w:p>
      <w:pPr>
        <w:pStyle w:val="EndnoteText"/>
        <w:jc w:val="both"/>
      </w:pPr>
      <w:r>
        <w:rPr>
          <w:rStyle w:val="EndnoteReference"/>
          <w:rFonts w:eastAsia="MS Mincho"/>
        </w:rPr>
        <w:endnoteRef/>
      </w:r>
      <w:r>
        <w:t xml:space="preserve"> </w:t>
      </w:r>
      <w:r>
        <w:rPr>
          <w:i/>
        </w:rPr>
        <w:t>Id</w:t>
      </w:r>
      <w:r>
        <w:t>.</w:t>
      </w:r>
    </w:p>
  </w:endnote>
  <w:endnote w:id="378">
    <w:p>
      <w:pPr>
        <w:pStyle w:val="EndnoteText"/>
        <w:jc w:val="both"/>
      </w:pPr>
      <w:r>
        <w:rPr>
          <w:rStyle w:val="EndnoteReference"/>
          <w:rFonts w:eastAsia="MS Mincho"/>
        </w:rPr>
        <w:endnoteRef/>
      </w:r>
      <w:r>
        <w:t xml:space="preserve"> </w:t>
      </w:r>
      <w:r>
        <w:rPr>
          <w:i/>
        </w:rPr>
        <w:t>Id</w:t>
      </w:r>
      <w:r>
        <w:t>. at 619, 737 S.E.2d at 720.</w:t>
      </w:r>
    </w:p>
  </w:endnote>
  <w:endnote w:id="379">
    <w:p>
      <w:pPr>
        <w:pStyle w:val="EndnoteText"/>
      </w:pPr>
      <w:r>
        <w:rPr>
          <w:rStyle w:val="EndnoteReference"/>
          <w:rFonts w:ascii="Century Schoolbook" w:hAnsi="Century Schoolbook"/>
        </w:rPr>
        <w:endnoteRef/>
      </w:r>
      <w:r>
        <w:t xml:space="preserve"> Chemerinsky, Erwin, </w:t>
      </w:r>
      <w:r>
        <w:rPr>
          <w:i/>
        </w:rPr>
        <w:t>Against Sovereign Immunity</w:t>
      </w:r>
      <w:r>
        <w:t>, 53 Stan. L. Rev. 1201 (2001).</w:t>
      </w:r>
    </w:p>
  </w:endnote>
  <w:endnote w:id="380">
    <w:p>
      <w:pPr>
        <w:pStyle w:val="EndnoteText"/>
      </w:pPr>
      <w:r>
        <w:rPr>
          <w:rStyle w:val="EndnoteReference"/>
          <w:rFonts w:ascii="Century Schoolbook" w:hAnsi="Century Schoolbook"/>
        </w:rPr>
        <w:endnoteRef/>
      </w:r>
      <w:r>
        <w:t xml:space="preserve"> State-law claims against the State of Georgia are comprehensively addressed by the Georgia Tort Claims Act, O.C.G.A. §§ 50-21-20 – 50-21-37 (2013) (“GTCA”).  The GTCA does not cover counties, municipalities, and school districts.  O.C.G.A. § 50-21-22(5) (2013). </w:t>
      </w:r>
    </w:p>
  </w:endnote>
  <w:endnote w:id="381">
    <w:p>
      <w:pPr>
        <w:pStyle w:val="EndnoteText"/>
      </w:pPr>
      <w:r>
        <w:rPr>
          <w:rStyle w:val="EndnoteReference"/>
          <w:rFonts w:ascii="Century Schoolbook" w:hAnsi="Century Schoolbook"/>
        </w:rPr>
        <w:endnoteRef/>
      </w:r>
      <w:r>
        <w:t xml:space="preserve"> </w:t>
      </w:r>
      <w:r>
        <w:rPr>
          <w:i/>
        </w:rPr>
        <w:t>Gilbert v. Richardson</w:t>
      </w:r>
      <w:r>
        <w:t xml:space="preserve">, 264 Ga. 744, 749, 452 S.E. 2d 476, 480 (1994).  </w:t>
      </w:r>
    </w:p>
  </w:endnote>
  <w:endnote w:id="382">
    <w:p>
      <w:pPr>
        <w:pStyle w:val="EndnoteText"/>
      </w:pPr>
      <w:r>
        <w:rPr>
          <w:rStyle w:val="EndnoteReference"/>
          <w:rFonts w:ascii="Century Schoolbook" w:hAnsi="Century Schoolbook"/>
        </w:rPr>
        <w:endnoteRef/>
      </w:r>
      <w:r>
        <w:t xml:space="preserve"> </w:t>
      </w:r>
      <w:r>
        <w:rPr>
          <w:i/>
        </w:rPr>
        <w:t>See</w:t>
      </w:r>
      <w:r>
        <w:t xml:space="preserve"> </w:t>
      </w:r>
      <w:r>
        <w:rPr>
          <w:smallCaps/>
        </w:rPr>
        <w:t>The Federalist No</w:t>
      </w:r>
      <w:r>
        <w:t>.  81 (Alexander Hamilton) (“It is inherent in the nature of sovereignty not to be amenable to the suit of an individual without its consent. . . . [T]he exemption, as one of the attributes of sovereignty, is now enjoyed by the government of every State in the Union.”).</w:t>
      </w:r>
    </w:p>
  </w:endnote>
  <w:endnote w:id="383">
    <w:p>
      <w:pPr>
        <w:pStyle w:val="EndnoteText"/>
      </w:pPr>
      <w:r>
        <w:rPr>
          <w:rStyle w:val="EndnoteReference"/>
          <w:rFonts w:ascii="Century Schoolbook" w:hAnsi="Century Schoolbook"/>
        </w:rPr>
        <w:endnoteRef/>
      </w:r>
      <w:r>
        <w:t xml:space="preserve"> </w:t>
      </w:r>
      <w:r>
        <w:rPr>
          <w:i/>
        </w:rPr>
        <w:t>See Alden v. Maine</w:t>
      </w:r>
      <w:r>
        <w:t>, 527 U.S. 706, 713 (1999) (“[T]he States’ immunity from suit is a fundamental aspect of the sovereignty which the States enjoyed before the ratification of the Constitution, and which they retain today.”).</w:t>
      </w:r>
    </w:p>
  </w:endnote>
  <w:endnote w:id="384">
    <w:p>
      <w:pPr>
        <w:pStyle w:val="EndnoteText"/>
      </w:pPr>
      <w:r>
        <w:rPr>
          <w:rStyle w:val="EndnoteReference"/>
          <w:rFonts w:ascii="Century Schoolbook" w:hAnsi="Century Schoolbook"/>
        </w:rPr>
        <w:endnoteRef/>
      </w:r>
      <w:r>
        <w:t xml:space="preserve"> </w:t>
      </w:r>
      <w:r>
        <w:rPr>
          <w:i/>
        </w:rPr>
        <w:t>Crowder v. Dep’t of State Parks</w:t>
      </w:r>
      <w:r>
        <w:t>, 228 Ga. 436, 439, 185 S.E.2d 908, 911 (1971).</w:t>
      </w:r>
    </w:p>
  </w:endnote>
  <w:endnote w:id="385">
    <w:p>
      <w:pPr>
        <w:pStyle w:val="EndnoteText"/>
      </w:pPr>
      <w:r>
        <w:rPr>
          <w:rStyle w:val="EndnoteReference"/>
          <w:rFonts w:ascii="Century Schoolbook" w:hAnsi="Century Schoolbook"/>
        </w:rPr>
        <w:endnoteRef/>
      </w:r>
      <w:r>
        <w:t xml:space="preserve"> </w:t>
      </w:r>
      <w:r>
        <w:rPr>
          <w:i/>
        </w:rPr>
        <w:t>Ga. Forestry Comm’n v. Candy</w:t>
      </w:r>
      <w:r>
        <w:t xml:space="preserve">, 280 Ga. 825, 632 S.E.2d 105, 106 (2006) (finding that “the State remained absolutely immune from suit” under the 1974 Amendment).  </w:t>
      </w:r>
    </w:p>
  </w:endnote>
  <w:endnote w:id="386">
    <w:p>
      <w:pPr>
        <w:pStyle w:val="EndnoteText"/>
      </w:pPr>
      <w:r>
        <w:rPr>
          <w:rStyle w:val="EndnoteReference"/>
          <w:rFonts w:ascii="Century Schoolbook" w:hAnsi="Century Schoolbook"/>
        </w:rPr>
        <w:endnoteRef/>
      </w:r>
      <w:r>
        <w:t xml:space="preserve"> R. Perry Sentell, Jr., </w:t>
      </w:r>
      <w:r>
        <w:rPr>
          <w:i/>
        </w:rPr>
        <w:t>Local Government Tort Liability: The Summer of ’92</w:t>
      </w:r>
      <w:r>
        <w:t xml:space="preserve">, 9 </w:t>
      </w:r>
      <w:r>
        <w:rPr>
          <w:smallCaps/>
        </w:rPr>
        <w:t>Ga. St. U. L. Rev.</w:t>
      </w:r>
      <w:r>
        <w:t xml:space="preserve"> 405, 407 (1993).</w:t>
      </w:r>
    </w:p>
  </w:endnote>
  <w:endnote w:id="387">
    <w:p>
      <w:pPr>
        <w:pStyle w:val="EndnoteText"/>
      </w:pPr>
      <w:r>
        <w:rPr>
          <w:rStyle w:val="EndnoteReference"/>
          <w:rFonts w:ascii="Century Schoolbook" w:hAnsi="Century Schoolbook"/>
        </w:rPr>
        <w:endnoteRef/>
      </w:r>
      <w:r>
        <w:t xml:space="preserve"> </w:t>
      </w:r>
      <w:r>
        <w:rPr>
          <w:i/>
        </w:rPr>
        <w:t>Id.</w:t>
      </w:r>
      <w:r>
        <w:t xml:space="preserve"> at 410.</w:t>
      </w:r>
    </w:p>
  </w:endnote>
  <w:endnote w:id="388">
    <w:p>
      <w:pPr>
        <w:pStyle w:val="EndnoteText"/>
      </w:pPr>
      <w:r>
        <w:rPr>
          <w:rStyle w:val="EndnoteReference"/>
          <w:rFonts w:ascii="Century Schoolbook" w:hAnsi="Century Schoolbook"/>
        </w:rPr>
        <w:t>10</w:t>
      </w:r>
      <w:r>
        <w:t xml:space="preserve"> </w:t>
      </w:r>
      <w:r>
        <w:rPr>
          <w:smallCaps/>
        </w:rPr>
        <w:t>Ga. Const.</w:t>
      </w:r>
      <w:r>
        <w:t xml:space="preserve"> art. I, § 2, ¶ IX.  </w:t>
      </w:r>
    </w:p>
  </w:endnote>
  <w:endnote w:id="389">
    <w:p>
      <w:pPr>
        <w:pStyle w:val="EndnoteText"/>
      </w:pPr>
      <w:r>
        <w:rPr>
          <w:rStyle w:val="EndnoteReference"/>
          <w:rFonts w:ascii="Century Schoolbook" w:hAnsi="Century Schoolbook"/>
        </w:rPr>
        <w:endnoteRef/>
      </w:r>
      <w:r>
        <w:t xml:space="preserve"> </w:t>
      </w:r>
      <w:r>
        <w:rPr>
          <w:i/>
        </w:rPr>
        <w:t xml:space="preserve">See supra </w:t>
      </w:r>
      <w:r>
        <w:t xml:space="preserve">note 2. </w:t>
      </w:r>
    </w:p>
  </w:endnote>
  <w:endnote w:id="390">
    <w:p>
      <w:pPr>
        <w:pStyle w:val="EndnoteText"/>
      </w:pPr>
      <w:r>
        <w:rPr>
          <w:rStyle w:val="EndnoteReference"/>
          <w:rFonts w:ascii="Century Schoolbook" w:hAnsi="Century Schoolbook"/>
        </w:rPr>
        <w:endnoteRef/>
      </w:r>
      <w:r>
        <w:t xml:space="preserve"> </w:t>
      </w:r>
      <w:r>
        <w:rPr>
          <w:i/>
        </w:rPr>
        <w:t>Ga. Dep’t of Natural Resources v. Ctr. For a Sustainable Coast Res.</w:t>
      </w:r>
      <w:r>
        <w:t>, No. S13G0602, 2014 WL 696487, at *5 (Ga. Feb. 24, 2014).</w:t>
      </w:r>
    </w:p>
  </w:endnote>
  <w:endnote w:id="391">
    <w:p>
      <w:pPr>
        <w:pStyle w:val="EndnoteText"/>
      </w:pPr>
      <w:r>
        <w:rPr>
          <w:rStyle w:val="EndnoteReference"/>
          <w:rFonts w:ascii="Century Schoolbook" w:hAnsi="Century Schoolbook"/>
        </w:rPr>
        <w:endnoteRef/>
      </w:r>
      <w:r>
        <w:t xml:space="preserve"> </w:t>
      </w:r>
      <w:r>
        <w:rPr>
          <w:i/>
        </w:rPr>
        <w:t>Thomas v. Hospital Authority of Clarke Cnty.</w:t>
      </w:r>
      <w:r>
        <w:t xml:space="preserve">, 264 Ga. 40, 42, 440 S.E.2d 195, 197 (1994) (superseded by statute).  </w:t>
      </w:r>
    </w:p>
  </w:endnote>
  <w:endnote w:id="392">
    <w:p>
      <w:pPr>
        <w:pStyle w:val="EndnoteText"/>
      </w:pPr>
      <w:r>
        <w:rPr>
          <w:rStyle w:val="EndnoteReference"/>
          <w:rFonts w:ascii="Century Schoolbook" w:hAnsi="Century Schoolbook"/>
        </w:rPr>
        <w:endnoteRef/>
      </w:r>
      <w:r>
        <w:t xml:space="preserve"> </w:t>
      </w:r>
      <w:r>
        <w:rPr>
          <w:i/>
        </w:rPr>
        <w:t>Kyle v. Ga. Lottery Corp.</w:t>
      </w:r>
      <w:r>
        <w:t xml:space="preserve">, 290 Ga. 87, 89, 718 S.E.2d 801, 803 (2011).  </w:t>
      </w:r>
    </w:p>
  </w:endnote>
  <w:endnote w:id="393">
    <w:p>
      <w:pPr>
        <w:pStyle w:val="EndnoteText"/>
      </w:pPr>
      <w:r>
        <w:rPr>
          <w:rStyle w:val="EndnoteReference"/>
          <w:rFonts w:ascii="Century Schoolbook" w:hAnsi="Century Schoolbook"/>
        </w:rPr>
        <w:endnoteRef/>
      </w:r>
      <w:r>
        <w:t xml:space="preserve"> </w:t>
      </w:r>
      <w:r>
        <w:rPr>
          <w:smallCaps/>
        </w:rPr>
        <w:t xml:space="preserve">Ga. Const. of 1983, </w:t>
      </w:r>
      <w:r>
        <w:t>art</w:t>
      </w:r>
      <w:r>
        <w:rPr>
          <w:smallCaps/>
        </w:rPr>
        <w:t>.</w:t>
      </w:r>
      <w:r>
        <w:t xml:space="preserve"> I, § 2, ¶ IX(e).  </w:t>
      </w:r>
    </w:p>
  </w:endnote>
  <w:endnote w:id="394">
    <w:p>
      <w:pPr>
        <w:pStyle w:val="EndnoteText"/>
      </w:pPr>
      <w:r>
        <w:rPr>
          <w:rStyle w:val="EndnoteReference"/>
          <w:rFonts w:ascii="Century Schoolbook" w:hAnsi="Century Schoolbook"/>
        </w:rPr>
        <w:endnoteRef/>
      </w:r>
      <w:r>
        <w:t xml:space="preserve"> </w:t>
      </w:r>
      <w:r>
        <w:rPr>
          <w:i/>
        </w:rPr>
        <w:t>Gilbert v. Richardson</w:t>
      </w:r>
      <w:r>
        <w:t xml:space="preserve">, 264 Ga. 744, 747, 452 S.E.2d 476, 479 (1994).  </w:t>
      </w:r>
      <w:r>
        <w:rPr>
          <w:i/>
        </w:rPr>
        <w:t>See also</w:t>
      </w:r>
      <w:r>
        <w:t xml:space="preserve"> </w:t>
      </w:r>
      <w:r>
        <w:rPr>
          <w:i/>
        </w:rPr>
        <w:t>Peach Cnty. School Dist. v. Austin</w:t>
      </w:r>
      <w:r>
        <w:t xml:space="preserve">, 322 Ga. App. 368, 368, 745 S.E.2d 293, 295 (2013) (“[Sovereign immunity] extends to county school districts . . . because they are political subdivisions of the state.”) (citing </w:t>
      </w:r>
      <w:r>
        <w:rPr>
          <w:i/>
        </w:rPr>
        <w:t>Coffee Cnty. School Dist. v. Snipes</w:t>
      </w:r>
      <w:r>
        <w:t>, 216 Ga. App. 293, 294, 454 S.E.2d 149, 150 (1995)).</w:t>
      </w:r>
    </w:p>
  </w:endnote>
  <w:endnote w:id="395">
    <w:p>
      <w:pPr>
        <w:pStyle w:val="EndnoteText"/>
      </w:pPr>
      <w:r>
        <w:rPr>
          <w:rStyle w:val="EndnoteReference"/>
          <w:rFonts w:ascii="Century Schoolbook" w:hAnsi="Century Schoolbook"/>
        </w:rPr>
        <w:endnoteRef/>
      </w:r>
      <w:r>
        <w:t xml:space="preserve"> </w:t>
      </w:r>
      <w:r>
        <w:rPr>
          <w:i/>
        </w:rPr>
        <w:t>City of Thomaston v. Bridges</w:t>
      </w:r>
      <w:r>
        <w:t xml:space="preserve">, 264 Ga. 4, 8, 439 S.E.2d 906, 910 (1994).  </w:t>
      </w:r>
    </w:p>
  </w:endnote>
  <w:endnote w:id="396">
    <w:p>
      <w:pPr>
        <w:pStyle w:val="EndnoteText"/>
      </w:pPr>
      <w:r>
        <w:rPr>
          <w:rStyle w:val="EndnoteReference"/>
          <w:rFonts w:ascii="Century Schoolbook" w:hAnsi="Century Schoolbook"/>
        </w:rPr>
        <w:endnoteRef/>
      </w:r>
      <w:r>
        <w:t xml:space="preserve"> </w:t>
      </w:r>
      <w:r>
        <w:rPr>
          <w:smallCaps/>
        </w:rPr>
        <w:t>Ga. Const</w:t>
      </w:r>
      <w:r>
        <w:t>. art. IX, § 2, ¶ IX.</w:t>
      </w:r>
    </w:p>
  </w:endnote>
  <w:endnote w:id="397">
    <w:p>
      <w:pPr>
        <w:pStyle w:val="EndnoteText"/>
      </w:pPr>
      <w:r>
        <w:rPr>
          <w:rStyle w:val="EndnoteReference"/>
          <w:rFonts w:ascii="Century Schoolbook" w:hAnsi="Century Schoolbook"/>
        </w:rPr>
        <w:endnoteRef/>
      </w:r>
      <w:r>
        <w:t xml:space="preserve"> O.C.G.A. § 36-33-1(a) (2012).  </w:t>
      </w:r>
    </w:p>
  </w:endnote>
  <w:endnote w:id="398">
    <w:p>
      <w:pPr>
        <w:pStyle w:val="EndnoteText"/>
      </w:pPr>
      <w:r>
        <w:rPr>
          <w:rStyle w:val="EndnoteReference"/>
          <w:rFonts w:ascii="Century Schoolbook" w:hAnsi="Century Schoolbook"/>
        </w:rPr>
        <w:endnoteRef/>
      </w:r>
      <w:r>
        <w:t xml:space="preserve"> </w:t>
      </w:r>
      <w:r>
        <w:rPr>
          <w:i/>
        </w:rPr>
        <w:t xml:space="preserve">Id. </w:t>
      </w:r>
    </w:p>
  </w:endnote>
  <w:endnote w:id="399">
    <w:p>
      <w:pPr>
        <w:pStyle w:val="EndnoteText"/>
      </w:pPr>
      <w:r>
        <w:rPr>
          <w:rStyle w:val="EndnoteReference"/>
          <w:rFonts w:ascii="Century Schoolbook" w:hAnsi="Century Schoolbook"/>
        </w:rPr>
        <w:endnoteRef/>
      </w:r>
      <w:r>
        <w:t xml:space="preserve"> </w:t>
      </w:r>
      <w:r>
        <w:rPr>
          <w:i/>
        </w:rPr>
        <w:t>Wendelken v. JENK, LLC</w:t>
      </w:r>
      <w:r>
        <w:t xml:space="preserve">, 291 Ga. App. 30, 32, 661 S.E.2d 152, 155 (2008); </w:t>
      </w:r>
      <w:r>
        <w:rPr>
          <w:rFonts w:cs="Arial"/>
          <w:i/>
        </w:rPr>
        <w:t>Scott v. City of Valdosta</w:t>
      </w:r>
      <w:r>
        <w:rPr>
          <w:rFonts w:cs="Arial"/>
        </w:rPr>
        <w:t>, 280 Ga. App. 481, 485-86, 634 S.E.2d 472, 476-77 (2006) (“Sovereign immunity is not an affirmative defense that the governmental defendants must establish.  Instead, it is a privilege, subject to waiver by the State, and which the party seeking to benefit from the waiver must show.”).</w:t>
      </w:r>
    </w:p>
  </w:endnote>
  <w:endnote w:id="400">
    <w:p>
      <w:pPr>
        <w:pStyle w:val="EndnoteText"/>
      </w:pPr>
      <w:r>
        <w:rPr>
          <w:rStyle w:val="EndnoteReference"/>
          <w:rFonts w:ascii="Century Schoolbook" w:hAnsi="Century Schoolbook"/>
        </w:rPr>
        <w:endnoteRef/>
      </w:r>
      <w:r>
        <w:t xml:space="preserve"> </w:t>
      </w:r>
      <w:r>
        <w:rPr>
          <w:i/>
        </w:rPr>
        <w:t>Gilbert v. Richardson</w:t>
      </w:r>
      <w:r>
        <w:t xml:space="preserve">, 264 Ga. 744, 748, 452 S.E.2d 476, 480 (1994).  </w:t>
      </w:r>
    </w:p>
  </w:endnote>
  <w:endnote w:id="401">
    <w:p>
      <w:pPr>
        <w:pStyle w:val="EndnoteText"/>
      </w:pPr>
      <w:r>
        <w:rPr>
          <w:rStyle w:val="EndnoteReference"/>
          <w:rFonts w:ascii="Century Schoolbook" w:hAnsi="Century Schoolbook"/>
        </w:rPr>
        <w:endnoteRef/>
      </w:r>
      <w:r>
        <w:rPr>
          <w:i/>
        </w:rPr>
        <w:t>Godfrey v. Ga. Interlocal Risk Mgmt. Agency</w:t>
      </w:r>
      <w:r>
        <w:t xml:space="preserve">, 290 Ga. 211, 214, 719 S.E.2d 412, 414 (2011) (citing </w:t>
      </w:r>
      <w:r>
        <w:rPr>
          <w:i/>
        </w:rPr>
        <w:t>CSX Transp. v. City of Garden City</w:t>
      </w:r>
      <w:r>
        <w:t xml:space="preserve">, 277 Ga. 248, 588 S.E.2d 688 (2003)).  </w:t>
      </w:r>
    </w:p>
  </w:endnote>
  <w:endnote w:id="402">
    <w:p>
      <w:pPr>
        <w:pStyle w:val="EndnoteText"/>
      </w:pPr>
      <w:r>
        <w:rPr>
          <w:rStyle w:val="EndnoteReference"/>
          <w:rFonts w:ascii="Century Schoolbook" w:hAnsi="Century Schoolbook"/>
        </w:rPr>
        <w:endnoteRef/>
      </w:r>
      <w:r>
        <w:t xml:space="preserve"> </w:t>
      </w:r>
      <w:r>
        <w:rPr>
          <w:i/>
          <w:spacing w:val="-3"/>
        </w:rPr>
        <w:t>Graham v. Cobb Cnty.</w:t>
      </w:r>
      <w:r>
        <w:rPr>
          <w:spacing w:val="-3"/>
        </w:rPr>
        <w:t xml:space="preserve">, 316 Ga. App. 738, 742, 730 S.E.2d 439, 443 (2012).  </w:t>
      </w:r>
    </w:p>
  </w:endnote>
  <w:endnote w:id="403">
    <w:p>
      <w:pPr>
        <w:pStyle w:val="EndnoteText"/>
      </w:pPr>
      <w:r>
        <w:rPr>
          <w:rStyle w:val="EndnoteReference"/>
          <w:rFonts w:ascii="Century Schoolbook" w:hAnsi="Century Schoolbook"/>
        </w:rPr>
        <w:t>26</w:t>
      </w:r>
      <w:r>
        <w:t xml:space="preserve"> O.C.G.A. § 33-24-51 (2013). This statute also applies to high-speed police pursuit claims under O.C.G.A. § 40-6-6 (2011).  </w:t>
      </w:r>
      <w:r>
        <w:rPr>
          <w:i/>
        </w:rPr>
        <w:t>See McCobb v. Clayton Cnty.</w:t>
      </w:r>
      <w:r>
        <w:t xml:space="preserve">, 309 Ga. App. 217, 710 S.E.2d 207 (2011).    </w:t>
      </w:r>
    </w:p>
  </w:endnote>
  <w:endnote w:id="404">
    <w:p>
      <w:pPr>
        <w:pStyle w:val="EndnoteText"/>
      </w:pPr>
      <w:r>
        <w:rPr>
          <w:rStyle w:val="EndnoteReference"/>
          <w:rFonts w:ascii="Century Schoolbook" w:hAnsi="Century Schoolbook"/>
        </w:rPr>
        <w:endnoteRef/>
      </w:r>
      <w:r>
        <w:t xml:space="preserve"> O.C.G.A. § 36-92-2 (2012). </w:t>
      </w:r>
    </w:p>
  </w:endnote>
  <w:endnote w:id="405">
    <w:p>
      <w:pPr>
        <w:pStyle w:val="EndnoteText"/>
      </w:pPr>
      <w:r>
        <w:rPr>
          <w:rStyle w:val="EndnoteReference"/>
          <w:rFonts w:ascii="Century Schoolbook" w:hAnsi="Century Schoolbook"/>
        </w:rPr>
        <w:endnoteRef/>
      </w:r>
      <w:r>
        <w:t xml:space="preserve"> O.C.G.A. § 36-92-2(a)(3).  </w:t>
      </w:r>
    </w:p>
  </w:endnote>
  <w:endnote w:id="406">
    <w:p>
      <w:pPr>
        <w:pStyle w:val="EndnoteText"/>
      </w:pPr>
      <w:r>
        <w:rPr>
          <w:rStyle w:val="EndnoteReference"/>
          <w:rFonts w:ascii="Century Schoolbook" w:hAnsi="Century Schoolbook"/>
        </w:rPr>
        <w:endnoteRef/>
      </w:r>
      <w:r>
        <w:t xml:space="preserve"> O.C.G.A. § 36-92-3 (2012). </w:t>
      </w:r>
    </w:p>
  </w:endnote>
  <w:endnote w:id="407">
    <w:p>
      <w:pPr>
        <w:pStyle w:val="EndnoteText"/>
      </w:pPr>
      <w:r>
        <w:rPr>
          <w:rStyle w:val="EndnoteReference"/>
          <w:rFonts w:ascii="Century Schoolbook" w:hAnsi="Century Schoolbook"/>
        </w:rPr>
        <w:endnoteRef/>
      </w:r>
      <w:r>
        <w:t xml:space="preserve"> O.C.G.A. § 33-24-51. </w:t>
      </w:r>
    </w:p>
  </w:endnote>
  <w:endnote w:id="408">
    <w:p>
      <w:pPr>
        <w:pStyle w:val="EndnoteText"/>
      </w:pPr>
      <w:r>
        <w:rPr>
          <w:rStyle w:val="EndnoteReference"/>
          <w:rFonts w:ascii="Century Schoolbook" w:hAnsi="Century Schoolbook"/>
        </w:rPr>
        <w:endnoteRef/>
      </w:r>
      <w:r>
        <w:t xml:space="preserve"> O.C.G.A. § 36-33-1(a) (2012).  </w:t>
      </w:r>
    </w:p>
  </w:endnote>
  <w:endnote w:id="409">
    <w:p>
      <w:pPr>
        <w:pStyle w:val="EndnoteText"/>
      </w:pPr>
      <w:r>
        <w:rPr>
          <w:rStyle w:val="EndnoteReference"/>
          <w:rFonts w:ascii="Century Schoolbook" w:hAnsi="Century Schoolbook"/>
        </w:rPr>
        <w:endnoteRef/>
      </w:r>
      <w:r>
        <w:t xml:space="preserve"> </w:t>
      </w:r>
      <w:r>
        <w:rPr>
          <w:i/>
        </w:rPr>
        <w:t>City of Thomasville v. Shank</w:t>
      </w:r>
      <w:r>
        <w:t xml:space="preserve">, 263 Ga. 624, 624, 437 S.E.2d 306, 307 (1993) (quoting </w:t>
      </w:r>
      <w:r>
        <w:rPr>
          <w:i/>
        </w:rPr>
        <w:t>Town of Fort Oglethorpe v. Phillips</w:t>
      </w:r>
      <w:r>
        <w:t xml:space="preserve">, 224 Ga. 834, 837-38, 165 S.E.2d 141, 144 (1968)).  </w:t>
      </w:r>
    </w:p>
  </w:endnote>
  <w:endnote w:id="410">
    <w:p>
      <w:pPr>
        <w:pStyle w:val="EndnoteText"/>
      </w:pPr>
      <w:r>
        <w:rPr>
          <w:rStyle w:val="EndnoteReference"/>
          <w:rFonts w:ascii="Century Schoolbook" w:hAnsi="Century Schoolbook"/>
        </w:rPr>
        <w:endnoteRef/>
      </w:r>
      <w:r>
        <w:t xml:space="preserve"> </w:t>
      </w:r>
      <w:r>
        <w:rPr>
          <w:i/>
        </w:rPr>
        <w:t>Id.</w:t>
      </w:r>
      <w:r>
        <w:t xml:space="preserve"> at 624-25, 437 S.E.2d at 307 (quoting </w:t>
      </w:r>
      <w:r>
        <w:rPr>
          <w:i/>
        </w:rPr>
        <w:t>Delta Air Corp v. Kersey</w:t>
      </w:r>
      <w:r>
        <w:t xml:space="preserve">, 193 Ga. 862, 870, 20 S.E.2d 245, 250 (1942)).  </w:t>
      </w:r>
    </w:p>
  </w:endnote>
  <w:endnote w:id="411">
    <w:p>
      <w:pPr>
        <w:pStyle w:val="EndnoteText"/>
      </w:pPr>
      <w:r>
        <w:rPr>
          <w:rStyle w:val="EndnoteReference"/>
          <w:rFonts w:ascii="Century Schoolbook" w:hAnsi="Century Schoolbook"/>
        </w:rPr>
        <w:endnoteRef/>
      </w:r>
      <w:r>
        <w:t xml:space="preserve"> </w:t>
      </w:r>
      <w:r>
        <w:rPr>
          <w:i/>
        </w:rPr>
        <w:t>Rutherford v. DeKalb Cnty.</w:t>
      </w:r>
      <w:r>
        <w:t xml:space="preserve">, 287 Ga. App. 366, 369, 651 S.E.2d 771, 774 (2007) (quoting </w:t>
      </w:r>
      <w:r>
        <w:rPr>
          <w:i/>
        </w:rPr>
        <w:t>Howard v. Gourmet Concepts Int’l Inc.</w:t>
      </w:r>
      <w:r>
        <w:t xml:space="preserve">, 242 Ga. App. 521, 524, 529 S.E.2d 406, 410 (2000)).  </w:t>
      </w:r>
    </w:p>
  </w:endnote>
  <w:endnote w:id="412">
    <w:p>
      <w:pPr>
        <w:pStyle w:val="EndnoteText"/>
      </w:pPr>
      <w:r>
        <w:rPr>
          <w:rStyle w:val="EndnoteReference"/>
          <w:rFonts w:ascii="Century Schoolbook" w:hAnsi="Century Schoolbook"/>
        </w:rPr>
        <w:endnoteRef/>
      </w:r>
      <w:r>
        <w:t xml:space="preserve"> </w:t>
      </w:r>
      <w:r>
        <w:rPr>
          <w:i/>
        </w:rPr>
        <w:t>Bd. of Com’rs of Glynn Cnty</w:t>
      </w:r>
      <w:r>
        <w:t>.,</w:t>
      </w:r>
      <w:r>
        <w:rPr>
          <w:i/>
        </w:rPr>
        <w:t xml:space="preserve"> v. Johnson</w:t>
      </w:r>
      <w:r>
        <w:t xml:space="preserve">, 311 Ga. App. 867, 871, 717 S.E.2d 272, 276 (2011) (finding that counties enjoy sovereign immunity for “any action for personal injury or wrongful death . . . arising from nuisance” because such injuries do not “constitute personal property that can be taken”) (quotation omitted). </w:t>
      </w:r>
    </w:p>
  </w:endnote>
  <w:endnote w:id="413">
    <w:p>
      <w:pPr>
        <w:pStyle w:val="EndnoteText"/>
      </w:pPr>
      <w:r>
        <w:rPr>
          <w:rStyle w:val="EndnoteReference"/>
          <w:rFonts w:ascii="Century Schoolbook" w:hAnsi="Century Schoolbook"/>
        </w:rPr>
        <w:endnoteRef/>
      </w:r>
      <w:r>
        <w:t xml:space="preserve"> </w:t>
      </w:r>
      <w:r>
        <w:rPr>
          <w:i/>
        </w:rPr>
        <w:t>Ga. Dep’t of Natural Resources v. Ctr. For a Sustainable Coast Res.</w:t>
      </w:r>
      <w:r>
        <w:t xml:space="preserve">, No. S13G0602, 2014 WL 696487, at *16 (Feb. 24, 2014) (citing </w:t>
      </w:r>
      <w:r>
        <w:rPr>
          <w:smallCaps/>
        </w:rPr>
        <w:t xml:space="preserve">Ga. Const. </w:t>
      </w:r>
      <w:r>
        <w:t xml:space="preserve">art. I, § 3, ¶ 1 (a) (eminent domain)).  </w:t>
      </w:r>
      <w:r>
        <w:rPr>
          <w:i/>
        </w:rPr>
        <w:t>See</w:t>
      </w:r>
      <w:r>
        <w:t xml:space="preserve"> </w:t>
      </w:r>
      <w:r>
        <w:rPr>
          <w:i/>
        </w:rPr>
        <w:t>also Rutherford</w:t>
      </w:r>
      <w:r>
        <w:t xml:space="preserve">, 287 Ga. App. at 369, 651 S.E.2d at 774 (noting that sovereign immunity is “waived by the Georgia Constitution’s eminent domain provision”).  </w:t>
      </w:r>
    </w:p>
  </w:endnote>
  <w:endnote w:id="414">
    <w:p>
      <w:pPr>
        <w:pStyle w:val="EndnoteText"/>
      </w:pPr>
      <w:r>
        <w:rPr>
          <w:rStyle w:val="EndnoteReference"/>
          <w:rFonts w:ascii="Century Schoolbook" w:hAnsi="Century Schoolbook"/>
        </w:rPr>
        <w:endnoteRef/>
      </w:r>
      <w:r>
        <w:t xml:space="preserve"> </w:t>
      </w:r>
      <w:r>
        <w:rPr>
          <w:smallCaps/>
        </w:rPr>
        <w:t xml:space="preserve">Ga. Const. </w:t>
      </w:r>
      <w:r>
        <w:t xml:space="preserve">art. I, § 2, ¶ IX(c).  </w:t>
      </w:r>
    </w:p>
  </w:endnote>
  <w:endnote w:id="415">
    <w:p>
      <w:pPr>
        <w:pStyle w:val="EndnoteText"/>
      </w:pPr>
      <w:r>
        <w:rPr>
          <w:rStyle w:val="EndnoteReference"/>
          <w:rFonts w:ascii="Century Schoolbook" w:hAnsi="Century Schoolbook"/>
        </w:rPr>
        <w:endnoteRef/>
      </w:r>
      <w:r>
        <w:t xml:space="preserve"> </w:t>
      </w:r>
      <w:r>
        <w:rPr>
          <w:i/>
        </w:rPr>
        <w:t>Precise v. City of Rossville</w:t>
      </w:r>
      <w:r>
        <w:t xml:space="preserve">, 261 Ga. 210, 211, 403 S.E.2d 47, 50 (1991).  </w:t>
      </w:r>
    </w:p>
  </w:endnote>
  <w:endnote w:id="416">
    <w:p>
      <w:pPr>
        <w:pStyle w:val="EndnoteText"/>
      </w:pPr>
      <w:r>
        <w:rPr>
          <w:rStyle w:val="EndnoteReference"/>
          <w:rFonts w:ascii="Century Schoolbook" w:hAnsi="Century Schoolbook"/>
        </w:rPr>
        <w:endnoteRef/>
      </w:r>
      <w:r>
        <w:t xml:space="preserve"> </w:t>
      </w:r>
      <w:r>
        <w:rPr>
          <w:i/>
        </w:rPr>
        <w:t>See Watts v. City of Dillard</w:t>
      </w:r>
      <w:r>
        <w:t>, 294 Ga. App. 861, 863, 670 S.E.2d 442, 443-44 (2008) (finding that sovereign immunity for municipalities is “waived only as to actions based upon written contracts”).</w:t>
      </w:r>
    </w:p>
  </w:endnote>
  <w:endnote w:id="417">
    <w:p>
      <w:pPr>
        <w:pStyle w:val="EndnoteText"/>
      </w:pPr>
      <w:r>
        <w:rPr>
          <w:rStyle w:val="EndnoteReference"/>
          <w:rFonts w:ascii="Century Schoolbook" w:hAnsi="Century Schoolbook"/>
        </w:rPr>
        <w:endnoteRef/>
      </w:r>
      <w:r>
        <w:t xml:space="preserve"> </w:t>
      </w:r>
      <w:r>
        <w:rPr>
          <w:i/>
        </w:rPr>
        <w:t>Id.</w:t>
      </w:r>
      <w:r>
        <w:t xml:space="preserve"> at 863-64, 670 S.E.2d at 444.  </w:t>
      </w:r>
      <w:r>
        <w:rPr>
          <w:i/>
        </w:rPr>
        <w:t>See also</w:t>
      </w:r>
      <w:r>
        <w:t xml:space="preserve"> </w:t>
      </w:r>
      <w:r>
        <w:rPr>
          <w:i/>
        </w:rPr>
        <w:t>Tyson v. Board of Regents of the Univ. System of Ga.</w:t>
      </w:r>
      <w:r>
        <w:t xml:space="preserve">, 261 Ga. 368, 369, 404 S.E.2d 557, 559 (1991) (finding “as a matter of law that this is not an action based on a written contract” because “[w]hile there may have been a contract between the parties arising from their conduct, that contract is not a written contract”).  </w:t>
      </w:r>
    </w:p>
  </w:endnote>
  <w:endnote w:id="418">
    <w:p>
      <w:pPr>
        <w:pStyle w:val="EndnoteText"/>
      </w:pPr>
      <w:r>
        <w:rPr>
          <w:rStyle w:val="EndnoteReference"/>
          <w:rFonts w:ascii="Century Schoolbook" w:hAnsi="Century Schoolbook"/>
        </w:rPr>
        <w:endnoteRef/>
      </w:r>
      <w:r>
        <w:t xml:space="preserve"> 226 Ga. App. 191, 486 S.E.2d 66, 67 (1997).  </w:t>
      </w:r>
    </w:p>
  </w:endnote>
  <w:endnote w:id="419">
    <w:p>
      <w:pPr>
        <w:pStyle w:val="EndnoteText"/>
      </w:pPr>
      <w:r>
        <w:rPr>
          <w:rStyle w:val="EndnoteReference"/>
          <w:rFonts w:ascii="Century Schoolbook" w:hAnsi="Century Schoolbook"/>
        </w:rPr>
        <w:endnoteRef/>
      </w:r>
      <w:r>
        <w:t xml:space="preserve"> </w:t>
      </w:r>
      <w:r>
        <w:rPr>
          <w:i/>
        </w:rPr>
        <w:t>Id.</w:t>
      </w:r>
      <w:r>
        <w:t xml:space="preserve"> at 192, 486 S.E.2d at 67.  </w:t>
      </w:r>
    </w:p>
  </w:endnote>
  <w:endnote w:id="420">
    <w:p>
      <w:pPr>
        <w:pStyle w:val="EndnoteText"/>
      </w:pPr>
      <w:r>
        <w:rPr>
          <w:rStyle w:val="EndnoteReference"/>
          <w:rFonts w:ascii="Century Schoolbook" w:hAnsi="Century Schoolbook"/>
        </w:rPr>
        <w:endnoteRef/>
      </w:r>
      <w:r>
        <w:t xml:space="preserve"> </w:t>
      </w:r>
      <w:r>
        <w:rPr>
          <w:i/>
        </w:rPr>
        <w:t>Weaver v. City of Statesboro</w:t>
      </w:r>
      <w:r>
        <w:t xml:space="preserve">, 288 Ga. App. 32, 34, 653 S.E.2d 765, 768 (2007).  </w:t>
      </w:r>
    </w:p>
  </w:endnote>
  <w:endnote w:id="421">
    <w:p>
      <w:pPr>
        <w:pStyle w:val="EndnoteText"/>
      </w:pPr>
      <w:r>
        <w:rPr>
          <w:rStyle w:val="EndnoteReference"/>
          <w:rFonts w:ascii="Century Schoolbook" w:hAnsi="Century Schoolbook"/>
        </w:rPr>
        <w:endnoteRef/>
      </w:r>
      <w:r>
        <w:t xml:space="preserve"> </w:t>
      </w:r>
      <w:r>
        <w:rPr>
          <w:i/>
        </w:rPr>
        <w:t>Rutherford v. DeKalb Cnty</w:t>
      </w:r>
      <w:r>
        <w:t xml:space="preserve">., 287 Ga. App. 366, 368, 651 S.E.2d 771, 773 (2007) (quoting in part </w:t>
      </w:r>
      <w:r>
        <w:rPr>
          <w:i/>
        </w:rPr>
        <w:t>Purser v. Dodge Cnty.</w:t>
      </w:r>
      <w:r>
        <w:t xml:space="preserve">, 188 Ga. 250, 251, 3 S.E.2d 574, 574 (1939)).  </w:t>
      </w:r>
    </w:p>
  </w:endnote>
  <w:endnote w:id="422">
    <w:p>
      <w:pPr>
        <w:pStyle w:val="EndnoteText"/>
      </w:pPr>
      <w:r>
        <w:rPr>
          <w:rStyle w:val="EndnoteReference"/>
          <w:rFonts w:ascii="Century Schoolbook" w:hAnsi="Century Schoolbook"/>
        </w:rPr>
        <w:endnoteRef/>
      </w:r>
      <w:r>
        <w:t xml:space="preserve"> </w:t>
      </w:r>
      <w:r>
        <w:rPr>
          <w:i/>
        </w:rPr>
        <w:t>City of Atlanta v. Mitcham</w:t>
      </w:r>
      <w:r>
        <w:t xml:space="preserve">, ___ Ga. App. ___, 751 S.E.2d 598, 601 (2013) (holding that O.C.G.A. § 36-33-1(b) (2012) “waived” sovereign immunity for the defendant city).  </w:t>
      </w:r>
      <w:r>
        <w:rPr>
          <w:i/>
        </w:rPr>
        <w:t>See also</w:t>
      </w:r>
      <w:r>
        <w:t xml:space="preserve"> O.C.G.A. § 36-33-2 (2012) (“Where municipal corporations are not required by statute to perform an act, they may not be held liable for exercising their discretion in failing to perform the act.”). </w:t>
      </w:r>
    </w:p>
  </w:endnote>
  <w:endnote w:id="423">
    <w:p>
      <w:pPr>
        <w:pStyle w:val="EndnoteText"/>
      </w:pPr>
      <w:r>
        <w:rPr>
          <w:rStyle w:val="EndnoteReference"/>
          <w:rFonts w:ascii="Century Schoolbook" w:hAnsi="Century Schoolbook"/>
        </w:rPr>
        <w:endnoteRef/>
      </w:r>
      <w:r>
        <w:t xml:space="preserve"> </w:t>
      </w:r>
      <w:r>
        <w:rPr>
          <w:i/>
        </w:rPr>
        <w:t>Id.</w:t>
      </w:r>
      <w:r>
        <w:t xml:space="preserve"> at 465, 317 S.E.2d at 310 (citing </w:t>
      </w:r>
      <w:r>
        <w:rPr>
          <w:i/>
        </w:rPr>
        <w:t>Fuller v. City of Atlanta</w:t>
      </w:r>
      <w:r>
        <w:t xml:space="preserve">, 66 Ga. 80, 83-84 (1880)).  </w:t>
      </w:r>
    </w:p>
  </w:endnote>
  <w:endnote w:id="424">
    <w:p>
      <w:pPr>
        <w:pStyle w:val="EndnoteText"/>
      </w:pPr>
      <w:r>
        <w:rPr>
          <w:rStyle w:val="EndnoteReference"/>
          <w:rFonts w:ascii="Century Schoolbook" w:hAnsi="Century Schoolbook"/>
        </w:rPr>
        <w:endnoteRef/>
      </w:r>
      <w:r>
        <w:t xml:space="preserve">  </w:t>
      </w:r>
      <w:r>
        <w:rPr>
          <w:i/>
        </w:rPr>
        <w:t>Id.</w:t>
      </w:r>
      <w:r>
        <w:t xml:space="preserve">  </w:t>
      </w:r>
    </w:p>
  </w:endnote>
  <w:endnote w:id="425">
    <w:p>
      <w:pPr>
        <w:pStyle w:val="EndnoteText"/>
      </w:pPr>
      <w:r>
        <w:rPr>
          <w:rStyle w:val="EndnoteReference"/>
          <w:rFonts w:ascii="Century Schoolbook" w:hAnsi="Century Schoolbook"/>
        </w:rPr>
        <w:endnoteRef/>
      </w:r>
      <w:r>
        <w:t xml:space="preserve"> </w:t>
      </w:r>
      <w:r>
        <w:rPr>
          <w:i/>
        </w:rPr>
        <w:t>Rutherford</w:t>
      </w:r>
      <w:r>
        <w:t xml:space="preserve">, 287 Ga. App. at 368, 651 S.E.2d at 773.  </w:t>
      </w:r>
    </w:p>
  </w:endnote>
  <w:endnote w:id="426">
    <w:p>
      <w:pPr>
        <w:pStyle w:val="EndnoteText"/>
      </w:pPr>
      <w:r>
        <w:rPr>
          <w:rStyle w:val="EndnoteReference"/>
          <w:rFonts w:ascii="Century Schoolbook" w:hAnsi="Century Schoolbook"/>
        </w:rPr>
        <w:endnoteRef/>
      </w:r>
      <w:r>
        <w:t xml:space="preserve"> </w:t>
      </w:r>
      <w:r>
        <w:rPr>
          <w:i/>
        </w:rPr>
        <w:t>Id.</w:t>
      </w:r>
      <w:r>
        <w:t xml:space="preserve"> at 369, 651 S.E.2d at 774 (citing </w:t>
      </w:r>
      <w:r>
        <w:rPr>
          <w:i/>
        </w:rPr>
        <w:t>DeWaters v. City of Atlanta</w:t>
      </w:r>
      <w:r>
        <w:t xml:space="preserve">, 169 Ga. App. 41, 43, 311 S.E.2d 232, 234  (1983)).  </w:t>
      </w:r>
    </w:p>
  </w:endnote>
  <w:endnote w:id="427">
    <w:p>
      <w:pPr>
        <w:pStyle w:val="EndnoteText"/>
      </w:pPr>
      <w:r>
        <w:rPr>
          <w:rStyle w:val="EndnoteReference"/>
          <w:rFonts w:ascii="Century Schoolbook" w:hAnsi="Century Schoolbook"/>
        </w:rPr>
        <w:endnoteRef/>
      </w:r>
      <w:r>
        <w:t xml:space="preserve"> </w:t>
      </w:r>
      <w:r>
        <w:rPr>
          <w:i/>
        </w:rPr>
        <w:t>Mitcham</w:t>
      </w:r>
      <w:r>
        <w:t xml:space="preserve">, ___ Ga. App. ___, 751 S.E.2d at 601.  </w:t>
      </w:r>
    </w:p>
  </w:endnote>
  <w:endnote w:id="428">
    <w:p>
      <w:pPr>
        <w:pStyle w:val="EndnoteText"/>
      </w:pPr>
      <w:r>
        <w:rPr>
          <w:rStyle w:val="EndnoteReference"/>
          <w:rFonts w:ascii="Century Schoolbook" w:hAnsi="Century Schoolbook"/>
        </w:rPr>
        <w:endnoteRef/>
      </w:r>
      <w:r>
        <w:t xml:space="preserve"> </w:t>
      </w:r>
      <w:r>
        <w:rPr>
          <w:i/>
        </w:rPr>
        <w:t>See e.g., City of Atlanta v. Chambers</w:t>
      </w:r>
      <w:r>
        <w:t xml:space="preserve">, 205 Ga. App. 834, 836, 424 S.E.2d 19, 21 (1992) (“what is significant is the character of the [enterprise] as ‘primarily a source of revenue’ rather than being used primarily for the benefit of the public regardless of incidental generation of revenue”).  </w:t>
      </w:r>
    </w:p>
  </w:endnote>
  <w:endnote w:id="429">
    <w:p>
      <w:pPr>
        <w:pStyle w:val="EndnoteText"/>
      </w:pPr>
      <w:r>
        <w:rPr>
          <w:rStyle w:val="EndnoteReference"/>
          <w:rFonts w:ascii="Century Schoolbook" w:hAnsi="Century Schoolbook"/>
        </w:rPr>
        <w:endnoteRef/>
      </w:r>
      <w:r>
        <w:t xml:space="preserve"> </w:t>
      </w:r>
      <w:r>
        <w:rPr>
          <w:i/>
          <w:color w:val="252525"/>
        </w:rPr>
        <w:t>Mitcham</w:t>
      </w:r>
      <w:r>
        <w:rPr>
          <w:color w:val="252525"/>
        </w:rPr>
        <w:t>, ___ Ga. App. ___ , 751 S.E.2d at 601-02.</w:t>
      </w:r>
    </w:p>
  </w:endnote>
  <w:endnote w:id="430">
    <w:p>
      <w:pPr>
        <w:pStyle w:val="EndnoteText"/>
      </w:pPr>
      <w:r>
        <w:rPr>
          <w:rStyle w:val="EndnoteReference"/>
          <w:rFonts w:ascii="Century Schoolbook" w:hAnsi="Century Schoolbook"/>
        </w:rPr>
        <w:endnoteRef/>
      </w:r>
      <w:r>
        <w:rPr>
          <w:i/>
        </w:rPr>
        <w:t>Official</w:t>
      </w:r>
      <w:r>
        <w:t xml:space="preserve"> immunity refers to the protection afforded government employees against </w:t>
      </w:r>
      <w:r>
        <w:rPr>
          <w:i/>
        </w:rPr>
        <w:t>state-law</w:t>
      </w:r>
      <w:r>
        <w:t xml:space="preserve"> claims.  </w:t>
      </w:r>
      <w:r>
        <w:rPr>
          <w:i/>
        </w:rPr>
        <w:t>Qualified</w:t>
      </w:r>
      <w:r>
        <w:t xml:space="preserve"> immunity is distinct from official immunity and refers to the protection afforded government employees against claims arising under </w:t>
      </w:r>
      <w:r>
        <w:rPr>
          <w:i/>
        </w:rPr>
        <w:t>federal</w:t>
      </w:r>
      <w:r>
        <w:t xml:space="preserve"> law.  Unfortunately, Georgia courts have occasionally used these terms interchangeably when referring to “official immunity.”  </w:t>
      </w:r>
      <w:r>
        <w:rPr>
          <w:i/>
        </w:rPr>
        <w:t>See</w:t>
      </w:r>
      <w:r>
        <w:t xml:space="preserve">, </w:t>
      </w:r>
      <w:r>
        <w:rPr>
          <w:i/>
        </w:rPr>
        <w:t>e.g.</w:t>
      </w:r>
      <w:r>
        <w:t>,</w:t>
      </w:r>
      <w:r>
        <w:rPr>
          <w:i/>
        </w:rPr>
        <w:t xml:space="preserve"> Cosby v. Lewis</w:t>
      </w:r>
      <w:r>
        <w:t xml:space="preserve">, 308 Ga. App. 668, 670-71, 708 S.E.2d 585, 587 (2011) (conflating official immunity and qualified immunity in stating “[t]he doctrine of qualified immunity derives from a 1991 amendment to the Georgia Constitution”).  </w:t>
      </w:r>
    </w:p>
  </w:endnote>
  <w:endnote w:id="431">
    <w:p>
      <w:pPr>
        <w:pStyle w:val="EndnoteText"/>
      </w:pPr>
      <w:r>
        <w:rPr>
          <w:rStyle w:val="EndnoteReference"/>
          <w:rFonts w:ascii="Century Schoolbook" w:hAnsi="Century Schoolbook"/>
        </w:rPr>
        <w:endnoteRef/>
      </w:r>
      <w:r>
        <w:t xml:space="preserve"> </w:t>
      </w:r>
      <w:r>
        <w:rPr>
          <w:i/>
        </w:rPr>
        <w:t>Gilbert v. Richardson</w:t>
      </w:r>
      <w:r>
        <w:t xml:space="preserve">, 264 Ga. 744, 752, 452 S.E.2d 476, 483 (1994).  </w:t>
      </w:r>
    </w:p>
  </w:endnote>
  <w:endnote w:id="432">
    <w:p>
      <w:pPr>
        <w:pStyle w:val="EndnoteText"/>
      </w:pPr>
      <w:r>
        <w:rPr>
          <w:rStyle w:val="EndnoteReference"/>
          <w:rFonts w:ascii="Century Schoolbook" w:hAnsi="Century Schoolbook"/>
        </w:rPr>
        <w:endnoteRef/>
      </w:r>
      <w:r>
        <w:t xml:space="preserve"> </w:t>
      </w:r>
      <w:r>
        <w:rPr>
          <w:i/>
        </w:rPr>
        <w:t>Norris v. Emanuel Cnty.</w:t>
      </w:r>
      <w:r>
        <w:t xml:space="preserve">, 254 Ga. App. 114, 116, 561 S.E.2d 240, 243 (2002) (finding that official immunity only applied to government officials sued in their individual capacities, whereas sovereign immunity applied for the defendants not named in their individual capacities).  </w:t>
      </w:r>
    </w:p>
  </w:endnote>
  <w:endnote w:id="433">
    <w:p>
      <w:pPr>
        <w:pStyle w:val="EndnoteText"/>
      </w:pPr>
      <w:r>
        <w:rPr>
          <w:rStyle w:val="EndnoteReference"/>
          <w:rFonts w:ascii="Century Schoolbook" w:hAnsi="Century Schoolbook"/>
        </w:rPr>
        <w:endnoteRef/>
      </w:r>
      <w:r>
        <w:t xml:space="preserve"> </w:t>
      </w:r>
      <w:r>
        <w:rPr>
          <w:smallCaps/>
        </w:rPr>
        <w:t xml:space="preserve">Ga. Const. </w:t>
      </w:r>
      <w:r>
        <w:t xml:space="preserve">art. I, § 2, ¶ IX(d).  </w:t>
      </w:r>
    </w:p>
  </w:endnote>
  <w:endnote w:id="434">
    <w:p>
      <w:pPr>
        <w:pStyle w:val="EndnoteText"/>
      </w:pPr>
      <w:r>
        <w:rPr>
          <w:rStyle w:val="EndnoteReference"/>
          <w:rFonts w:ascii="Century Schoolbook" w:hAnsi="Century Schoolbook"/>
        </w:rPr>
        <w:endnoteRef/>
      </w:r>
      <w:r>
        <w:t xml:space="preserve"> </w:t>
      </w:r>
      <w:r>
        <w:rPr>
          <w:i/>
        </w:rPr>
        <w:t>See</w:t>
      </w:r>
      <w:r>
        <w:t xml:space="preserve"> </w:t>
      </w:r>
      <w:r>
        <w:rPr>
          <w:i/>
        </w:rPr>
        <w:t>Carter v. Glenn</w:t>
      </w:r>
      <w:r>
        <w:t xml:space="preserve">, 249 Ga. App. 414, 416, 548 S.E.2d 110, 112 (2001) (assuming, without discussion, that the 1991 amendment to the Georgia Constitution applies to city officials).  </w:t>
      </w:r>
    </w:p>
  </w:endnote>
  <w:endnote w:id="435">
    <w:p>
      <w:pPr>
        <w:pStyle w:val="EndnoteText"/>
      </w:pPr>
      <w:r>
        <w:rPr>
          <w:rStyle w:val="EndnoteReference"/>
          <w:rFonts w:ascii="Century Schoolbook" w:hAnsi="Century Schoolbook"/>
        </w:rPr>
        <w:endnoteRef/>
      </w:r>
      <w:r>
        <w:t xml:space="preserve"> </w:t>
      </w:r>
      <w:r>
        <w:rPr>
          <w:i/>
        </w:rPr>
        <w:t>Stone v. Taylor</w:t>
      </w:r>
      <w:r>
        <w:t xml:space="preserve">, 233 Ga. App. 886, 888, 506 S.E.2d 161, 163 (1998) (citing </w:t>
      </w:r>
      <w:r>
        <w:rPr>
          <w:i/>
        </w:rPr>
        <w:t>Joyce v. Van Arsdale</w:t>
      </w:r>
      <w:r>
        <w:t xml:space="preserve">, 196 Ga. App. 95, 96, 395 S.E.2d 275, 276 (1990) (superseded by statute)).  </w:t>
      </w:r>
    </w:p>
  </w:endnote>
  <w:endnote w:id="436">
    <w:p>
      <w:pPr>
        <w:pStyle w:val="EndnoteText"/>
      </w:pPr>
      <w:r>
        <w:rPr>
          <w:rStyle w:val="EndnoteReference"/>
          <w:rFonts w:ascii="Century Schoolbook" w:hAnsi="Century Schoolbook"/>
        </w:rPr>
        <w:endnoteRef/>
      </w:r>
      <w:r>
        <w:t xml:space="preserve"> </w:t>
      </w:r>
      <w:r>
        <w:rPr>
          <w:i/>
        </w:rPr>
        <w:t>Wright v. Ashe</w:t>
      </w:r>
      <w:r>
        <w:t xml:space="preserve">, 220 Ga. App. 91, 93, 469 S.E.2d 268, 270-71 (1996).  </w:t>
      </w:r>
    </w:p>
  </w:endnote>
  <w:endnote w:id="437">
    <w:p>
      <w:pPr>
        <w:pStyle w:val="EndnoteText"/>
      </w:pPr>
      <w:r>
        <w:rPr>
          <w:rStyle w:val="EndnoteReference"/>
          <w:rFonts w:ascii="Century Schoolbook" w:hAnsi="Century Schoolbook"/>
        </w:rPr>
        <w:endnoteRef/>
      </w:r>
      <w:r>
        <w:t xml:space="preserve"> </w:t>
      </w:r>
      <w:r>
        <w:rPr>
          <w:i/>
        </w:rPr>
        <w:t>Todd v. Brooks</w:t>
      </w:r>
      <w:r>
        <w:t>, 292 Ga. App. 329, 331, 665 S.E.2d 11, 13 (2008).</w:t>
      </w:r>
    </w:p>
  </w:endnote>
  <w:endnote w:id="438">
    <w:p>
      <w:pPr>
        <w:pStyle w:val="EndnoteText"/>
      </w:pPr>
      <w:r>
        <w:rPr>
          <w:rStyle w:val="EndnoteReference"/>
          <w:rFonts w:ascii="Century Schoolbook" w:hAnsi="Century Schoolbook"/>
        </w:rPr>
        <w:endnoteRef/>
      </w:r>
      <w:r>
        <w:t xml:space="preserve"> </w:t>
      </w:r>
      <w:r>
        <w:rPr>
          <w:i/>
        </w:rPr>
        <w:t>Id.</w:t>
      </w:r>
      <w:r>
        <w:t xml:space="preserve">  </w:t>
      </w:r>
    </w:p>
  </w:endnote>
  <w:endnote w:id="439">
    <w:p>
      <w:pPr>
        <w:pStyle w:val="EndnoteText"/>
      </w:pPr>
      <w:r>
        <w:rPr>
          <w:rStyle w:val="EndnoteReference"/>
          <w:rFonts w:ascii="Century Schoolbook" w:hAnsi="Century Schoolbook"/>
        </w:rPr>
        <w:endnoteRef/>
      </w:r>
      <w:r>
        <w:t xml:space="preserve"> </w:t>
      </w:r>
      <w:r>
        <w:rPr>
          <w:i/>
        </w:rPr>
        <w:t>Meagher v. Quick</w:t>
      </w:r>
      <w:r>
        <w:t>, 264 Ga. App. 639, 642, 594 S.E.2d 182, 185 (2003).</w:t>
      </w:r>
    </w:p>
  </w:endnote>
  <w:endnote w:id="440">
    <w:p>
      <w:pPr>
        <w:pStyle w:val="EndnoteText"/>
      </w:pPr>
      <w:r>
        <w:rPr>
          <w:rStyle w:val="EndnoteReference"/>
          <w:rFonts w:ascii="Century Schoolbook" w:hAnsi="Century Schoolbook"/>
        </w:rPr>
        <w:endnoteRef/>
      </w:r>
      <w:r>
        <w:t xml:space="preserve"> </w:t>
      </w:r>
      <w:r>
        <w:rPr>
          <w:i/>
        </w:rPr>
        <w:t>Wright</w:t>
      </w:r>
      <w:r>
        <w:t>, 220 Ga. App. at 93, 469 S.E.2d at 271.</w:t>
      </w:r>
    </w:p>
  </w:endnote>
  <w:endnote w:id="441">
    <w:p>
      <w:pPr>
        <w:pStyle w:val="EndnoteText"/>
      </w:pPr>
      <w:r>
        <w:rPr>
          <w:rStyle w:val="EndnoteReference"/>
          <w:rFonts w:ascii="Century Schoolbook" w:hAnsi="Century Schoolbook"/>
        </w:rPr>
        <w:endnoteRef/>
      </w:r>
      <w:r>
        <w:t xml:space="preserve"> </w:t>
      </w:r>
      <w:r>
        <w:rPr>
          <w:i/>
        </w:rPr>
        <w:t>Stone v. Taylor</w:t>
      </w:r>
      <w:r>
        <w:t xml:space="preserve">, 233 Ga. App. 886, 888, 506 S.E.2d 161, 163 (1998). </w:t>
      </w:r>
    </w:p>
  </w:endnote>
  <w:endnote w:id="442">
    <w:p>
      <w:pPr>
        <w:pStyle w:val="EndnoteText"/>
      </w:pPr>
      <w:r>
        <w:rPr>
          <w:rStyle w:val="EndnoteReference"/>
          <w:rFonts w:ascii="Century Schoolbook" w:hAnsi="Century Schoolbook"/>
        </w:rPr>
        <w:endnoteRef/>
      </w:r>
      <w:r>
        <w:t xml:space="preserve"> </w:t>
      </w:r>
      <w:r>
        <w:rPr>
          <w:i/>
        </w:rPr>
        <w:t>Gilbert v. Richardson</w:t>
      </w:r>
      <w:r>
        <w:t xml:space="preserve">, 264 Ga. 744, 752, 452 S.E.2d 476, 483 (1994).  </w:t>
      </w:r>
    </w:p>
  </w:endnote>
  <w:endnote w:id="443">
    <w:p>
      <w:pPr>
        <w:pStyle w:val="EndnoteText"/>
      </w:pPr>
      <w:r>
        <w:rPr>
          <w:rStyle w:val="EndnoteReference"/>
          <w:rFonts w:ascii="Century Schoolbook" w:hAnsi="Century Schoolbook"/>
        </w:rPr>
        <w:endnoteRef/>
      </w:r>
      <w:r>
        <w:t xml:space="preserve"> </w:t>
      </w:r>
      <w:r>
        <w:rPr>
          <w:i/>
        </w:rPr>
        <w:t>Norris v. Emanuel Cnty.</w:t>
      </w:r>
      <w:r>
        <w:t>, 254 Ga. App. 114, 116, 561 S.E.2d 240, 243 (2002).</w:t>
      </w:r>
    </w:p>
  </w:endnote>
  <w:endnote w:id="444">
    <w:p>
      <w:pPr>
        <w:pStyle w:val="EndnoteText"/>
      </w:pPr>
      <w:r>
        <w:rPr>
          <w:rStyle w:val="EndnoteReference"/>
          <w:rFonts w:ascii="Century Schoolbook" w:hAnsi="Century Schoolbook"/>
        </w:rPr>
        <w:endnoteRef/>
      </w:r>
      <w:r>
        <w:t xml:space="preserve"> </w:t>
      </w:r>
      <w:r>
        <w:rPr>
          <w:i/>
        </w:rPr>
        <w:t>Allen v. Ebert Cnty</w:t>
      </w:r>
      <w:r>
        <w:t>., No. 3:09-CV-66 (CDL), 2010 WL 1257568, at *6 (M.D. Ga. March 25, 2010)).</w:t>
      </w:r>
    </w:p>
  </w:endnote>
  <w:endnote w:id="445">
    <w:p>
      <w:pPr>
        <w:pStyle w:val="EndnoteText"/>
      </w:pPr>
      <w:r>
        <w:rPr>
          <w:rStyle w:val="EndnoteReference"/>
          <w:rFonts w:ascii="Century Schoolbook" w:hAnsi="Century Schoolbook"/>
        </w:rPr>
        <w:endnoteRef/>
      </w:r>
      <w:r>
        <w:t xml:space="preserve"> </w:t>
      </w:r>
      <w:r>
        <w:rPr>
          <w:i/>
        </w:rPr>
        <w:t>Todd v. Brooks</w:t>
      </w:r>
      <w:r>
        <w:t>, 292 Ga. App. 329, 331, 665 S.E.2d 11, 13 (2008).</w:t>
      </w:r>
    </w:p>
  </w:endnote>
  <w:endnote w:id="446">
    <w:p>
      <w:pPr>
        <w:pStyle w:val="EndnoteText"/>
      </w:pPr>
      <w:r>
        <w:rPr>
          <w:rStyle w:val="EndnoteReference"/>
          <w:rFonts w:ascii="Century Schoolbook" w:hAnsi="Century Schoolbook"/>
        </w:rPr>
        <w:endnoteRef/>
      </w:r>
      <w:r>
        <w:t xml:space="preserve"> </w:t>
      </w:r>
      <w:r>
        <w:rPr>
          <w:i/>
        </w:rPr>
        <w:t>See</w:t>
      </w:r>
      <w:r>
        <w:t xml:space="preserve">, </w:t>
      </w:r>
      <w:r>
        <w:rPr>
          <w:i/>
        </w:rPr>
        <w:t>e.g.</w:t>
      </w:r>
      <w:r>
        <w:t xml:space="preserve">, </w:t>
      </w:r>
      <w:r>
        <w:rPr>
          <w:i/>
        </w:rPr>
        <w:t>id.</w:t>
      </w:r>
      <w:r>
        <w:t xml:space="preserve">  </w:t>
      </w:r>
    </w:p>
  </w:endnote>
  <w:endnote w:id="447">
    <w:p>
      <w:pPr>
        <w:pStyle w:val="EndnoteText"/>
      </w:pPr>
      <w:r>
        <w:rPr>
          <w:rStyle w:val="EndnoteReference"/>
          <w:rFonts w:ascii="Century Schoolbook" w:hAnsi="Century Schoolbook"/>
        </w:rPr>
        <w:endnoteRef/>
      </w:r>
      <w:r>
        <w:t xml:space="preserve"> </w:t>
      </w:r>
      <w:r>
        <w:rPr>
          <w:i/>
        </w:rPr>
        <w:t>Meagher v. Quick</w:t>
      </w:r>
      <w:r>
        <w:t>, 264 Ga. App. 639, 644, 594 S.E.2d 182, 185 (2003).</w:t>
      </w:r>
    </w:p>
  </w:endnote>
  <w:endnote w:id="448">
    <w:p>
      <w:pPr>
        <w:pStyle w:val="EndnoteText"/>
      </w:pPr>
      <w:r>
        <w:rPr>
          <w:rStyle w:val="EndnoteReference"/>
          <w:rFonts w:ascii="Century Schoolbook" w:hAnsi="Century Schoolbook"/>
        </w:rPr>
        <w:endnoteRef/>
      </w:r>
      <w:r>
        <w:t xml:space="preserve"> </w:t>
      </w:r>
      <w:r>
        <w:rPr>
          <w:i/>
        </w:rPr>
        <w:t>Joyce v. Van Arsdale</w:t>
      </w:r>
      <w:r>
        <w:t>, 196 Ga. App. 95, 96, 395 S.E.2d 275, 276 (1990) (superseded by statute).</w:t>
      </w:r>
    </w:p>
  </w:endnote>
  <w:endnote w:id="449">
    <w:p>
      <w:pPr>
        <w:pStyle w:val="EndnoteText"/>
      </w:pPr>
      <w:r>
        <w:rPr>
          <w:rStyle w:val="EndnoteReference"/>
          <w:rFonts w:ascii="Century Schoolbook" w:hAnsi="Century Schoolbook"/>
        </w:rPr>
        <w:endnoteRef/>
      </w:r>
      <w:r>
        <w:t xml:space="preserve"> </w:t>
      </w:r>
      <w:r>
        <w:rPr>
          <w:i/>
        </w:rPr>
        <w:t>Phillips v. Walls</w:t>
      </w:r>
      <w:r>
        <w:t>, 242 Ga. App. 309, 311-12, 529 S.E.2d 626, 628 (2000).</w:t>
      </w:r>
    </w:p>
  </w:endnote>
  <w:endnote w:id="450">
    <w:p>
      <w:pPr>
        <w:pStyle w:val="EndnoteText"/>
      </w:pPr>
      <w:r>
        <w:rPr>
          <w:rStyle w:val="EndnoteReference"/>
          <w:rFonts w:ascii="Century Schoolbook" w:hAnsi="Century Schoolbook"/>
        </w:rPr>
        <w:endnoteRef/>
      </w:r>
      <w:r>
        <w:t xml:space="preserve"> </w:t>
      </w:r>
      <w:r>
        <w:rPr>
          <w:i/>
        </w:rPr>
        <w:t>Cantrell v. Thurman</w:t>
      </w:r>
      <w:r>
        <w:t>, 231 Ga. App. 510, 514, 499 S.E.2d 416, 421 (1998).</w:t>
      </w:r>
    </w:p>
  </w:endnote>
  <w:endnote w:id="451">
    <w:p>
      <w:pPr>
        <w:pStyle w:val="EndnoteText"/>
      </w:pPr>
      <w:r>
        <w:rPr>
          <w:rStyle w:val="EndnoteReference"/>
          <w:rFonts w:ascii="Century Schoolbook" w:hAnsi="Century Schoolbook"/>
        </w:rPr>
        <w:endnoteRef/>
      </w:r>
      <w:r>
        <w:t xml:space="preserve"> </w:t>
      </w:r>
      <w:r>
        <w:rPr>
          <w:i/>
        </w:rPr>
        <w:t>Harvey v. Nichols</w:t>
      </w:r>
      <w:r>
        <w:t>, 260 Ga. App. 187, 192, 581 S.E.2d 272, 277 (2003).</w:t>
      </w:r>
    </w:p>
  </w:endnote>
  <w:endnote w:id="452">
    <w:p>
      <w:pPr>
        <w:pStyle w:val="EndnoteText"/>
      </w:pPr>
      <w:r>
        <w:rPr>
          <w:rStyle w:val="EndnoteReference"/>
          <w:rFonts w:ascii="Century Schoolbook" w:hAnsi="Century Schoolbook"/>
        </w:rPr>
        <w:endnoteRef/>
      </w:r>
      <w:r>
        <w:t xml:space="preserve"> </w:t>
      </w:r>
      <w:r>
        <w:rPr>
          <w:smallCaps/>
        </w:rPr>
        <w:t xml:space="preserve">Ga. Const. </w:t>
      </w:r>
      <w:r>
        <w:t>art. I, § 2, ¶ IX(d).</w:t>
      </w:r>
    </w:p>
  </w:endnote>
  <w:endnote w:id="453">
    <w:p>
      <w:pPr>
        <w:pStyle w:val="EndnoteText"/>
      </w:pPr>
      <w:r>
        <w:rPr>
          <w:rStyle w:val="EndnoteReference"/>
          <w:rFonts w:ascii="Century Schoolbook" w:hAnsi="Century Schoolbook"/>
        </w:rPr>
        <w:endnoteRef/>
      </w:r>
      <w:r>
        <w:t xml:space="preserve"> </w:t>
      </w:r>
      <w:r>
        <w:rPr>
          <w:i/>
        </w:rPr>
        <w:t>Id.</w:t>
      </w:r>
    </w:p>
  </w:endnote>
  <w:endnote w:id="454">
    <w:p>
      <w:pPr>
        <w:pStyle w:val="EndnoteText"/>
      </w:pPr>
      <w:r>
        <w:rPr>
          <w:rStyle w:val="EndnoteReference"/>
          <w:rFonts w:ascii="Century Schoolbook" w:hAnsi="Century Schoolbook"/>
        </w:rPr>
        <w:endnoteRef/>
      </w:r>
      <w:r>
        <w:t xml:space="preserve"> </w:t>
      </w:r>
      <w:r>
        <w:rPr>
          <w:i/>
        </w:rPr>
        <w:t>Adams v. Hazelwood</w:t>
      </w:r>
      <w:r>
        <w:t xml:space="preserve">, 271 Ga. 414, 415, 520 S.E.2d 896, 898 (1999) (quoting </w:t>
      </w:r>
      <w:r>
        <w:rPr>
          <w:i/>
        </w:rPr>
        <w:t>Merrow v. Hawkins</w:t>
      </w:r>
      <w:r>
        <w:t>, 266 Ga. 390, 467 S.E.2d 336 (1996)).</w:t>
      </w:r>
    </w:p>
  </w:endnote>
  <w:endnote w:id="455">
    <w:p>
      <w:pPr>
        <w:pStyle w:val="EndnoteText"/>
      </w:pPr>
      <w:r>
        <w:rPr>
          <w:rStyle w:val="EndnoteReference"/>
          <w:rFonts w:ascii="Century Schoolbook" w:hAnsi="Century Schoolbook"/>
        </w:rPr>
        <w:endnoteRef/>
      </w:r>
      <w:r>
        <w:t xml:space="preserve"> </w:t>
      </w:r>
      <w:r>
        <w:rPr>
          <w:i/>
        </w:rPr>
        <w:t>Id.</w:t>
      </w:r>
    </w:p>
  </w:endnote>
  <w:endnote w:id="456">
    <w:p>
      <w:pPr>
        <w:pStyle w:val="EndnoteText"/>
      </w:pPr>
      <w:r>
        <w:rPr>
          <w:rStyle w:val="EndnoteReference"/>
          <w:rFonts w:ascii="Century Schoolbook" w:hAnsi="Century Schoolbook"/>
        </w:rPr>
        <w:endnoteRef/>
      </w:r>
      <w:r>
        <w:t xml:space="preserve"> </w:t>
      </w:r>
      <w:r>
        <w:rPr>
          <w:i/>
        </w:rPr>
        <w:t>Id.</w:t>
      </w:r>
    </w:p>
  </w:endnote>
  <w:endnote w:id="457">
    <w:p>
      <w:pPr>
        <w:pStyle w:val="EndnoteText"/>
      </w:pPr>
      <w:r>
        <w:rPr>
          <w:rStyle w:val="EndnoteReference"/>
          <w:rFonts w:ascii="Century Schoolbook" w:hAnsi="Century Schoolbook"/>
        </w:rPr>
        <w:endnoteRef/>
      </w:r>
      <w:r>
        <w:t xml:space="preserve"> </w:t>
      </w:r>
      <w:r>
        <w:rPr>
          <w:i/>
        </w:rPr>
        <w:t>Id.</w:t>
      </w:r>
    </w:p>
  </w:endnote>
  <w:endnote w:id="458">
    <w:p>
      <w:pPr>
        <w:pStyle w:val="EndnoteText"/>
      </w:pPr>
      <w:r>
        <w:rPr>
          <w:rStyle w:val="EndnoteReference"/>
          <w:rFonts w:ascii="Century Schoolbook" w:hAnsi="Century Schoolbook"/>
        </w:rPr>
        <w:endnoteRef/>
      </w:r>
      <w:r>
        <w:t xml:space="preserve"> 281 Ga. 133, 136, 637 S.E.2d 11, 13 (2006).</w:t>
      </w:r>
    </w:p>
  </w:endnote>
  <w:endnote w:id="459">
    <w:p>
      <w:pPr>
        <w:pStyle w:val="EndnoteText"/>
      </w:pPr>
      <w:r>
        <w:rPr>
          <w:rStyle w:val="EndnoteReference"/>
          <w:rFonts w:ascii="Century Schoolbook" w:hAnsi="Century Schoolbook"/>
        </w:rPr>
        <w:endnoteRef/>
      </w:r>
      <w:r>
        <w:t xml:space="preserve"> </w:t>
      </w:r>
      <w:r>
        <w:rPr>
          <w:i/>
        </w:rPr>
        <w:t>Id.</w:t>
      </w:r>
    </w:p>
  </w:endnote>
  <w:endnote w:id="460">
    <w:p>
      <w:pPr>
        <w:pStyle w:val="EndnoteText"/>
      </w:pPr>
      <w:r>
        <w:rPr>
          <w:rStyle w:val="EndnoteReference"/>
          <w:rFonts w:ascii="Century Schoolbook" w:hAnsi="Century Schoolbook"/>
        </w:rPr>
        <w:endnoteRef/>
      </w:r>
      <w:r>
        <w:t xml:space="preserve"> </w:t>
      </w:r>
      <w:r>
        <w:rPr>
          <w:i/>
        </w:rPr>
        <w:t>Id.</w:t>
      </w:r>
    </w:p>
  </w:endnote>
  <w:endnote w:id="461">
    <w:p>
      <w:pPr>
        <w:pStyle w:val="EndnoteText"/>
      </w:pPr>
      <w:r>
        <w:rPr>
          <w:rStyle w:val="EndnoteReference"/>
          <w:rFonts w:ascii="Century Schoolbook" w:hAnsi="Century Schoolbook"/>
        </w:rPr>
        <w:endnoteRef/>
      </w:r>
      <w:r>
        <w:t xml:space="preserve"> </w:t>
      </w:r>
      <w:r>
        <w:rPr>
          <w:i/>
        </w:rPr>
        <w:t>Id.</w:t>
      </w:r>
    </w:p>
  </w:endnote>
  <w:endnote w:id="462">
    <w:p>
      <w:pPr>
        <w:pStyle w:val="EndnoteText"/>
      </w:pPr>
      <w:r>
        <w:rPr>
          <w:rStyle w:val="EndnoteReference"/>
          <w:rFonts w:ascii="Century Schoolbook" w:hAnsi="Century Schoolbook"/>
        </w:rPr>
        <w:endnoteRef/>
      </w:r>
      <w:r>
        <w:t xml:space="preserve"> </w:t>
      </w:r>
      <w:r>
        <w:rPr>
          <w:i/>
        </w:rPr>
        <w:t>Id.</w:t>
      </w:r>
    </w:p>
  </w:endnote>
  <w:endnote w:id="463">
    <w:p>
      <w:pPr>
        <w:pStyle w:val="EndnoteText"/>
      </w:pPr>
      <w:r>
        <w:rPr>
          <w:rStyle w:val="EndnoteReference"/>
          <w:rFonts w:ascii="Century Schoolbook" w:hAnsi="Century Schoolbook"/>
        </w:rPr>
        <w:endnoteRef/>
      </w:r>
      <w:r>
        <w:t xml:space="preserve"> 258 Ga. App. 131, 132, 572 S.E.2d 757, 758 (2002).  </w:t>
      </w:r>
    </w:p>
  </w:endnote>
  <w:endnote w:id="464">
    <w:p>
      <w:pPr>
        <w:pStyle w:val="EndnoteText"/>
      </w:pPr>
      <w:r>
        <w:rPr>
          <w:rStyle w:val="EndnoteReference"/>
          <w:rFonts w:ascii="Century Schoolbook" w:hAnsi="Century Schoolbook"/>
        </w:rPr>
        <w:endnoteRef/>
      </w:r>
      <w:r>
        <w:t xml:space="preserve"> 319 Ga. App. 278, 283, 736 S.E.2d 121, 126 (2012).</w:t>
      </w:r>
    </w:p>
  </w:endnote>
  <w:endnote w:id="465">
    <w:p>
      <w:pPr>
        <w:pStyle w:val="EndnoteText"/>
      </w:pPr>
      <w:r>
        <w:rPr>
          <w:rStyle w:val="EndnoteReference"/>
          <w:rFonts w:ascii="Century Schoolbook" w:hAnsi="Century Schoolbook"/>
        </w:rPr>
        <w:endnoteRef/>
      </w:r>
      <w:r>
        <w:t xml:space="preserve"> </w:t>
      </w:r>
      <w:r>
        <w:rPr>
          <w:i/>
        </w:rPr>
        <w:t>See</w:t>
      </w:r>
      <w:r>
        <w:t>,</w:t>
      </w:r>
      <w:r>
        <w:rPr>
          <w:i/>
        </w:rPr>
        <w:t xml:space="preserve"> e.g.</w:t>
      </w:r>
      <w:r>
        <w:t>,</w:t>
      </w:r>
      <w:r>
        <w:rPr>
          <w:i/>
        </w:rPr>
        <w:t xml:space="preserve"> Kidd v. Coates</w:t>
      </w:r>
      <w:r>
        <w:t>, 271 Ga. 33, 33, 518 S.E.2d 124, 125 (1999) (defining “actual intent to cause injury” as “an actual intent to cause harm to the plaintiff, not merely an intent to do the act purportedly resulting in the claimed injury”) (internal citations omitted).</w:t>
      </w:r>
    </w:p>
  </w:endnote>
  <w:endnote w:id="466">
    <w:p>
      <w:pPr>
        <w:pStyle w:val="EndnoteText"/>
      </w:pPr>
      <w:r>
        <w:rPr>
          <w:rStyle w:val="EndnoteReference"/>
          <w:rFonts w:ascii="Century Schoolbook" w:hAnsi="Century Schoolbook"/>
        </w:rPr>
        <w:endnoteRef/>
      </w:r>
      <w:r>
        <w:t xml:space="preserve"> </w:t>
      </w:r>
      <w:r>
        <w:rPr>
          <w:i/>
        </w:rPr>
        <w:t>City of Columbus v. Barngrover</w:t>
      </w:r>
      <w:r>
        <w:t xml:space="preserve">, 250 Ga. App. 589, 596, 552 S.E.2d 536, 542 (2001).  </w:t>
      </w:r>
    </w:p>
  </w:endnote>
  <w:endnote w:id="467">
    <w:p>
      <w:pPr>
        <w:pStyle w:val="EndnoteText"/>
      </w:pPr>
      <w:r>
        <w:rPr>
          <w:rStyle w:val="EndnoteReference"/>
          <w:rFonts w:ascii="Century Schoolbook" w:hAnsi="Century Schoolbook"/>
        </w:rPr>
        <w:endnoteRef/>
      </w:r>
      <w:r>
        <w:t xml:space="preserve"> O.C.G.A. § 36-11-1 (2012). </w:t>
      </w:r>
    </w:p>
  </w:endnote>
  <w:endnote w:id="468">
    <w:p>
      <w:pPr>
        <w:pStyle w:val="EndnoteText"/>
      </w:pPr>
      <w:r>
        <w:rPr>
          <w:rStyle w:val="EndnoteReference"/>
          <w:rFonts w:ascii="Century Schoolbook" w:hAnsi="Century Schoolbook"/>
        </w:rPr>
        <w:endnoteRef/>
      </w:r>
      <w:r>
        <w:t xml:space="preserve"> </w:t>
      </w:r>
      <w:r>
        <w:rPr>
          <w:i/>
        </w:rPr>
        <w:t>Payne v. Blackwell</w:t>
      </w:r>
      <w:r>
        <w:t xml:space="preserve">, 259 Ga. 483, 384 S.E.2d 393 (1989).  </w:t>
      </w:r>
    </w:p>
  </w:endnote>
  <w:endnote w:id="469">
    <w:p>
      <w:pPr>
        <w:pStyle w:val="EndnoteText"/>
      </w:pPr>
      <w:r>
        <w:rPr>
          <w:rStyle w:val="EndnoteReference"/>
          <w:rFonts w:ascii="Century Schoolbook" w:hAnsi="Century Schoolbook"/>
        </w:rPr>
        <w:endnoteRef/>
      </w:r>
      <w:r>
        <w:t xml:space="preserve"> O.C.G.A. § 36-33-5(b) (2012). </w:t>
      </w:r>
    </w:p>
  </w:endnote>
  <w:endnote w:id="470">
    <w:p>
      <w:pPr>
        <w:pStyle w:val="EndnoteText"/>
      </w:pPr>
      <w:r>
        <w:rPr>
          <w:rStyle w:val="EndnoteReference"/>
          <w:rFonts w:ascii="Century Schoolbook" w:hAnsi="Century Schoolbook"/>
        </w:rPr>
        <w:endnoteRef/>
      </w:r>
      <w:r>
        <w:t xml:space="preserve"> O.C.G.A. § 9-11-12 (2006 &amp; Supp. 2013).  </w:t>
      </w:r>
    </w:p>
  </w:endnote>
  <w:endnote w:id="471">
    <w:p>
      <w:pPr>
        <w:pStyle w:val="EndnoteText"/>
      </w:pPr>
      <w:r>
        <w:rPr>
          <w:rStyle w:val="EndnoteReference"/>
          <w:rFonts w:ascii="Century Schoolbook" w:hAnsi="Century Schoolbook"/>
        </w:rPr>
        <w:endnoteRef/>
      </w:r>
      <w:r>
        <w:t xml:space="preserve"> </w:t>
      </w:r>
      <w:r>
        <w:rPr>
          <w:i/>
        </w:rPr>
        <w:t>See Saleem v. Snow</w:t>
      </w:r>
      <w:r>
        <w:t xml:space="preserve">, 217 Ga. App. 883, 886, 460 S.E.2d 104, 107 (1995) (“Individuals acting in a legislative capacity are absolutely immune from suit.”) (citing </w:t>
      </w:r>
      <w:r>
        <w:rPr>
          <w:i/>
        </w:rPr>
        <w:t>Village of North Atlanta v. Cook</w:t>
      </w:r>
      <w:r>
        <w:t>, 219 Ga. 316, 133 S.E.2d 585 (1963)).</w:t>
      </w:r>
    </w:p>
  </w:endnote>
  <w:endnote w:id="472">
    <w:p>
      <w:pPr>
        <w:pStyle w:val="EndnoteText"/>
      </w:pPr>
      <w:r>
        <w:rPr>
          <w:rStyle w:val="EndnoteReference"/>
          <w:rFonts w:ascii="Century Schoolbook" w:hAnsi="Century Schoolbook"/>
        </w:rPr>
        <w:endnoteRef/>
      </w:r>
      <w:r>
        <w:t xml:space="preserve"> </w:t>
      </w:r>
      <w:r>
        <w:rPr>
          <w:i/>
        </w:rPr>
        <w:t>Cameron v. Lang</w:t>
      </w:r>
      <w:r>
        <w:t>, 274 Ga. 122, 126, 549 S.E.2d 341, 346 (2001).</w:t>
      </w:r>
    </w:p>
  </w:endnote>
  <w:endnote w:id="473">
    <w:p>
      <w:pPr>
        <w:pStyle w:val="EndnoteText"/>
      </w:pPr>
      <w:r>
        <w:rPr>
          <w:rStyle w:val="EndnoteReference"/>
          <w:rFonts w:ascii="Century Schoolbook" w:hAnsi="Century Schoolbook"/>
        </w:rPr>
        <w:endnoteRef/>
      </w:r>
      <w:r>
        <w:t xml:space="preserve"> O.C.G.A. § 9-11-12. </w:t>
      </w:r>
    </w:p>
  </w:endnote>
  <w:endnote w:id="474">
    <w:p>
      <w:pPr>
        <w:pStyle w:val="EndnoteText"/>
      </w:pPr>
      <w:r>
        <w:rPr>
          <w:rStyle w:val="EndnoteReference"/>
          <w:rFonts w:ascii="Century Schoolbook" w:hAnsi="Century Schoolbook"/>
        </w:rPr>
        <w:endnoteRef/>
      </w:r>
      <w:r>
        <w:t xml:space="preserve"> </w:t>
      </w:r>
      <w:r>
        <w:rPr>
          <w:i/>
        </w:rPr>
        <w:t>Taylor v. Campbell</w:t>
      </w:r>
      <w:r>
        <w:t xml:space="preserve">, 320 Ga. App. 362, 363 n.3, 739 S.E.2d 801, 803 n.3 (2013) (holding that Georgia law permits direct appeal of an order denying official immunity to a state official); </w:t>
      </w:r>
      <w:r>
        <w:rPr>
          <w:i/>
        </w:rPr>
        <w:t>Bd. of Regents v. Canas</w:t>
      </w:r>
      <w:r>
        <w:t>, 295 Ga. App. 505, 507, 672 S.E.2d 471, 473-74 (2009) (holding that Georgia law permits direct appeal of an order denying sovereign immunity to the state or a state official).</w:t>
      </w:r>
    </w:p>
  </w:endnote>
  <w:endnote w:id="475">
    <w:p>
      <w:pPr>
        <w:pStyle w:val="EndnoteText"/>
      </w:pPr>
      <w:r>
        <w:rPr>
          <w:rStyle w:val="EndnoteReference"/>
          <w:rFonts w:eastAsia="MS Mincho"/>
        </w:rPr>
        <w:endnoteRef/>
      </w:r>
      <w:r>
        <w:t xml:space="preserve"> O.C.G.A. § 34-9-11.1 (2013). </w:t>
      </w:r>
    </w:p>
  </w:endnote>
  <w:endnote w:id="476">
    <w:p>
      <w:pPr>
        <w:pStyle w:val="EndnoteText"/>
      </w:pPr>
      <w:r>
        <w:rPr>
          <w:rStyle w:val="EndnoteReference"/>
          <w:rFonts w:eastAsia="MS Mincho"/>
        </w:rPr>
        <w:endnoteRef/>
      </w:r>
      <w:r>
        <w:t xml:space="preserve"> </w:t>
      </w:r>
      <w:r>
        <w:rPr>
          <w:i/>
        </w:rPr>
        <w:t>See Georgia Star Plumbing, Inc. v. Bowen</w:t>
      </w:r>
      <w:r>
        <w:t>, 225 Ga. App. 379, 484 S.E.2d 26 (1997).</w:t>
      </w:r>
    </w:p>
  </w:endnote>
  <w:endnote w:id="477">
    <w:p>
      <w:pPr>
        <w:pStyle w:val="EndnoteText"/>
      </w:pPr>
      <w:r>
        <w:rPr>
          <w:rStyle w:val="EndnoteReference"/>
          <w:rFonts w:eastAsia="MS Mincho"/>
        </w:rPr>
        <w:endnoteRef/>
      </w:r>
      <w:r>
        <w:t xml:space="preserve"> O.C.G.A. § 34-9-11.1(a).</w:t>
      </w:r>
    </w:p>
  </w:endnote>
  <w:endnote w:id="478">
    <w:p>
      <w:pPr>
        <w:pStyle w:val="EndnoteText"/>
      </w:pPr>
      <w:r>
        <w:rPr>
          <w:rStyle w:val="EndnoteReference"/>
          <w:rFonts w:eastAsia="MS Mincho"/>
        </w:rPr>
        <w:endnoteRef/>
      </w:r>
      <w:r>
        <w:t xml:space="preserve"> </w:t>
      </w:r>
      <w:r>
        <w:rPr>
          <w:i/>
        </w:rPr>
        <w:t>See</w:t>
      </w:r>
      <w:r>
        <w:t xml:space="preserve"> O.C.G.A. § 34-9-11.1(b).</w:t>
      </w:r>
    </w:p>
  </w:endnote>
  <w:endnote w:id="479">
    <w:p>
      <w:pPr>
        <w:pStyle w:val="EndnoteText"/>
      </w:pPr>
      <w:r>
        <w:rPr>
          <w:rStyle w:val="EndnoteReference"/>
          <w:rFonts w:eastAsia="MS Mincho"/>
        </w:rPr>
        <w:endnoteRef/>
      </w:r>
      <w:r>
        <w:t xml:space="preserve"> </w:t>
      </w:r>
      <w:r>
        <w:rPr>
          <w:i/>
        </w:rPr>
        <w:t>See</w:t>
      </w:r>
      <w:r>
        <w:t xml:space="preserve"> O.C.G.A. § 9-3-33 (2013). </w:t>
      </w:r>
    </w:p>
  </w:endnote>
  <w:endnote w:id="480">
    <w:p>
      <w:pPr>
        <w:pStyle w:val="EndnoteText"/>
      </w:pPr>
      <w:r>
        <w:rPr>
          <w:rStyle w:val="EndnoteReference"/>
          <w:rFonts w:eastAsia="MS Mincho"/>
        </w:rPr>
        <w:endnoteRef/>
      </w:r>
      <w:r>
        <w:t xml:space="preserve"> O.C.G.A. § 34-9-11.1(c)</w:t>
      </w:r>
    </w:p>
  </w:endnote>
  <w:endnote w:id="481">
    <w:p>
      <w:pPr>
        <w:pStyle w:val="EndnoteText"/>
      </w:pPr>
      <w:r>
        <w:rPr>
          <w:rStyle w:val="EndnoteReference"/>
          <w:rFonts w:eastAsia="MS Mincho"/>
        </w:rPr>
        <w:endnoteRef/>
      </w:r>
      <w:r>
        <w:t xml:space="preserve"> </w:t>
      </w:r>
      <w:r>
        <w:rPr>
          <w:i/>
        </w:rPr>
        <w:t>Id.</w:t>
      </w:r>
    </w:p>
  </w:endnote>
  <w:endnote w:id="482">
    <w:p>
      <w:pPr>
        <w:pStyle w:val="EndnoteText"/>
      </w:pPr>
      <w:r>
        <w:rPr>
          <w:rStyle w:val="EndnoteReference"/>
          <w:rFonts w:eastAsia="MS Mincho"/>
        </w:rPr>
        <w:endnoteRef/>
      </w:r>
      <w:r>
        <w:t xml:space="preserve"> </w:t>
      </w:r>
      <w:r>
        <w:rPr>
          <w:i/>
        </w:rPr>
        <w:t>Kroger et al. v. Taylor et al.</w:t>
      </w:r>
      <w:r>
        <w:t>, 320 Ga. App. 298, 739 S.E.2d 767 (2013).</w:t>
      </w:r>
    </w:p>
  </w:endnote>
  <w:endnote w:id="483">
    <w:p>
      <w:pPr>
        <w:pStyle w:val="EndnoteText"/>
      </w:pPr>
      <w:r>
        <w:rPr>
          <w:rStyle w:val="EndnoteReference"/>
          <w:rFonts w:eastAsia="MS Mincho"/>
        </w:rPr>
        <w:endnoteRef/>
      </w:r>
      <w:r>
        <w:t xml:space="preserve"> </w:t>
      </w:r>
      <w:r>
        <w:rPr>
          <w:i/>
        </w:rPr>
        <w:t>Id</w:t>
      </w:r>
      <w:r>
        <w:t>. at 298, 739 S.E.2d at 768.</w:t>
      </w:r>
    </w:p>
  </w:endnote>
  <w:endnote w:id="484">
    <w:p>
      <w:pPr>
        <w:pStyle w:val="EndnoteText"/>
      </w:pPr>
      <w:r>
        <w:rPr>
          <w:rStyle w:val="EndnoteReference"/>
          <w:rFonts w:eastAsia="MS Mincho"/>
        </w:rPr>
        <w:endnoteRef/>
      </w:r>
      <w:r>
        <w:t xml:space="preserve"> </w:t>
      </w:r>
      <w:r>
        <w:rPr>
          <w:i/>
        </w:rPr>
        <w:t>Id</w:t>
      </w:r>
      <w:r>
        <w:t>.</w:t>
      </w:r>
    </w:p>
  </w:endnote>
  <w:endnote w:id="485">
    <w:p>
      <w:pPr>
        <w:pStyle w:val="EndnoteText"/>
      </w:pPr>
      <w:r>
        <w:rPr>
          <w:rStyle w:val="EndnoteReference"/>
          <w:rFonts w:eastAsia="MS Mincho"/>
        </w:rPr>
        <w:endnoteRef/>
      </w:r>
      <w:r>
        <w:t xml:space="preserve"> </w:t>
      </w:r>
      <w:r>
        <w:rPr>
          <w:i/>
        </w:rPr>
        <w:t>Id</w:t>
      </w:r>
      <w:r>
        <w:t>.</w:t>
      </w:r>
    </w:p>
  </w:endnote>
  <w:endnote w:id="486">
    <w:p>
      <w:pPr>
        <w:pStyle w:val="EndnoteText"/>
      </w:pPr>
      <w:r>
        <w:rPr>
          <w:rStyle w:val="EndnoteReference"/>
          <w:rFonts w:eastAsia="MS Mincho"/>
        </w:rPr>
        <w:endnoteRef/>
      </w:r>
      <w:r>
        <w:t xml:space="preserve"> </w:t>
      </w:r>
      <w:r>
        <w:rPr>
          <w:i/>
        </w:rPr>
        <w:t>Id</w:t>
      </w:r>
      <w:r>
        <w:t>.</w:t>
      </w:r>
    </w:p>
  </w:endnote>
  <w:endnote w:id="487">
    <w:p>
      <w:pPr>
        <w:pStyle w:val="EndnoteText"/>
      </w:pPr>
      <w:r>
        <w:rPr>
          <w:rStyle w:val="EndnoteReference"/>
          <w:rFonts w:eastAsia="MS Mincho"/>
        </w:rPr>
        <w:endnoteRef/>
      </w:r>
      <w:r>
        <w:t xml:space="preserve"> </w:t>
      </w:r>
      <w:r>
        <w:rPr>
          <w:i/>
        </w:rPr>
        <w:t>Id</w:t>
      </w:r>
      <w:r>
        <w:t>.</w:t>
      </w:r>
    </w:p>
  </w:endnote>
  <w:endnote w:id="488">
    <w:p>
      <w:pPr>
        <w:pStyle w:val="EndnoteText"/>
      </w:pPr>
      <w:r>
        <w:rPr>
          <w:rStyle w:val="EndnoteReference"/>
          <w:rFonts w:eastAsia="MS Mincho"/>
        </w:rPr>
        <w:endnoteRef/>
      </w:r>
      <w:r>
        <w:t xml:space="preserve"> </w:t>
      </w:r>
      <w:r>
        <w:rPr>
          <w:i/>
        </w:rPr>
        <w:t>Id</w:t>
      </w:r>
      <w:r>
        <w:t>. at 301, 739 S.E.2d at 770.</w:t>
      </w:r>
    </w:p>
  </w:endnote>
  <w:endnote w:id="489">
    <w:p>
      <w:pPr>
        <w:pStyle w:val="EndnoteText"/>
      </w:pPr>
      <w:r>
        <w:rPr>
          <w:rStyle w:val="EndnoteReference"/>
          <w:rFonts w:eastAsia="MS Mincho"/>
        </w:rPr>
        <w:endnoteRef/>
      </w:r>
      <w:r>
        <w:t xml:space="preserve"> </w:t>
      </w:r>
      <w:r>
        <w:rPr>
          <w:i/>
        </w:rPr>
        <w:t>Id</w:t>
      </w:r>
      <w:r>
        <w:t>. at 299, 739 S.E.2d at 769.</w:t>
      </w:r>
    </w:p>
  </w:endnote>
  <w:endnote w:id="490">
    <w:p>
      <w:pPr>
        <w:pStyle w:val="EndnoteText"/>
      </w:pPr>
      <w:r>
        <w:rPr>
          <w:rStyle w:val="EndnoteReference"/>
          <w:rFonts w:eastAsia="MS Mincho"/>
        </w:rPr>
        <w:endnoteRef/>
      </w:r>
      <w:r>
        <w:t xml:space="preserve"> </w:t>
      </w:r>
      <w:r>
        <w:rPr>
          <w:i/>
        </w:rPr>
        <w:t>Id</w:t>
      </w:r>
      <w:r>
        <w:t>.</w:t>
      </w:r>
    </w:p>
  </w:endnote>
  <w:endnote w:id="491">
    <w:p>
      <w:pPr>
        <w:pStyle w:val="EndnoteText"/>
      </w:pPr>
      <w:r>
        <w:rPr>
          <w:rStyle w:val="EndnoteReference"/>
          <w:rFonts w:eastAsia="MS Mincho"/>
        </w:rPr>
        <w:endnoteRef/>
      </w:r>
      <w:r>
        <w:t xml:space="preserve"> </w:t>
      </w:r>
      <w:r>
        <w:rPr>
          <w:i/>
        </w:rPr>
        <w:t>Id</w:t>
      </w:r>
      <w:r>
        <w:t>. at 299-300, 739 S.E.2d  at 769.</w:t>
      </w:r>
    </w:p>
  </w:endnote>
  <w:endnote w:id="492">
    <w:p>
      <w:pPr>
        <w:pStyle w:val="EndnoteText"/>
      </w:pPr>
      <w:r>
        <w:rPr>
          <w:rStyle w:val="EndnoteReference"/>
          <w:rFonts w:eastAsia="MS Mincho"/>
        </w:rPr>
        <w:endnoteRef/>
      </w:r>
      <w:r>
        <w:t xml:space="preserve"> </w:t>
      </w:r>
      <w:r>
        <w:rPr>
          <w:i/>
        </w:rPr>
        <w:t>Id</w:t>
      </w:r>
      <w:r>
        <w:t>. at 300, 739 S.E.2d at 769 (</w:t>
      </w:r>
      <w:r>
        <w:rPr>
          <w:i/>
        </w:rPr>
        <w:t>quoting</w:t>
      </w:r>
      <w:r>
        <w:t xml:space="preserve"> O.C.G.A. § 34-9-11.1(c) (2013) and O.C.G.A. §  9-11-24 (a) (1) (2013)).</w:t>
      </w:r>
    </w:p>
  </w:endnote>
  <w:endnote w:id="493">
    <w:p>
      <w:pPr>
        <w:pStyle w:val="EndnoteText"/>
      </w:pPr>
      <w:r>
        <w:rPr>
          <w:rStyle w:val="EndnoteReference"/>
          <w:rFonts w:eastAsia="MS Mincho"/>
        </w:rPr>
        <w:endnoteRef/>
      </w:r>
      <w:r>
        <w:t xml:space="preserve"> </w:t>
      </w:r>
      <w:r>
        <w:rPr>
          <w:i/>
        </w:rPr>
        <w:t>Id</w:t>
      </w:r>
      <w:r>
        <w:t xml:space="preserve">. </w:t>
      </w:r>
    </w:p>
  </w:endnote>
  <w:endnote w:id="494">
    <w:p>
      <w:pPr>
        <w:pStyle w:val="EndnoteText"/>
      </w:pPr>
      <w:r>
        <w:rPr>
          <w:rStyle w:val="EndnoteReference"/>
          <w:rFonts w:eastAsia="MS Mincho"/>
        </w:rPr>
        <w:endnoteRef/>
      </w:r>
      <w:r>
        <w:t xml:space="preserve"> </w:t>
      </w:r>
      <w:r>
        <w:rPr>
          <w:i/>
        </w:rPr>
        <w:t>Newsome v. Dept. of Administrative Svcs</w:t>
      </w:r>
      <w:r>
        <w:t>., 241 Ga. App. 357, 526 S.E. 2d 871 (1999).</w:t>
      </w:r>
    </w:p>
  </w:endnote>
  <w:endnote w:id="495">
    <w:p>
      <w:pPr>
        <w:pStyle w:val="EndnoteText"/>
      </w:pPr>
      <w:r>
        <w:rPr>
          <w:rStyle w:val="EndnoteReference"/>
          <w:rFonts w:eastAsia="MS Mincho"/>
        </w:rPr>
        <w:endnoteRef/>
      </w:r>
      <w:r>
        <w:t xml:space="preserve"> </w:t>
      </w:r>
      <w:r>
        <w:rPr>
          <w:i/>
        </w:rPr>
        <w:t>Id</w:t>
      </w:r>
      <w:r>
        <w:t>.</w:t>
      </w:r>
    </w:p>
  </w:endnote>
  <w:endnote w:id="496">
    <w:p>
      <w:pPr>
        <w:pStyle w:val="EndnoteText"/>
      </w:pPr>
      <w:r>
        <w:rPr>
          <w:rStyle w:val="EndnoteReference"/>
          <w:rFonts w:eastAsia="MS Mincho"/>
        </w:rPr>
        <w:endnoteRef/>
      </w:r>
      <w:r>
        <w:t xml:space="preserve"> O.C.G.A. § 34-9-11.1 (c).</w:t>
      </w:r>
    </w:p>
  </w:endnote>
  <w:endnote w:id="497">
    <w:p>
      <w:pPr>
        <w:pStyle w:val="EndnoteText"/>
      </w:pPr>
      <w:r>
        <w:rPr>
          <w:rStyle w:val="EndnoteReference"/>
          <w:rFonts w:eastAsia="MS Mincho"/>
        </w:rPr>
        <w:endnoteRef/>
      </w:r>
      <w:r>
        <w:t xml:space="preserve"> </w:t>
      </w:r>
      <w:r>
        <w:rPr>
          <w:i/>
        </w:rPr>
        <w:t>SunTrust Bank v. Travelers Prop. Cas. Co. of Am</w:t>
      </w:r>
      <w:r>
        <w:t>., 321 Ga. App. 538, 740 S.E.2d 824 (2013).</w:t>
      </w:r>
    </w:p>
  </w:endnote>
  <w:endnote w:id="498">
    <w:p>
      <w:pPr>
        <w:pStyle w:val="EndnoteText"/>
      </w:pPr>
      <w:r>
        <w:rPr>
          <w:rStyle w:val="EndnoteReference"/>
          <w:rFonts w:eastAsia="MS Mincho"/>
        </w:rPr>
        <w:endnoteRef/>
      </w:r>
      <w:r>
        <w:rPr>
          <w:i/>
        </w:rPr>
        <w:t>Id</w:t>
      </w:r>
      <w:r>
        <w:t>. at 539, 740 S.E.2d at 825.</w:t>
      </w:r>
    </w:p>
  </w:endnote>
  <w:endnote w:id="499">
    <w:p>
      <w:pPr>
        <w:pStyle w:val="EndnoteText"/>
      </w:pPr>
      <w:r>
        <w:rPr>
          <w:rStyle w:val="EndnoteReference"/>
          <w:rFonts w:eastAsia="MS Mincho"/>
        </w:rPr>
        <w:endnoteRef/>
      </w:r>
      <w:r>
        <w:t xml:space="preserve"> </w:t>
      </w:r>
      <w:r>
        <w:rPr>
          <w:i/>
        </w:rPr>
        <w:t>Id</w:t>
      </w:r>
      <w:r>
        <w:t>.</w:t>
      </w:r>
    </w:p>
  </w:endnote>
  <w:endnote w:id="500">
    <w:p>
      <w:pPr>
        <w:pStyle w:val="EndnoteText"/>
      </w:pPr>
      <w:r>
        <w:rPr>
          <w:rStyle w:val="EndnoteReference"/>
          <w:rFonts w:eastAsia="MS Mincho"/>
        </w:rPr>
        <w:endnoteRef/>
      </w:r>
      <w:r>
        <w:t xml:space="preserve"> </w:t>
      </w:r>
      <w:r>
        <w:rPr>
          <w:i/>
        </w:rPr>
        <w:t>Id.</w:t>
      </w:r>
    </w:p>
  </w:endnote>
  <w:endnote w:id="501">
    <w:p>
      <w:pPr>
        <w:pStyle w:val="EndnoteText"/>
      </w:pPr>
      <w:r>
        <w:rPr>
          <w:rStyle w:val="EndnoteReference"/>
          <w:rFonts w:eastAsia="MS Mincho"/>
        </w:rPr>
        <w:endnoteRef/>
      </w:r>
      <w:r>
        <w:t xml:space="preserve"> </w:t>
      </w:r>
      <w:r>
        <w:rPr>
          <w:i/>
        </w:rPr>
        <w:t>Id.</w:t>
      </w:r>
    </w:p>
  </w:endnote>
  <w:endnote w:id="502">
    <w:p>
      <w:pPr>
        <w:pStyle w:val="EndnoteText"/>
      </w:pPr>
      <w:r>
        <w:rPr>
          <w:rStyle w:val="EndnoteReference"/>
          <w:rFonts w:eastAsia="MS Mincho"/>
        </w:rPr>
        <w:endnoteRef/>
      </w:r>
      <w:r>
        <w:t xml:space="preserve"> </w:t>
      </w:r>
      <w:r>
        <w:rPr>
          <w:i/>
        </w:rPr>
        <w:t>Id.</w:t>
      </w:r>
    </w:p>
  </w:endnote>
  <w:endnote w:id="503">
    <w:p>
      <w:pPr>
        <w:pStyle w:val="EndnoteText"/>
      </w:pPr>
      <w:r>
        <w:rPr>
          <w:rStyle w:val="EndnoteReference"/>
          <w:rFonts w:eastAsia="MS Mincho"/>
        </w:rPr>
        <w:endnoteRef/>
      </w:r>
      <w:r>
        <w:t xml:space="preserve"> </w:t>
      </w:r>
      <w:r>
        <w:rPr>
          <w:i/>
        </w:rPr>
        <w:t>Id</w:t>
      </w:r>
      <w:r>
        <w:t>. at 539, 740 S.E.2d at 826.</w:t>
      </w:r>
    </w:p>
  </w:endnote>
  <w:endnote w:id="504">
    <w:p>
      <w:pPr>
        <w:pStyle w:val="EndnoteText"/>
      </w:pPr>
      <w:r>
        <w:rPr>
          <w:rStyle w:val="EndnoteReference"/>
          <w:rFonts w:eastAsia="MS Mincho"/>
        </w:rPr>
        <w:endnoteRef/>
      </w:r>
      <w:r>
        <w:t xml:space="preserve"> </w:t>
      </w:r>
      <w:r>
        <w:rPr>
          <w:i/>
        </w:rPr>
        <w:t>Id</w:t>
      </w:r>
      <w:r>
        <w:t xml:space="preserve">. </w:t>
      </w:r>
    </w:p>
  </w:endnote>
  <w:endnote w:id="505">
    <w:p>
      <w:pPr>
        <w:pStyle w:val="EndnoteText"/>
      </w:pPr>
      <w:r>
        <w:rPr>
          <w:rStyle w:val="EndnoteReference"/>
          <w:rFonts w:eastAsia="MS Mincho"/>
        </w:rPr>
        <w:endnoteRef/>
      </w:r>
      <w:r>
        <w:t xml:space="preserve"> </w:t>
      </w:r>
      <w:r>
        <w:rPr>
          <w:i/>
        </w:rPr>
        <w:t>Id</w:t>
      </w:r>
      <w:r>
        <w:t>. at 540, 740 S.E.2d at 826.</w:t>
      </w:r>
    </w:p>
  </w:endnote>
  <w:endnote w:id="506">
    <w:p>
      <w:pPr>
        <w:pStyle w:val="EndnoteText"/>
      </w:pPr>
      <w:r>
        <w:rPr>
          <w:rStyle w:val="EndnoteReference"/>
          <w:rFonts w:eastAsia="MS Mincho"/>
        </w:rPr>
        <w:endnoteRef/>
      </w:r>
      <w:r>
        <w:t xml:space="preserve"> </w:t>
      </w:r>
      <w:r>
        <w:rPr>
          <w:i/>
        </w:rPr>
        <w:t>Id</w:t>
      </w:r>
      <w:r>
        <w:t>.</w:t>
      </w:r>
    </w:p>
  </w:endnote>
  <w:endnote w:id="507">
    <w:p>
      <w:pPr>
        <w:pStyle w:val="EndnoteText"/>
      </w:pPr>
      <w:r>
        <w:rPr>
          <w:rStyle w:val="EndnoteReference"/>
          <w:rFonts w:eastAsia="MS Mincho"/>
        </w:rPr>
        <w:endnoteRef/>
      </w:r>
      <w:r>
        <w:t xml:space="preserve"> </w:t>
      </w:r>
      <w:r>
        <w:rPr>
          <w:i/>
        </w:rPr>
        <w:t>Id</w:t>
      </w:r>
      <w:r>
        <w:t>.</w:t>
      </w:r>
    </w:p>
  </w:endnote>
  <w:endnote w:id="508">
    <w:p>
      <w:pPr>
        <w:pStyle w:val="EndnoteText"/>
      </w:pPr>
      <w:r>
        <w:rPr>
          <w:rStyle w:val="EndnoteReference"/>
          <w:rFonts w:eastAsia="MS Mincho"/>
        </w:rPr>
        <w:endnoteRef/>
      </w:r>
      <w:r>
        <w:t xml:space="preserve"> </w:t>
      </w:r>
      <w:r>
        <w:rPr>
          <w:i/>
        </w:rPr>
        <w:t>Id</w:t>
      </w:r>
      <w:r>
        <w:t>.</w:t>
      </w:r>
    </w:p>
  </w:endnote>
  <w:endnote w:id="509">
    <w:p>
      <w:pPr>
        <w:pStyle w:val="EndnoteText"/>
      </w:pPr>
      <w:r>
        <w:rPr>
          <w:rStyle w:val="EndnoteReference"/>
          <w:rFonts w:eastAsia="MS Mincho"/>
        </w:rPr>
        <w:endnoteRef/>
      </w:r>
      <w:r>
        <w:t xml:space="preserve"> </w:t>
      </w:r>
      <w:r>
        <w:rPr>
          <w:i/>
        </w:rPr>
        <w:t>Id</w:t>
      </w:r>
      <w:r>
        <w:t>.</w:t>
      </w:r>
    </w:p>
  </w:endnote>
  <w:endnote w:id="510">
    <w:p>
      <w:pPr>
        <w:pStyle w:val="EndnoteText"/>
      </w:pPr>
      <w:r>
        <w:rPr>
          <w:rStyle w:val="EndnoteReference"/>
          <w:rFonts w:eastAsia="MS Mincho"/>
        </w:rPr>
        <w:endnoteRef/>
      </w:r>
      <w:r>
        <w:t xml:space="preserve"> </w:t>
      </w:r>
      <w:r>
        <w:rPr>
          <w:i/>
        </w:rPr>
        <w:t>Id</w:t>
      </w:r>
      <w:r>
        <w:t>.</w:t>
      </w:r>
    </w:p>
  </w:endnote>
  <w:endnote w:id="511">
    <w:p>
      <w:pPr>
        <w:pStyle w:val="EndnoteText"/>
      </w:pPr>
      <w:r>
        <w:rPr>
          <w:rStyle w:val="EndnoteReference"/>
          <w:rFonts w:eastAsia="MS Mincho"/>
        </w:rPr>
        <w:endnoteRef/>
      </w:r>
      <w:r>
        <w:t xml:space="preserve"> </w:t>
      </w:r>
      <w:r>
        <w:rPr>
          <w:i/>
        </w:rPr>
        <w:t>Id</w:t>
      </w:r>
      <w:r>
        <w:t>. at 540-41, 740 S.E.2d at 826.</w:t>
      </w:r>
    </w:p>
  </w:endnote>
  <w:endnote w:id="512">
    <w:p>
      <w:pPr>
        <w:pStyle w:val="EndnoteText"/>
      </w:pPr>
      <w:r>
        <w:rPr>
          <w:rStyle w:val="EndnoteReference"/>
          <w:rFonts w:eastAsia="MS Mincho"/>
        </w:rPr>
        <w:endnoteRef/>
      </w:r>
      <w:r>
        <w:t xml:space="preserve"> </w:t>
      </w:r>
      <w:r>
        <w:rPr>
          <w:i/>
        </w:rPr>
        <w:t>Id</w:t>
      </w:r>
      <w:r>
        <w:t>. at 541, 740 S.E.2d at 826.</w:t>
      </w:r>
    </w:p>
  </w:endnote>
  <w:endnote w:id="513">
    <w:p>
      <w:pPr>
        <w:pStyle w:val="EndnoteText"/>
      </w:pPr>
      <w:r>
        <w:rPr>
          <w:rStyle w:val="EndnoteReference"/>
          <w:rFonts w:eastAsia="MS Mincho"/>
        </w:rPr>
        <w:endnoteRef/>
      </w:r>
      <w:r>
        <w:t xml:space="preserve"> </w:t>
      </w:r>
      <w:r>
        <w:rPr>
          <w:i/>
        </w:rPr>
        <w:t>Id</w:t>
      </w:r>
      <w:r>
        <w:t>., 740 S.E.2d at 827.</w:t>
      </w:r>
    </w:p>
  </w:endnote>
  <w:endnote w:id="514">
    <w:p>
      <w:pPr>
        <w:pStyle w:val="EndnoteText"/>
      </w:pPr>
      <w:r>
        <w:rPr>
          <w:rStyle w:val="EndnoteReference"/>
          <w:rFonts w:eastAsia="MS Mincho"/>
        </w:rPr>
        <w:endnoteRef/>
      </w:r>
      <w:r>
        <w:t xml:space="preserve"> </w:t>
      </w:r>
      <w:r>
        <w:rPr>
          <w:i/>
        </w:rPr>
        <w:t>Id.</w:t>
      </w:r>
    </w:p>
  </w:endnote>
  <w:endnote w:id="515">
    <w:p>
      <w:pPr>
        <w:pStyle w:val="EndnoteText"/>
      </w:pPr>
      <w:r>
        <w:rPr>
          <w:rStyle w:val="EndnoteReference"/>
          <w:rFonts w:eastAsia="MS Mincho"/>
        </w:rPr>
        <w:endnoteRef/>
      </w:r>
      <w:r>
        <w:t xml:space="preserve"> </w:t>
      </w:r>
      <w:r>
        <w:rPr>
          <w:i/>
        </w:rPr>
        <w:t>Id.</w:t>
      </w:r>
    </w:p>
  </w:endnote>
  <w:endnote w:id="516">
    <w:p>
      <w:pPr>
        <w:pStyle w:val="EndnoteText"/>
      </w:pPr>
      <w:r>
        <w:rPr>
          <w:rStyle w:val="EndnoteReference"/>
          <w:rFonts w:eastAsia="MS Mincho"/>
        </w:rPr>
        <w:endnoteRef/>
      </w:r>
      <w:r>
        <w:t xml:space="preserve"> </w:t>
      </w:r>
      <w:r>
        <w:rPr>
          <w:i/>
        </w:rPr>
        <w:t>Id</w:t>
      </w:r>
      <w:r>
        <w:t xml:space="preserve">. at 542, 740 S.E.2d at 827 (citing </w:t>
      </w:r>
      <w:r>
        <w:rPr>
          <w:i/>
        </w:rPr>
        <w:t>Leone Hall Price Foundation v. Baker</w:t>
      </w:r>
      <w:r>
        <w:t>, 276 Ga. 318, 577 S.E.2d 779 (2003)).</w:t>
      </w:r>
    </w:p>
  </w:endnote>
  <w:endnote w:id="517">
    <w:p>
      <w:pPr>
        <w:pStyle w:val="EndnoteText"/>
      </w:pPr>
      <w:r>
        <w:rPr>
          <w:rStyle w:val="EndnoteReference"/>
          <w:rFonts w:eastAsia="MS Mincho"/>
        </w:rPr>
        <w:endnoteRef/>
      </w:r>
      <w:r>
        <w:t xml:space="preserve"> </w:t>
      </w:r>
      <w:r>
        <w:rPr>
          <w:i/>
        </w:rPr>
        <w:t>Id</w:t>
      </w:r>
      <w:r>
        <w:t xml:space="preserve">. </w:t>
      </w:r>
    </w:p>
  </w:endnote>
  <w:endnote w:id="518">
    <w:p>
      <w:pPr>
        <w:pStyle w:val="EndnoteText"/>
      </w:pPr>
      <w:r>
        <w:rPr>
          <w:rStyle w:val="EndnoteReference"/>
          <w:rFonts w:eastAsia="MS Mincho"/>
        </w:rPr>
        <w:endnoteRef/>
      </w:r>
      <w:r>
        <w:t xml:space="preserve"> </w:t>
      </w:r>
      <w:r>
        <w:rPr>
          <w:i/>
        </w:rPr>
        <w:t>Id</w:t>
      </w:r>
      <w:r>
        <w:t>.</w:t>
      </w:r>
    </w:p>
  </w:endnote>
  <w:endnote w:id="519">
    <w:p>
      <w:pPr>
        <w:pStyle w:val="EndnoteText"/>
      </w:pPr>
      <w:r>
        <w:rPr>
          <w:rStyle w:val="EndnoteReference"/>
          <w:rFonts w:eastAsia="MS Mincho"/>
        </w:rPr>
        <w:endnoteRef/>
      </w:r>
      <w:r>
        <w:t xml:space="preserve"> </w:t>
      </w:r>
      <w:r>
        <w:rPr>
          <w:i/>
        </w:rPr>
        <w:t>Id</w:t>
      </w:r>
      <w:r>
        <w:t>.</w:t>
      </w:r>
    </w:p>
  </w:endnote>
  <w:endnote w:id="520">
    <w:p>
      <w:pPr>
        <w:pStyle w:val="EndnoteText"/>
      </w:pPr>
      <w:r>
        <w:rPr>
          <w:rStyle w:val="EndnoteReference"/>
          <w:rFonts w:eastAsia="MS Mincho"/>
        </w:rPr>
        <w:endnoteRef/>
      </w:r>
      <w:r>
        <w:t xml:space="preserve"> </w:t>
      </w:r>
      <w:r>
        <w:rPr>
          <w:i/>
        </w:rPr>
        <w:t>Id</w:t>
      </w:r>
      <w:r>
        <w:t>. at 545-46, 740 S.E.2d at 829-30.</w:t>
      </w:r>
    </w:p>
  </w:endnote>
  <w:endnote w:id="521">
    <w:p>
      <w:pPr>
        <w:pStyle w:val="EndnoteText"/>
      </w:pPr>
      <w:r>
        <w:rPr>
          <w:rStyle w:val="EndnoteReference"/>
          <w:rFonts w:eastAsia="MS Mincho"/>
        </w:rPr>
        <w:endnoteRef/>
      </w:r>
      <w:r>
        <w:t xml:space="preserve"> </w:t>
      </w:r>
      <w:r>
        <w:rPr>
          <w:i/>
        </w:rPr>
        <w:t xml:space="preserve">Id. </w:t>
      </w:r>
      <w:r>
        <w:t>at 543</w:t>
      </w:r>
      <w:r>
        <w:rPr>
          <w:i/>
        </w:rPr>
        <w:t xml:space="preserve">, </w:t>
      </w:r>
      <w:r>
        <w:t>740 S.E.2d at 828.</w:t>
      </w:r>
    </w:p>
  </w:endnote>
  <w:endnote w:id="522">
    <w:p>
      <w:pPr>
        <w:pStyle w:val="EndnoteText"/>
      </w:pPr>
      <w:r>
        <w:rPr>
          <w:rStyle w:val="EndnoteReference"/>
          <w:rFonts w:eastAsia="MS Mincho"/>
        </w:rPr>
        <w:endnoteRef/>
      </w:r>
      <w:r>
        <w:t xml:space="preserve"> </w:t>
      </w:r>
      <w:r>
        <w:rPr>
          <w:i/>
        </w:rPr>
        <w:t>Id</w:t>
      </w:r>
      <w:r>
        <w:t>. at 545, 740 S.E.2d at 829-30.</w:t>
      </w:r>
    </w:p>
  </w:endnote>
  <w:endnote w:id="523">
    <w:p>
      <w:pPr>
        <w:pStyle w:val="EndnoteText"/>
      </w:pPr>
      <w:r>
        <w:rPr>
          <w:rStyle w:val="EndnoteReference"/>
          <w:rFonts w:eastAsia="MS Mincho"/>
        </w:rPr>
        <w:endnoteRef/>
      </w:r>
      <w:r>
        <w:t xml:space="preserve"> </w:t>
      </w:r>
      <w:r>
        <w:rPr>
          <w:i/>
        </w:rPr>
        <w:t>Id</w:t>
      </w:r>
      <w:r>
        <w:t>. at 546, 740 S.E.2d at 830.</w:t>
      </w:r>
    </w:p>
  </w:endnote>
  <w:endnote w:id="524">
    <w:p>
      <w:pPr>
        <w:pStyle w:val="EndnoteText"/>
      </w:pPr>
      <w:r>
        <w:rPr>
          <w:rStyle w:val="EndnoteReference"/>
          <w:rFonts w:eastAsia="MS Mincho"/>
        </w:rPr>
        <w:endnoteRef/>
      </w:r>
      <w:r>
        <w:t xml:space="preserve"> </w:t>
      </w:r>
      <w:r>
        <w:rPr>
          <w:i/>
        </w:rPr>
        <w:t>Id</w:t>
      </w:r>
      <w:r>
        <w:t>. at 546-47, 740 S.E.2d at 830.</w:t>
      </w:r>
    </w:p>
  </w:endnote>
  <w:endnote w:id="525">
    <w:p>
      <w:pPr>
        <w:pStyle w:val="EndnoteText"/>
      </w:pPr>
      <w:r>
        <w:rPr>
          <w:rStyle w:val="EndnoteReference"/>
          <w:rFonts w:eastAsia="MS Mincho"/>
        </w:rPr>
        <w:endnoteRef/>
      </w:r>
      <w:r>
        <w:t xml:space="preserve"> </w:t>
      </w:r>
      <w:r>
        <w:rPr>
          <w:i/>
        </w:rPr>
        <w:t>Id</w:t>
      </w:r>
      <w:r>
        <w:t>.</w:t>
      </w:r>
    </w:p>
  </w:endnote>
  <w:endnote w:id="526">
    <w:p>
      <w:pPr>
        <w:pStyle w:val="EndnoteText"/>
      </w:pPr>
      <w:r>
        <w:rPr>
          <w:rStyle w:val="EndnoteReference"/>
          <w:rFonts w:eastAsia="MS Mincho"/>
        </w:rPr>
        <w:endnoteRef/>
      </w:r>
      <w:r>
        <w:t xml:space="preserve"> </w:t>
      </w:r>
      <w:r>
        <w:rPr>
          <w:i/>
        </w:rPr>
        <w:t>Id</w:t>
      </w:r>
      <w:r>
        <w:t>. at 546, 740 S.E.2d at 830.</w:t>
      </w:r>
    </w:p>
  </w:endnote>
  <w:endnote w:id="527">
    <w:p>
      <w:pPr>
        <w:pStyle w:val="EndnoteText"/>
      </w:pPr>
      <w:r>
        <w:rPr>
          <w:rStyle w:val="EndnoteReference"/>
          <w:rFonts w:eastAsia="MS Mincho"/>
        </w:rPr>
        <w:endnoteRef/>
      </w:r>
      <w:r>
        <w:t xml:space="preserve"> O.C.G.A. § 34-9-1(4) (2013). </w:t>
      </w:r>
    </w:p>
  </w:endnote>
  <w:endnote w:id="528">
    <w:p>
      <w:pPr>
        <w:pStyle w:val="EndnoteText"/>
      </w:pPr>
      <w:r>
        <w:rPr>
          <w:rStyle w:val="EndnoteReference"/>
          <w:rFonts w:eastAsia="MS Mincho"/>
        </w:rPr>
        <w:endnoteRef/>
      </w:r>
      <w:r>
        <w:t xml:space="preserve"> </w:t>
      </w:r>
      <w:r>
        <w:rPr>
          <w:i/>
        </w:rPr>
        <w:t>Ray Bell Constr. Co. v. King</w:t>
      </w:r>
      <w:r>
        <w:t>, 281 Ga. 853, 855, 642 S.E.2d 841, 844 (2007).</w:t>
      </w:r>
    </w:p>
  </w:endnote>
  <w:endnote w:id="529">
    <w:p>
      <w:pPr>
        <w:pStyle w:val="EndnoteText"/>
      </w:pPr>
      <w:r>
        <w:rPr>
          <w:rStyle w:val="EndnoteReference"/>
          <w:rFonts w:eastAsia="MS Mincho"/>
        </w:rPr>
        <w:endnoteRef/>
      </w:r>
      <w:r>
        <w:t xml:space="preserve"> </w:t>
      </w:r>
      <w:r>
        <w:rPr>
          <w:i/>
        </w:rPr>
        <w:t>Id.</w:t>
      </w:r>
      <w:r>
        <w:t xml:space="preserve"> </w:t>
      </w:r>
    </w:p>
  </w:endnote>
  <w:endnote w:id="530">
    <w:p>
      <w:pPr>
        <w:pStyle w:val="EndnoteText"/>
      </w:pPr>
      <w:r>
        <w:rPr>
          <w:rStyle w:val="EndnoteReference"/>
          <w:rFonts w:eastAsia="MS Mincho"/>
        </w:rPr>
        <w:endnoteRef/>
      </w:r>
      <w:r>
        <w:t xml:space="preserve"> </w:t>
      </w:r>
      <w:r>
        <w:rPr>
          <w:i/>
        </w:rPr>
        <w:t>Blair v. Georgia Baptist, etc., Ministries</w:t>
      </w:r>
      <w:r>
        <w:t xml:space="preserve">, 189 Ga. App. 579, 581, 377 S.E.2d 21, </w:t>
      </w:r>
      <w:r>
        <w:softHyphen/>
      </w:r>
      <w:r>
        <w:softHyphen/>
        <w:t>23</w:t>
      </w:r>
      <w:r>
        <w:softHyphen/>
        <w:t>, (1988).</w:t>
      </w:r>
    </w:p>
  </w:endnote>
  <w:endnote w:id="531">
    <w:p>
      <w:pPr>
        <w:pStyle w:val="EndnoteText"/>
      </w:pPr>
      <w:r>
        <w:rPr>
          <w:rStyle w:val="EndnoteReference"/>
          <w:rFonts w:eastAsia="MS Mincho"/>
        </w:rPr>
        <w:endnoteRef/>
      </w:r>
      <w:r>
        <w:t xml:space="preserve"> </w:t>
      </w:r>
      <w:r>
        <w:rPr>
          <w:i/>
        </w:rPr>
        <w:t>The Medical Center, Inc. v. Hernandez et al.</w:t>
      </w:r>
      <w:r>
        <w:t xml:space="preserve"> and </w:t>
      </w:r>
      <w:r>
        <w:rPr>
          <w:i/>
        </w:rPr>
        <w:t>Hernandez et al. v. Atlanta Drywall, LLC</w:t>
      </w:r>
      <w:r>
        <w:rPr>
          <w:b/>
        </w:rPr>
        <w:t xml:space="preserve">, </w:t>
      </w:r>
      <w:r>
        <w:t>319 Ga. App. 335, 734 S.E.2d 557 (2012).</w:t>
      </w:r>
    </w:p>
  </w:endnote>
  <w:endnote w:id="532">
    <w:p>
      <w:pPr>
        <w:pStyle w:val="EndnoteText"/>
      </w:pPr>
      <w:r>
        <w:rPr>
          <w:rStyle w:val="EndnoteReference"/>
          <w:rFonts w:eastAsia="MS Mincho"/>
        </w:rPr>
        <w:endnoteRef/>
      </w:r>
      <w:r>
        <w:t xml:space="preserve"> </w:t>
      </w:r>
      <w:r>
        <w:rPr>
          <w:i/>
        </w:rPr>
        <w:t xml:space="preserve">Id. </w:t>
      </w:r>
    </w:p>
  </w:endnote>
  <w:endnote w:id="533">
    <w:p>
      <w:pPr>
        <w:pStyle w:val="EndnoteText"/>
      </w:pPr>
      <w:r>
        <w:rPr>
          <w:rStyle w:val="EndnoteReference"/>
          <w:rFonts w:eastAsia="MS Mincho"/>
        </w:rPr>
        <w:endnoteRef/>
      </w:r>
      <w:r>
        <w:t xml:space="preserve"> </w:t>
      </w:r>
      <w:r>
        <w:rPr>
          <w:i/>
        </w:rPr>
        <w:t>Id</w:t>
      </w:r>
      <w:r>
        <w:t>. at 336, 734 S.E.2d at 558.</w:t>
      </w:r>
    </w:p>
  </w:endnote>
  <w:endnote w:id="534">
    <w:p>
      <w:pPr>
        <w:pStyle w:val="EndnoteText"/>
      </w:pPr>
      <w:r>
        <w:rPr>
          <w:rStyle w:val="EndnoteReference"/>
          <w:rFonts w:eastAsia="MS Mincho"/>
        </w:rPr>
        <w:endnoteRef/>
      </w:r>
      <w:r>
        <w:t xml:space="preserve"> </w:t>
      </w:r>
      <w:r>
        <w:rPr>
          <w:i/>
        </w:rPr>
        <w:t>Id</w:t>
      </w:r>
      <w:r>
        <w:t>.</w:t>
      </w:r>
    </w:p>
  </w:endnote>
  <w:endnote w:id="535">
    <w:p>
      <w:pPr>
        <w:pStyle w:val="EndnoteText"/>
      </w:pPr>
      <w:r>
        <w:rPr>
          <w:rStyle w:val="EndnoteReference"/>
          <w:rFonts w:eastAsia="MS Mincho"/>
        </w:rPr>
        <w:endnoteRef/>
      </w:r>
      <w:r>
        <w:t xml:space="preserve"> </w:t>
      </w:r>
      <w:r>
        <w:rPr>
          <w:i/>
        </w:rPr>
        <w:t>Id</w:t>
      </w:r>
      <w:r>
        <w:t>.</w:t>
      </w:r>
    </w:p>
  </w:endnote>
  <w:endnote w:id="536">
    <w:p>
      <w:pPr>
        <w:pStyle w:val="EndnoteText"/>
      </w:pPr>
      <w:r>
        <w:rPr>
          <w:rStyle w:val="EndnoteReference"/>
          <w:rFonts w:eastAsia="MS Mincho"/>
        </w:rPr>
        <w:endnoteRef/>
      </w:r>
      <w:r>
        <w:t xml:space="preserve"> </w:t>
      </w:r>
      <w:r>
        <w:rPr>
          <w:i/>
        </w:rPr>
        <w:t>Id</w:t>
      </w:r>
      <w:r>
        <w:t>.</w:t>
      </w:r>
    </w:p>
  </w:endnote>
  <w:endnote w:id="537">
    <w:p>
      <w:pPr>
        <w:pStyle w:val="EndnoteText"/>
      </w:pPr>
      <w:r>
        <w:rPr>
          <w:rStyle w:val="EndnoteReference"/>
          <w:rFonts w:eastAsia="MS Mincho"/>
        </w:rPr>
        <w:endnoteRef/>
      </w:r>
      <w:r>
        <w:t xml:space="preserve"> </w:t>
      </w:r>
      <w:r>
        <w:rPr>
          <w:i/>
        </w:rPr>
        <w:t>Id.</w:t>
      </w:r>
      <w:r>
        <w:t xml:space="preserve"> </w:t>
      </w:r>
    </w:p>
  </w:endnote>
  <w:endnote w:id="538">
    <w:p>
      <w:pPr>
        <w:pStyle w:val="EndnoteText"/>
      </w:pPr>
      <w:r>
        <w:rPr>
          <w:rStyle w:val="EndnoteReference"/>
          <w:rFonts w:eastAsia="MS Mincho"/>
        </w:rPr>
        <w:endnoteRef/>
      </w:r>
      <w:r>
        <w:t xml:space="preserve"> </w:t>
      </w:r>
      <w:r>
        <w:rPr>
          <w:i/>
        </w:rPr>
        <w:t>Id</w:t>
      </w:r>
      <w:r>
        <w:t>.</w:t>
      </w:r>
    </w:p>
  </w:endnote>
  <w:endnote w:id="539">
    <w:p>
      <w:pPr>
        <w:pStyle w:val="EndnoteText"/>
      </w:pPr>
      <w:r>
        <w:rPr>
          <w:rStyle w:val="EndnoteReference"/>
          <w:rFonts w:eastAsia="MS Mincho"/>
        </w:rPr>
        <w:endnoteRef/>
      </w:r>
      <w:r>
        <w:t xml:space="preserve"> </w:t>
      </w:r>
      <w:r>
        <w:rPr>
          <w:i/>
        </w:rPr>
        <w:t>Id.</w:t>
      </w:r>
      <w:r>
        <w:t xml:space="preserve"> at 336-37, 734 S.E.2d at 559.</w:t>
      </w:r>
    </w:p>
  </w:endnote>
  <w:endnote w:id="540">
    <w:p>
      <w:pPr>
        <w:pStyle w:val="EndnoteText"/>
      </w:pPr>
      <w:r>
        <w:rPr>
          <w:rStyle w:val="EndnoteReference"/>
          <w:rFonts w:eastAsia="MS Mincho"/>
        </w:rPr>
        <w:endnoteRef/>
      </w:r>
      <w:r>
        <w:t xml:space="preserve"> </w:t>
      </w:r>
      <w:r>
        <w:rPr>
          <w:i/>
        </w:rPr>
        <w:t>Id</w:t>
      </w:r>
      <w:r>
        <w:t xml:space="preserve">., 734 S.E.2d at 558 (citing </w:t>
      </w:r>
      <w:r>
        <w:rPr>
          <w:i/>
        </w:rPr>
        <w:t>Stevenson v. Ray</w:t>
      </w:r>
      <w:r>
        <w:t>, 282 Ga. App. 652, 640 S.E.2d 340 (2006)).</w:t>
      </w:r>
    </w:p>
  </w:endnote>
  <w:endnote w:id="541">
    <w:p>
      <w:pPr>
        <w:pStyle w:val="EndnoteText"/>
      </w:pPr>
      <w:r>
        <w:rPr>
          <w:rStyle w:val="EndnoteReference"/>
          <w:rFonts w:eastAsia="MS Mincho"/>
        </w:rPr>
        <w:endnoteRef/>
      </w:r>
      <w:r>
        <w:t xml:space="preserve"> </w:t>
      </w:r>
      <w:r>
        <w:rPr>
          <w:i/>
        </w:rPr>
        <w:t>Id</w:t>
      </w:r>
      <w:r>
        <w:t>. at 336-37, 734 S.E.2d at 558-59.</w:t>
      </w:r>
    </w:p>
  </w:endnote>
  <w:endnote w:id="542">
    <w:p>
      <w:pPr>
        <w:pStyle w:val="EndnoteText"/>
      </w:pPr>
      <w:r>
        <w:rPr>
          <w:rStyle w:val="EndnoteReference"/>
          <w:rFonts w:eastAsia="MS Mincho"/>
        </w:rPr>
        <w:endnoteRef/>
      </w:r>
      <w:r>
        <w:t xml:space="preserve"> Id. at 337, 734 S.E.2d at 559 (citing </w:t>
      </w:r>
      <w:r>
        <w:rPr>
          <w:i/>
        </w:rPr>
        <w:t xml:space="preserve">Ray Bell Constr. Co. v. King, </w:t>
      </w:r>
      <w:r>
        <w:t>281 Ga. 853, 642 S.E.2d 841 (2007)).</w:t>
      </w:r>
    </w:p>
  </w:endnote>
  <w:endnote w:id="543">
    <w:p>
      <w:pPr>
        <w:pStyle w:val="EndnoteText"/>
      </w:pPr>
      <w:r>
        <w:rPr>
          <w:rStyle w:val="EndnoteReference"/>
          <w:rFonts w:eastAsia="MS Mincho"/>
        </w:rPr>
        <w:endnoteRef/>
      </w:r>
      <w:r>
        <w:t xml:space="preserve"> </w:t>
      </w:r>
      <w:r>
        <w:rPr>
          <w:i/>
        </w:rPr>
        <w:t>Id.</w:t>
      </w:r>
    </w:p>
  </w:endnote>
  <w:endnote w:id="544">
    <w:p>
      <w:pPr>
        <w:pStyle w:val="EndnoteText"/>
      </w:pPr>
      <w:r>
        <w:rPr>
          <w:rStyle w:val="EndnoteReference"/>
          <w:rFonts w:eastAsia="MS Mincho"/>
        </w:rPr>
        <w:endnoteRef/>
      </w:r>
      <w:r>
        <w:t xml:space="preserve"> </w:t>
      </w:r>
      <w:r>
        <w:rPr>
          <w:i/>
        </w:rPr>
        <w:t>Id.</w:t>
      </w:r>
      <w:r>
        <w:t>at 337, 734 S.E.2d at 559.</w:t>
      </w:r>
    </w:p>
  </w:endnote>
  <w:endnote w:id="545">
    <w:p>
      <w:pPr>
        <w:pStyle w:val="EndnoteText"/>
      </w:pPr>
      <w:r>
        <w:rPr>
          <w:rStyle w:val="EndnoteReference"/>
          <w:rFonts w:eastAsia="MS Mincho"/>
        </w:rPr>
        <w:endnoteRef/>
      </w:r>
      <w:r>
        <w:t xml:space="preserve"> </w:t>
      </w:r>
      <w:r>
        <w:rPr>
          <w:i/>
        </w:rPr>
        <w:t>Id</w:t>
      </w:r>
      <w:r>
        <w:t>. a, 337-38, 734 S.E.2d at 559.</w:t>
      </w:r>
    </w:p>
  </w:endnote>
  <w:endnote w:id="546">
    <w:p>
      <w:pPr>
        <w:pStyle w:val="EndnoteText"/>
      </w:pPr>
      <w:r>
        <w:rPr>
          <w:rStyle w:val="EndnoteReference"/>
          <w:rFonts w:eastAsia="MS Mincho"/>
        </w:rPr>
        <w:endnoteRef/>
      </w:r>
      <w:r>
        <w:t xml:space="preserve"> </w:t>
      </w:r>
      <w:r>
        <w:rPr>
          <w:i/>
        </w:rPr>
        <w:t>Id</w:t>
      </w:r>
      <w:r>
        <w:t>. at 38, 734 S.E.2d at 560.</w:t>
      </w:r>
    </w:p>
  </w:endnote>
  <w:endnote w:id="547">
    <w:p>
      <w:pPr>
        <w:pStyle w:val="EndnoteText"/>
      </w:pPr>
      <w:r>
        <w:rPr>
          <w:rStyle w:val="EndnoteReference"/>
          <w:rFonts w:eastAsia="MS Mincho"/>
        </w:rPr>
        <w:endnoteRef/>
      </w:r>
      <w:r>
        <w:rPr>
          <w:i/>
        </w:rPr>
        <w:t xml:space="preserve"> Id.</w:t>
      </w:r>
      <w:r>
        <w:t xml:space="preserve"> at 338-39, 734 S.E.2d at 560.</w:t>
      </w:r>
    </w:p>
  </w:endnote>
  <w:endnote w:id="548">
    <w:p>
      <w:pPr>
        <w:pStyle w:val="EndnoteText"/>
      </w:pPr>
      <w:r>
        <w:rPr>
          <w:rStyle w:val="EndnoteReference"/>
          <w:rFonts w:eastAsia="MS Mincho"/>
        </w:rPr>
        <w:endnoteRef/>
      </w:r>
      <w:r>
        <w:t xml:space="preserve"> </w:t>
      </w:r>
      <w:r>
        <w:rPr>
          <w:i/>
        </w:rPr>
        <w:t>Dixie Roadbuilders, Inc. v. Sallet</w:t>
      </w:r>
      <w:r>
        <w:t xml:space="preserve">, 318 Ga. App. 228, 733 S.E.2d 511 (2012).  </w:t>
      </w:r>
    </w:p>
  </w:endnote>
  <w:endnote w:id="549">
    <w:p>
      <w:pPr>
        <w:pStyle w:val="EndnoteText"/>
      </w:pPr>
      <w:r>
        <w:rPr>
          <w:rStyle w:val="EndnoteReference"/>
          <w:rFonts w:eastAsia="MS Mincho"/>
        </w:rPr>
        <w:endnoteRef/>
      </w:r>
      <w:r>
        <w:t xml:space="preserve"> </w:t>
      </w:r>
      <w:r>
        <w:rPr>
          <w:i/>
        </w:rPr>
        <w:t>Id.</w:t>
      </w:r>
    </w:p>
  </w:endnote>
  <w:endnote w:id="550">
    <w:p>
      <w:pPr>
        <w:pStyle w:val="EndnoteText"/>
      </w:pPr>
      <w:r>
        <w:rPr>
          <w:rStyle w:val="EndnoteReference"/>
          <w:rFonts w:eastAsia="MS Mincho"/>
        </w:rPr>
        <w:endnoteRef/>
      </w:r>
      <w:r>
        <w:t xml:space="preserve"> </w:t>
      </w:r>
      <w:r>
        <w:rPr>
          <w:i/>
        </w:rPr>
        <w:t>Id</w:t>
      </w:r>
      <w:r>
        <w:t>., 733 S.E.2d at 512.</w:t>
      </w:r>
    </w:p>
  </w:endnote>
  <w:endnote w:id="551">
    <w:p>
      <w:pPr>
        <w:pStyle w:val="EndnoteText"/>
      </w:pPr>
      <w:r>
        <w:rPr>
          <w:rStyle w:val="EndnoteReference"/>
          <w:rFonts w:eastAsia="MS Mincho"/>
        </w:rPr>
        <w:endnoteRef/>
      </w:r>
      <w:r>
        <w:rPr>
          <w:i/>
        </w:rPr>
        <w:t xml:space="preserve"> Id</w:t>
      </w:r>
      <w:r>
        <w:t>. at 229, 733 S.E.2d at 513.</w:t>
      </w:r>
    </w:p>
  </w:endnote>
  <w:endnote w:id="552">
    <w:p>
      <w:pPr>
        <w:pStyle w:val="EndnoteText"/>
      </w:pPr>
      <w:r>
        <w:rPr>
          <w:rStyle w:val="EndnoteReference"/>
          <w:rFonts w:eastAsia="MS Mincho"/>
        </w:rPr>
        <w:endnoteRef/>
      </w:r>
      <w:r>
        <w:t xml:space="preserve"> </w:t>
      </w:r>
      <w:r>
        <w:rPr>
          <w:i/>
        </w:rPr>
        <w:t>Id</w:t>
      </w:r>
      <w:r>
        <w:t>.</w:t>
      </w:r>
    </w:p>
  </w:endnote>
  <w:endnote w:id="553">
    <w:p>
      <w:pPr>
        <w:pStyle w:val="EndnoteText"/>
      </w:pPr>
      <w:r>
        <w:rPr>
          <w:rStyle w:val="EndnoteReference"/>
          <w:rFonts w:eastAsia="MS Mincho"/>
        </w:rPr>
        <w:endnoteRef/>
      </w:r>
      <w:r>
        <w:t xml:space="preserve"> </w:t>
      </w:r>
      <w:r>
        <w:rPr>
          <w:i/>
        </w:rPr>
        <w:t>Id</w:t>
      </w:r>
      <w:r>
        <w:t>. at 229-30, 734 S.E.2d at 513.</w:t>
      </w:r>
    </w:p>
  </w:endnote>
  <w:endnote w:id="554">
    <w:p>
      <w:pPr>
        <w:pStyle w:val="EndnoteText"/>
      </w:pPr>
      <w:r>
        <w:rPr>
          <w:rStyle w:val="EndnoteReference"/>
          <w:rFonts w:eastAsia="MS Mincho"/>
        </w:rPr>
        <w:endnoteRef/>
      </w:r>
      <w:r>
        <w:t xml:space="preserve"> </w:t>
      </w:r>
      <w:r>
        <w:rPr>
          <w:i/>
        </w:rPr>
        <w:t>Id</w:t>
      </w:r>
      <w:r>
        <w:t>. at 230, 734 S.E.2d at 513.</w:t>
      </w:r>
    </w:p>
  </w:endnote>
  <w:endnote w:id="555">
    <w:p>
      <w:pPr>
        <w:pStyle w:val="EndnoteText"/>
      </w:pPr>
      <w:r>
        <w:rPr>
          <w:rStyle w:val="EndnoteReference"/>
          <w:rFonts w:eastAsia="MS Mincho"/>
        </w:rPr>
        <w:endnoteRef/>
      </w:r>
      <w:r>
        <w:t xml:space="preserve"> </w:t>
      </w:r>
      <w:r>
        <w:rPr>
          <w:i/>
        </w:rPr>
        <w:t>Id</w:t>
      </w:r>
      <w:r>
        <w:t>.</w:t>
      </w:r>
    </w:p>
  </w:endnote>
  <w:endnote w:id="556">
    <w:p>
      <w:pPr>
        <w:pStyle w:val="EndnoteText"/>
      </w:pPr>
      <w:r>
        <w:rPr>
          <w:rStyle w:val="EndnoteReference"/>
          <w:rFonts w:eastAsia="MS Mincho"/>
        </w:rPr>
        <w:endnoteRef/>
      </w:r>
      <w:r>
        <w:t xml:space="preserve"> </w:t>
      </w:r>
      <w:r>
        <w:rPr>
          <w:i/>
        </w:rPr>
        <w:t>Id</w:t>
      </w:r>
      <w:r>
        <w:t xml:space="preserve">. </w:t>
      </w:r>
    </w:p>
  </w:endnote>
  <w:endnote w:id="557">
    <w:p>
      <w:pPr>
        <w:pStyle w:val="EndnoteText"/>
      </w:pPr>
      <w:r>
        <w:rPr>
          <w:rStyle w:val="EndnoteReference"/>
          <w:rFonts w:eastAsia="MS Mincho"/>
        </w:rPr>
        <w:endnoteRef/>
      </w:r>
      <w:r>
        <w:t xml:space="preserve"> </w:t>
      </w:r>
      <w:r>
        <w:rPr>
          <w:i/>
        </w:rPr>
        <w:t>Id</w:t>
      </w:r>
      <w:r>
        <w:t>.</w:t>
      </w:r>
    </w:p>
  </w:endnote>
  <w:endnote w:id="558">
    <w:p>
      <w:pPr>
        <w:pStyle w:val="EndnoteText"/>
      </w:pPr>
      <w:r>
        <w:rPr>
          <w:rStyle w:val="EndnoteReference"/>
          <w:rFonts w:eastAsia="MS Mincho"/>
        </w:rPr>
        <w:endnoteRef/>
      </w:r>
      <w:r>
        <w:t xml:space="preserve"> </w:t>
      </w:r>
      <w:r>
        <w:rPr>
          <w:i/>
        </w:rPr>
        <w:t>Id</w:t>
      </w:r>
      <w:r>
        <w:t>.</w:t>
      </w:r>
    </w:p>
  </w:endnote>
  <w:endnote w:id="559">
    <w:p>
      <w:pPr>
        <w:pStyle w:val="EndnoteText"/>
      </w:pPr>
      <w:r>
        <w:rPr>
          <w:rStyle w:val="EndnoteReference"/>
          <w:rFonts w:eastAsia="MS Mincho"/>
        </w:rPr>
        <w:endnoteRef/>
      </w:r>
      <w:r>
        <w:rPr>
          <w:i/>
        </w:rPr>
        <w:t xml:space="preserve"> Id</w:t>
      </w:r>
      <w:r>
        <w:t xml:space="preserve">. </w:t>
      </w:r>
    </w:p>
  </w:endnote>
  <w:endnote w:id="560">
    <w:p>
      <w:pPr>
        <w:pStyle w:val="EndnoteText"/>
      </w:pPr>
      <w:r>
        <w:rPr>
          <w:rStyle w:val="EndnoteReference"/>
          <w:rFonts w:eastAsia="MS Mincho"/>
        </w:rPr>
        <w:endnoteRef/>
      </w:r>
      <w:r>
        <w:t xml:space="preserve"> </w:t>
      </w:r>
      <w:r>
        <w:rPr>
          <w:i/>
        </w:rPr>
        <w:t>Id</w:t>
      </w:r>
      <w:r>
        <w:t>.</w:t>
      </w:r>
    </w:p>
  </w:endnote>
  <w:endnote w:id="561">
    <w:p>
      <w:pPr>
        <w:pStyle w:val="EndnoteText"/>
      </w:pPr>
      <w:r>
        <w:rPr>
          <w:rStyle w:val="EndnoteReference"/>
          <w:rFonts w:eastAsia="MS Mincho"/>
        </w:rPr>
        <w:endnoteRef/>
      </w:r>
      <w:r>
        <w:t xml:space="preserve"> </w:t>
      </w:r>
      <w:r>
        <w:rPr>
          <w:i/>
        </w:rPr>
        <w:t>Id</w:t>
      </w:r>
      <w:r>
        <w:t>.</w:t>
      </w:r>
    </w:p>
  </w:endnote>
  <w:endnote w:id="562">
    <w:p>
      <w:pPr>
        <w:pStyle w:val="EndnoteText"/>
      </w:pPr>
      <w:r>
        <w:rPr>
          <w:rStyle w:val="EndnoteReference"/>
          <w:rFonts w:eastAsia="MS Mincho"/>
        </w:rPr>
        <w:endnoteRef/>
      </w:r>
      <w:r>
        <w:t xml:space="preserve"> </w:t>
      </w:r>
      <w:r>
        <w:rPr>
          <w:i/>
        </w:rPr>
        <w:t>Id</w:t>
      </w:r>
      <w:r>
        <w:t>.</w:t>
      </w:r>
    </w:p>
  </w:endnote>
  <w:endnote w:id="563">
    <w:p>
      <w:pPr>
        <w:pStyle w:val="EndnoteText"/>
      </w:pPr>
      <w:r>
        <w:rPr>
          <w:rStyle w:val="EndnoteReference"/>
          <w:rFonts w:eastAsia="MS Mincho"/>
        </w:rPr>
        <w:endnoteRef/>
      </w:r>
      <w:r>
        <w:t xml:space="preserve"> </w:t>
      </w:r>
      <w:r>
        <w:rPr>
          <w:i/>
        </w:rPr>
        <w:t>Id</w:t>
      </w:r>
      <w:r>
        <w:t>.</w:t>
      </w:r>
    </w:p>
  </w:endnote>
  <w:endnote w:id="564">
    <w:p>
      <w:pPr>
        <w:pStyle w:val="EndnoteText"/>
      </w:pPr>
      <w:r>
        <w:rPr>
          <w:rStyle w:val="EndnoteReference"/>
          <w:rFonts w:eastAsia="MS Mincho"/>
        </w:rPr>
        <w:endnoteRef/>
      </w:r>
      <w:r>
        <w:rPr>
          <w:i/>
        </w:rPr>
        <w:t xml:space="preserve"> Id</w:t>
      </w:r>
      <w:r>
        <w:t>. at 231, 734 S.E.2d at 514.</w:t>
      </w:r>
    </w:p>
  </w:endnote>
  <w:endnote w:id="565">
    <w:p>
      <w:pPr>
        <w:pStyle w:val="EndnoteText"/>
      </w:pPr>
      <w:r>
        <w:rPr>
          <w:rStyle w:val="EndnoteReference"/>
          <w:rFonts w:eastAsia="MS Mincho"/>
        </w:rPr>
        <w:endnoteRef/>
      </w:r>
      <w:r>
        <w:t xml:space="preserve"> </w:t>
      </w:r>
      <w:r>
        <w:rPr>
          <w:i/>
        </w:rPr>
        <w:t>Id</w:t>
      </w:r>
      <w:r>
        <w:t>. at 230-31, 733 S.E.2d at 514.</w:t>
      </w:r>
    </w:p>
  </w:endnote>
  <w:endnote w:id="566">
    <w:p>
      <w:pPr>
        <w:pStyle w:val="EndnoteText"/>
      </w:pPr>
      <w:r>
        <w:rPr>
          <w:rStyle w:val="EndnoteReference"/>
          <w:rFonts w:eastAsia="MS Mincho"/>
        </w:rPr>
        <w:endnoteRef/>
      </w:r>
      <w:r>
        <w:t xml:space="preserve"> </w:t>
      </w:r>
      <w:r>
        <w:rPr>
          <w:i/>
        </w:rPr>
        <w:t>Id</w:t>
      </w:r>
      <w:r>
        <w:t>. at 231-32, 733 S.E.2d at 514.</w:t>
      </w:r>
    </w:p>
  </w:endnote>
  <w:endnote w:id="567">
    <w:p>
      <w:pPr>
        <w:pStyle w:val="EndnoteText"/>
      </w:pPr>
      <w:r>
        <w:rPr>
          <w:rStyle w:val="EndnoteReference"/>
          <w:rFonts w:eastAsia="MS Mincho"/>
        </w:rPr>
        <w:endnoteRef/>
      </w:r>
      <w:r>
        <w:t xml:space="preserve"> </w:t>
      </w:r>
      <w:r>
        <w:rPr>
          <w:i/>
        </w:rPr>
        <w:t>Id</w:t>
      </w:r>
      <w:r>
        <w:t>. at 233, 733 S.E.2d at 514.</w:t>
      </w:r>
    </w:p>
  </w:endnote>
  <w:endnote w:id="568">
    <w:p>
      <w:pPr>
        <w:pStyle w:val="EndnoteText"/>
      </w:pPr>
      <w:r>
        <w:rPr>
          <w:rStyle w:val="EndnoteReference"/>
          <w:rFonts w:eastAsia="MS Mincho"/>
        </w:rPr>
        <w:endnoteRef/>
      </w:r>
      <w:r>
        <w:t xml:space="preserve"> </w:t>
      </w:r>
      <w:r>
        <w:rPr>
          <w:i/>
        </w:rPr>
        <w:t>Id</w:t>
      </w:r>
      <w:r>
        <w:t>. at 232-33, 733 S.E.2d at 515.</w:t>
      </w:r>
    </w:p>
  </w:endnote>
  <w:endnote w:id="569">
    <w:p>
      <w:pPr>
        <w:pStyle w:val="EndnoteText"/>
      </w:pPr>
      <w:r>
        <w:rPr>
          <w:rStyle w:val="EndnoteReference"/>
          <w:rFonts w:eastAsia="MS Mincho"/>
        </w:rPr>
        <w:endnoteRef/>
      </w:r>
      <w:r>
        <w:t xml:space="preserve"> </w:t>
      </w:r>
      <w:r>
        <w:rPr>
          <w:i/>
        </w:rPr>
        <w:t>Id</w:t>
      </w:r>
      <w:r>
        <w:t>. at 233, 733 S.E.2d at 515.</w:t>
      </w:r>
    </w:p>
  </w:endnote>
  <w:endnote w:id="570">
    <w:p>
      <w:pPr>
        <w:pStyle w:val="EndnoteText"/>
      </w:pPr>
      <w:r>
        <w:rPr>
          <w:rStyle w:val="EndnoteReference"/>
          <w:rFonts w:eastAsia="MS Mincho"/>
        </w:rPr>
        <w:endnoteRef/>
      </w:r>
      <w:r>
        <w:t xml:space="preserve"> </w:t>
      </w:r>
      <w:r>
        <w:rPr>
          <w:i/>
        </w:rPr>
        <w:t>Id</w:t>
      </w:r>
      <w:r>
        <w:t xml:space="preserve">. (citing </w:t>
      </w:r>
      <w:r>
        <w:rPr>
          <w:i/>
        </w:rPr>
        <w:t>Olde South Custom Landscaping v. Mathis</w:t>
      </w:r>
      <w:r>
        <w:t>, 229 Ga. App. 316, 318, 494 S.E.2d 14, 17 (1997)).</w:t>
      </w:r>
    </w:p>
  </w:endnote>
  <w:endnote w:id="571">
    <w:p>
      <w:pPr>
        <w:pStyle w:val="EndnoteText"/>
      </w:pPr>
      <w:r>
        <w:rPr>
          <w:rStyle w:val="EndnoteReference"/>
          <w:rFonts w:eastAsia="MS Mincho"/>
        </w:rPr>
        <w:endnoteRef/>
      </w:r>
      <w:r>
        <w:t xml:space="preserve"> </w:t>
      </w:r>
      <w:r>
        <w:rPr>
          <w:i/>
        </w:rPr>
        <w:t>Id.</w:t>
      </w:r>
      <w:r>
        <w:t xml:space="preserve"> at 233, 733 S.E.2d at 515.</w:t>
      </w:r>
    </w:p>
  </w:endnote>
  <w:endnote w:id="572">
    <w:p>
      <w:pPr>
        <w:pStyle w:val="EndnoteText"/>
      </w:pPr>
      <w:r>
        <w:rPr>
          <w:rStyle w:val="EndnoteReference"/>
          <w:rFonts w:eastAsia="MS Mincho"/>
        </w:rPr>
        <w:endnoteRef/>
      </w:r>
      <w:r>
        <w:t xml:space="preserve"> </w:t>
      </w:r>
      <w:r>
        <w:rPr>
          <w:i/>
        </w:rPr>
        <w:t>Id.</w:t>
      </w:r>
    </w:p>
  </w:endnote>
  <w:endnote w:id="573">
    <w:p>
      <w:pPr>
        <w:pStyle w:val="EndnoteText"/>
      </w:pPr>
      <w:r>
        <w:rPr>
          <w:rStyle w:val="EndnoteReference"/>
          <w:rFonts w:eastAsia="MS Mincho"/>
        </w:rPr>
        <w:endnoteRef/>
      </w:r>
      <w:r>
        <w:t xml:space="preserve"> </w:t>
      </w:r>
      <w:r>
        <w:rPr>
          <w:i/>
        </w:rPr>
        <w:t>Id.</w:t>
      </w:r>
      <w:r>
        <w:t xml:space="preserve"> at 233-34, 733 S.E.2d at 515.</w:t>
      </w:r>
    </w:p>
  </w:endnote>
  <w:endnote w:id="574">
    <w:p>
      <w:pPr>
        <w:pStyle w:val="EndnoteText"/>
      </w:pPr>
      <w:r>
        <w:rPr>
          <w:rStyle w:val="EndnoteReference"/>
          <w:rFonts w:eastAsia="MS Mincho"/>
        </w:rPr>
        <w:endnoteRef/>
      </w:r>
      <w:r>
        <w:t xml:space="preserve"> </w:t>
      </w:r>
      <w:r>
        <w:rPr>
          <w:i/>
        </w:rPr>
        <w:t>Id.</w:t>
      </w:r>
      <w:r>
        <w:t xml:space="preserve"> at 234, 733 S.E.2d at 515.</w:t>
      </w:r>
    </w:p>
  </w:endnote>
  <w:endnote w:id="575">
    <w:p>
      <w:pPr>
        <w:pStyle w:val="EndnoteText"/>
      </w:pPr>
      <w:r>
        <w:rPr>
          <w:rStyle w:val="EndnoteReference"/>
          <w:rFonts w:eastAsia="MS Mincho"/>
        </w:rPr>
        <w:endnoteRef/>
      </w:r>
      <w:r>
        <w:t xml:space="preserve"> </w:t>
      </w:r>
      <w:r>
        <w:rPr>
          <w:i/>
        </w:rPr>
        <w:t>Id.</w:t>
      </w:r>
      <w:r>
        <w:t xml:space="preserve"> </w:t>
      </w:r>
    </w:p>
  </w:endnote>
  <w:endnote w:id="576">
    <w:p>
      <w:pPr>
        <w:pStyle w:val="EndnoteText"/>
      </w:pPr>
      <w:r>
        <w:rPr>
          <w:rStyle w:val="EndnoteReference"/>
          <w:rFonts w:eastAsia="MS Mincho"/>
        </w:rPr>
        <w:endnoteRef/>
      </w:r>
      <w:r>
        <w:t xml:space="preserve"> </w:t>
      </w:r>
      <w:r>
        <w:rPr>
          <w:i/>
        </w:rPr>
        <w:t>Id.</w:t>
      </w:r>
      <w:r>
        <w:t xml:space="preserve"> at 233-35, 733 S.E.2d at 516-17.</w:t>
      </w:r>
    </w:p>
  </w:endnote>
  <w:endnote w:id="577">
    <w:p>
      <w:pPr>
        <w:pStyle w:val="EndnoteText"/>
      </w:pPr>
      <w:r>
        <w:rPr>
          <w:rStyle w:val="EndnoteReference"/>
          <w:rFonts w:eastAsia="MS Mincho"/>
        </w:rPr>
        <w:endnoteRef/>
      </w:r>
      <w:r>
        <w:t xml:space="preserve"> </w:t>
      </w:r>
      <w:r>
        <w:rPr>
          <w:i/>
        </w:rPr>
        <w:t>Id</w:t>
      </w:r>
      <w:r>
        <w:t>. at 235, 733 S.E.2d at 516.</w:t>
      </w:r>
    </w:p>
  </w:endnote>
  <w:endnote w:id="578">
    <w:p>
      <w:pPr>
        <w:pStyle w:val="EndnoteText"/>
      </w:pPr>
      <w:r>
        <w:rPr>
          <w:rStyle w:val="EndnoteReference"/>
          <w:rFonts w:eastAsia="MS Mincho"/>
        </w:rPr>
        <w:endnoteRef/>
      </w:r>
      <w:r>
        <w:t xml:space="preserve"> </w:t>
      </w:r>
      <w:r>
        <w:rPr>
          <w:i/>
        </w:rPr>
        <w:t>Id.</w:t>
      </w:r>
      <w:r>
        <w:t xml:space="preserve"> </w:t>
      </w:r>
    </w:p>
  </w:endnote>
  <w:endnote w:id="579">
    <w:p>
      <w:pPr>
        <w:pStyle w:val="EndnoteText"/>
      </w:pPr>
      <w:r>
        <w:rPr>
          <w:rStyle w:val="EndnoteReference"/>
          <w:rFonts w:eastAsia="MS Mincho"/>
        </w:rPr>
        <w:endnoteRef/>
      </w:r>
      <w:r>
        <w:t xml:space="preserve"> </w:t>
      </w:r>
      <w:r>
        <w:rPr>
          <w:i/>
        </w:rPr>
        <w:t>Id.</w:t>
      </w:r>
      <w:r>
        <w:t xml:space="preserve"> at 236, 733 S.E.2d at 517.</w:t>
      </w:r>
    </w:p>
  </w:endnote>
  <w:endnote w:id="580">
    <w:p>
      <w:pPr>
        <w:pStyle w:val="EndnoteText"/>
      </w:pPr>
      <w:r>
        <w:rPr>
          <w:rStyle w:val="EndnoteReference"/>
          <w:rFonts w:eastAsia="MS Mincho"/>
        </w:rPr>
        <w:endnoteRef/>
      </w:r>
      <w:r>
        <w:t xml:space="preserve"> </w:t>
      </w:r>
      <w:r>
        <w:rPr>
          <w:i/>
        </w:rPr>
        <w:t>Id.</w:t>
      </w:r>
      <w:r>
        <w:t xml:space="preserve"> at 236-37, 733 S.E.2d at 517.</w:t>
      </w:r>
    </w:p>
  </w:endnote>
  <w:endnote w:id="581">
    <w:p>
      <w:pPr>
        <w:pStyle w:val="EndnoteText"/>
      </w:pPr>
      <w:r>
        <w:rPr>
          <w:rStyle w:val="EndnoteReference"/>
          <w:rFonts w:ascii="Century" w:hAnsi="Century"/>
        </w:rPr>
        <w:endnoteRef/>
      </w:r>
      <w:r>
        <w:rPr>
          <w:rFonts w:ascii="Century" w:hAnsi="Century"/>
        </w:rPr>
        <w:t xml:space="preserve"> </w:t>
      </w:r>
      <w:r>
        <w:t xml:space="preserve">133 S. Ct. 2434 (2013). </w:t>
      </w:r>
    </w:p>
  </w:endnote>
  <w:endnote w:id="582">
    <w:p>
      <w:pPr>
        <w:pStyle w:val="EndnoteText"/>
      </w:pPr>
      <w:r>
        <w:rPr>
          <w:rStyle w:val="EndnoteReference"/>
        </w:rPr>
        <w:endnoteRef/>
      </w:r>
      <w:r>
        <w:t xml:space="preserve"> </w:t>
      </w:r>
      <w:r>
        <w:rPr>
          <w:i/>
        </w:rPr>
        <w:t>Id</w:t>
      </w:r>
      <w:r>
        <w:t xml:space="preserve">. at 2439. </w:t>
      </w:r>
    </w:p>
  </w:endnote>
  <w:endnote w:id="583">
    <w:p>
      <w:pPr>
        <w:pStyle w:val="EndnoteText"/>
      </w:pPr>
      <w:r>
        <w:rPr>
          <w:rStyle w:val="EndnoteReference"/>
        </w:rPr>
        <w:endnoteRef/>
      </w:r>
      <w:r>
        <w:t xml:space="preserve"> </w:t>
      </w:r>
      <w:r>
        <w:rPr>
          <w:i/>
        </w:rPr>
        <w:t>Id</w:t>
      </w:r>
      <w:r>
        <w:t xml:space="preserve">. </w:t>
      </w:r>
    </w:p>
  </w:endnote>
  <w:endnote w:id="584">
    <w:p>
      <w:pPr>
        <w:pStyle w:val="EndnoteText"/>
      </w:pPr>
      <w:r>
        <w:rPr>
          <w:rStyle w:val="EndnoteReference"/>
        </w:rPr>
        <w:endnoteRef/>
      </w:r>
      <w:r>
        <w:t xml:space="preserve"> </w:t>
      </w:r>
      <w:r>
        <w:rPr>
          <w:i/>
        </w:rPr>
        <w:t>Id</w:t>
      </w:r>
      <w:r>
        <w:t xml:space="preserve">. </w:t>
      </w:r>
    </w:p>
  </w:endnote>
  <w:endnote w:id="585">
    <w:p>
      <w:pPr>
        <w:pStyle w:val="EndnoteText"/>
      </w:pPr>
      <w:r>
        <w:rPr>
          <w:rStyle w:val="EndnoteReference"/>
        </w:rPr>
        <w:endnoteRef/>
      </w:r>
      <w:r>
        <w:t xml:space="preserve"> </w:t>
      </w:r>
      <w:r>
        <w:rPr>
          <w:i/>
        </w:rPr>
        <w:t>Id</w:t>
      </w:r>
      <w:r>
        <w:t xml:space="preserve">. </w:t>
      </w:r>
    </w:p>
  </w:endnote>
  <w:endnote w:id="586">
    <w:p>
      <w:pPr>
        <w:pStyle w:val="EndnoteText"/>
      </w:pPr>
      <w:r>
        <w:rPr>
          <w:rStyle w:val="EndnoteReference"/>
        </w:rPr>
        <w:endnoteRef/>
      </w:r>
      <w:r>
        <w:t xml:space="preserve"> </w:t>
      </w:r>
      <w:r>
        <w:rPr>
          <w:i/>
        </w:rPr>
        <w:t>Id</w:t>
      </w:r>
      <w:r>
        <w:t xml:space="preserve">. </w:t>
      </w:r>
    </w:p>
  </w:endnote>
  <w:endnote w:id="587">
    <w:p>
      <w:pPr>
        <w:pStyle w:val="EndnoteText"/>
      </w:pPr>
      <w:r>
        <w:rPr>
          <w:rStyle w:val="EndnoteReference"/>
        </w:rPr>
        <w:endnoteRef/>
      </w:r>
      <w:r>
        <w:t xml:space="preserve"> 524 U.S. 775, 807 (1998).</w:t>
      </w:r>
    </w:p>
  </w:endnote>
  <w:endnote w:id="588">
    <w:p>
      <w:pPr>
        <w:pStyle w:val="EndnoteText"/>
      </w:pPr>
      <w:r>
        <w:rPr>
          <w:rStyle w:val="EndnoteReference"/>
        </w:rPr>
        <w:endnoteRef/>
      </w:r>
      <w:r>
        <w:t xml:space="preserve"> 524 U.S. 742, 765 (1998). </w:t>
      </w:r>
    </w:p>
  </w:endnote>
  <w:endnote w:id="589">
    <w:p>
      <w:pPr>
        <w:pStyle w:val="EndnoteText"/>
      </w:pPr>
      <w:r>
        <w:rPr>
          <w:rStyle w:val="EndnoteReference"/>
        </w:rPr>
        <w:endnoteRef/>
      </w:r>
      <w:r>
        <w:t xml:space="preserve"> </w:t>
      </w:r>
      <w:r>
        <w:rPr>
          <w:i/>
        </w:rPr>
        <w:t>Vance</w:t>
      </w:r>
      <w:r>
        <w:t xml:space="preserve">, 133 S. Ct at 2439. </w:t>
      </w:r>
    </w:p>
  </w:endnote>
  <w:endnote w:id="590">
    <w:p>
      <w:pPr>
        <w:pStyle w:val="EndnoteText"/>
      </w:pPr>
      <w:r>
        <w:rPr>
          <w:rStyle w:val="EndnoteReference"/>
        </w:rPr>
        <w:endnoteRef/>
      </w:r>
      <w:r>
        <w:t xml:space="preserve">  </w:t>
      </w:r>
      <w:r>
        <w:rPr>
          <w:i/>
        </w:rPr>
        <w:t>Id</w:t>
      </w:r>
      <w:r>
        <w:t xml:space="preserve">. at 2439-40. </w:t>
      </w:r>
    </w:p>
  </w:endnote>
  <w:endnote w:id="591">
    <w:p>
      <w:pPr>
        <w:pStyle w:val="EndnoteText"/>
      </w:pPr>
      <w:r>
        <w:rPr>
          <w:rStyle w:val="EndnoteReference"/>
        </w:rPr>
        <w:endnoteRef/>
      </w:r>
      <w:r>
        <w:t xml:space="preserve"> </w:t>
      </w:r>
      <w:r>
        <w:rPr>
          <w:i/>
        </w:rPr>
        <w:t>Id</w:t>
      </w:r>
      <w:r>
        <w:t>.</w:t>
      </w:r>
      <w:r>
        <w:rPr>
          <w:i/>
        </w:rPr>
        <w:t xml:space="preserve"> </w:t>
      </w:r>
      <w:r>
        <w:t xml:space="preserve">at 2440. </w:t>
      </w:r>
    </w:p>
  </w:endnote>
  <w:endnote w:id="592">
    <w:p>
      <w:pPr>
        <w:pStyle w:val="EndnoteText"/>
      </w:pPr>
      <w:r>
        <w:rPr>
          <w:rStyle w:val="EndnoteReference"/>
        </w:rPr>
        <w:endnoteRef/>
      </w:r>
      <w:r>
        <w:t xml:space="preserve"> </w:t>
      </w:r>
      <w:r>
        <w:rPr>
          <w:i/>
        </w:rPr>
        <w:t>Id</w:t>
      </w:r>
      <w:r>
        <w:t xml:space="preserve">. </w:t>
      </w:r>
    </w:p>
  </w:endnote>
  <w:endnote w:id="593">
    <w:p>
      <w:pPr>
        <w:pStyle w:val="EndnoteText"/>
      </w:pPr>
      <w:r>
        <w:rPr>
          <w:rStyle w:val="EndnoteReference"/>
        </w:rPr>
        <w:endnoteRef/>
      </w:r>
      <w:r>
        <w:t xml:space="preserve"> </w:t>
      </w:r>
      <w:r>
        <w:rPr>
          <w:i/>
        </w:rPr>
        <w:t>Id</w:t>
      </w:r>
      <w:r>
        <w:t xml:space="preserve">. at 2454. </w:t>
      </w:r>
    </w:p>
  </w:endnote>
  <w:endnote w:id="594">
    <w:p>
      <w:pPr>
        <w:pStyle w:val="EndnoteText"/>
      </w:pPr>
      <w:r>
        <w:rPr>
          <w:rStyle w:val="EndnoteReference"/>
        </w:rPr>
        <w:endnoteRef/>
      </w:r>
      <w:r>
        <w:t xml:space="preserve"> </w:t>
      </w:r>
      <w:r>
        <w:rPr>
          <w:i/>
        </w:rPr>
        <w:t>Id</w:t>
      </w:r>
      <w:r>
        <w:t xml:space="preserve">. </w:t>
      </w:r>
    </w:p>
  </w:endnote>
  <w:endnote w:id="595">
    <w:p>
      <w:pPr>
        <w:pStyle w:val="EndnoteText"/>
      </w:pPr>
      <w:r>
        <w:rPr>
          <w:rStyle w:val="EndnoteReference"/>
        </w:rPr>
        <w:endnoteRef/>
      </w:r>
      <w:r>
        <w:t xml:space="preserve"> </w:t>
      </w:r>
      <w:r>
        <w:rPr>
          <w:i/>
        </w:rPr>
        <w:t>Id</w:t>
      </w:r>
      <w:r>
        <w:t xml:space="preserve">. at 2455. </w:t>
      </w:r>
    </w:p>
  </w:endnote>
  <w:endnote w:id="596">
    <w:p>
      <w:pPr>
        <w:pStyle w:val="EndnoteText"/>
      </w:pPr>
      <w:r>
        <w:rPr>
          <w:rStyle w:val="EndnoteReference"/>
        </w:rPr>
        <w:endnoteRef/>
      </w:r>
      <w:r>
        <w:t xml:space="preserve"> 133 S. Ct. 2517 (2013). </w:t>
      </w:r>
    </w:p>
  </w:endnote>
  <w:endnote w:id="597">
    <w:p>
      <w:pPr>
        <w:pStyle w:val="EndnoteText"/>
      </w:pPr>
      <w:r>
        <w:rPr>
          <w:rStyle w:val="EndnoteReference"/>
        </w:rPr>
        <w:endnoteRef/>
      </w:r>
      <w:r>
        <w:t xml:space="preserve"> </w:t>
      </w:r>
      <w:r>
        <w:rPr>
          <w:i/>
        </w:rPr>
        <w:t>Id</w:t>
      </w:r>
      <w:r>
        <w:t xml:space="preserve">. at 2534. </w:t>
      </w:r>
    </w:p>
  </w:endnote>
  <w:endnote w:id="598">
    <w:p>
      <w:pPr>
        <w:pStyle w:val="EndnoteText"/>
      </w:pPr>
      <w:r>
        <w:rPr>
          <w:rStyle w:val="EndnoteReference"/>
        </w:rPr>
        <w:endnoteRef/>
      </w:r>
      <w:r>
        <w:t xml:space="preserve"> </w:t>
      </w:r>
      <w:r>
        <w:rPr>
          <w:i/>
        </w:rPr>
        <w:t>Id</w:t>
      </w:r>
      <w:r>
        <w:t>.</w:t>
      </w:r>
    </w:p>
  </w:endnote>
  <w:endnote w:id="599">
    <w:p>
      <w:pPr>
        <w:pStyle w:val="EndnoteText"/>
      </w:pPr>
      <w:r>
        <w:rPr>
          <w:rStyle w:val="EndnoteReference"/>
        </w:rPr>
        <w:endnoteRef/>
      </w:r>
      <w:r>
        <w:t xml:space="preserve"> </w:t>
      </w:r>
      <w:r>
        <w:rPr>
          <w:i/>
        </w:rPr>
        <w:t>Id</w:t>
      </w:r>
      <w:r>
        <w:t xml:space="preserve">. at 2535 (Ginsburg, J., dissenting). </w:t>
      </w:r>
    </w:p>
  </w:endnote>
  <w:endnote w:id="600">
    <w:p>
      <w:pPr>
        <w:pStyle w:val="EndnoteText"/>
      </w:pPr>
      <w:r>
        <w:rPr>
          <w:rStyle w:val="EndnoteReference"/>
        </w:rPr>
        <w:endnoteRef/>
      </w:r>
      <w:r>
        <w:t xml:space="preserve"> </w:t>
      </w:r>
      <w:r>
        <w:rPr>
          <w:i/>
        </w:rPr>
        <w:t>Id</w:t>
      </w:r>
      <w:r>
        <w:t>. at 2523.</w:t>
      </w:r>
    </w:p>
  </w:endnote>
  <w:endnote w:id="601">
    <w:p>
      <w:pPr>
        <w:pStyle w:val="EndnoteText"/>
      </w:pPr>
      <w:r>
        <w:rPr>
          <w:rStyle w:val="EndnoteReference"/>
        </w:rPr>
        <w:endnoteRef/>
      </w:r>
      <w:r>
        <w:t xml:space="preserve"> </w:t>
      </w:r>
      <w:r>
        <w:rPr>
          <w:i/>
        </w:rPr>
        <w:t>Id</w:t>
      </w:r>
      <w:r>
        <w:t>. at 2524.</w:t>
      </w:r>
    </w:p>
  </w:endnote>
  <w:endnote w:id="602">
    <w:p>
      <w:pPr>
        <w:pStyle w:val="EndnoteText"/>
      </w:pPr>
      <w:r>
        <w:rPr>
          <w:rStyle w:val="EndnoteReference"/>
        </w:rPr>
        <w:endnoteRef/>
      </w:r>
      <w:r>
        <w:t xml:space="preserve"> </w:t>
      </w:r>
      <w:r>
        <w:rPr>
          <w:i/>
        </w:rPr>
        <w:t>Id</w:t>
      </w:r>
      <w:r>
        <w:t>.</w:t>
      </w:r>
    </w:p>
  </w:endnote>
  <w:endnote w:id="603">
    <w:p>
      <w:pPr>
        <w:pStyle w:val="EndnoteText"/>
      </w:pPr>
      <w:r>
        <w:rPr>
          <w:rStyle w:val="EndnoteReference"/>
        </w:rPr>
        <w:endnoteRef/>
      </w:r>
      <w:r>
        <w:t xml:space="preserve"> </w:t>
      </w:r>
      <w:r>
        <w:rPr>
          <w:i/>
        </w:rPr>
        <w:t>Id</w:t>
      </w:r>
      <w:r>
        <w:t>. at 2532.</w:t>
      </w:r>
    </w:p>
  </w:endnote>
  <w:endnote w:id="604">
    <w:p>
      <w:pPr>
        <w:pStyle w:val="EndnoteText"/>
      </w:pPr>
      <w:r>
        <w:rPr>
          <w:rStyle w:val="EndnoteReference"/>
        </w:rPr>
        <w:endnoteRef/>
      </w:r>
      <w:r>
        <w:t xml:space="preserve"> </w:t>
      </w:r>
      <w:r>
        <w:rPr>
          <w:i/>
        </w:rPr>
        <w:t>Id</w:t>
      </w:r>
      <w:r>
        <w:t>.</w:t>
      </w:r>
    </w:p>
  </w:endnote>
  <w:endnote w:id="605">
    <w:p>
      <w:pPr>
        <w:pStyle w:val="EndnoteText"/>
      </w:pPr>
      <w:r>
        <w:rPr>
          <w:rStyle w:val="EndnoteReference"/>
        </w:rPr>
        <w:endnoteRef/>
      </w:r>
      <w:r>
        <w:t xml:space="preserve"> </w:t>
      </w:r>
      <w:r>
        <w:rPr>
          <w:i/>
        </w:rPr>
        <w:t>Id</w:t>
      </w:r>
      <w:r>
        <w:t>.</w:t>
      </w:r>
      <w:r>
        <w:rPr>
          <w:i/>
        </w:rPr>
        <w:t xml:space="preserve"> </w:t>
      </w:r>
      <w:r>
        <w:t>at 2528.</w:t>
      </w:r>
    </w:p>
  </w:endnote>
  <w:endnote w:id="606">
    <w:p>
      <w:pPr>
        <w:pStyle w:val="EndnoteText"/>
      </w:pPr>
      <w:r>
        <w:rPr>
          <w:rStyle w:val="EndnoteReference"/>
        </w:rPr>
        <w:endnoteRef/>
      </w:r>
      <w:r>
        <w:t xml:space="preserve"> </w:t>
      </w:r>
      <w:r>
        <w:rPr>
          <w:i/>
        </w:rPr>
        <w:t>Id</w:t>
      </w:r>
      <w:r>
        <w:t xml:space="preserve">. </w:t>
      </w:r>
    </w:p>
  </w:endnote>
  <w:endnote w:id="607">
    <w:p>
      <w:pPr>
        <w:pStyle w:val="EndnoteText"/>
      </w:pPr>
      <w:r>
        <w:rPr>
          <w:rStyle w:val="EndnoteReference"/>
        </w:rPr>
        <w:endnoteRef/>
      </w:r>
      <w:r>
        <w:t xml:space="preserve"> </w:t>
      </w:r>
      <w:r>
        <w:rPr>
          <w:i/>
        </w:rPr>
        <w:t>Id</w:t>
      </w:r>
      <w:r>
        <w:t>. at 2534.</w:t>
      </w:r>
    </w:p>
  </w:endnote>
  <w:endnote w:id="608">
    <w:p>
      <w:pPr>
        <w:pStyle w:val="EndnoteText"/>
      </w:pPr>
      <w:r>
        <w:rPr>
          <w:rStyle w:val="EndnoteReference"/>
        </w:rPr>
        <w:endnoteRef/>
      </w:r>
      <w:r>
        <w:t xml:space="preserve">  EEOC Enforcement Guidance:  Consideration of Arrest and Conviction Records in Employment Decisions Under Title VII of the Civil Rights Act of 1964 </w:t>
      </w:r>
      <w:r>
        <w:rPr>
          <w:smallCaps/>
        </w:rPr>
        <w:t xml:space="preserve">(2012) </w:t>
      </w:r>
      <w:r>
        <w:t>http://www.eeoc.gov/laws/guidance/a rrest_conviction.cfm.</w:t>
      </w:r>
    </w:p>
  </w:endnote>
  <w:endnote w:id="609">
    <w:p>
      <w:pPr>
        <w:pStyle w:val="EndnoteText"/>
      </w:pPr>
      <w:r>
        <w:rPr>
          <w:rStyle w:val="EndnoteReference"/>
        </w:rPr>
        <w:endnoteRef/>
      </w:r>
      <w:r>
        <w:t xml:space="preserve"> </w:t>
      </w:r>
      <w:r>
        <w:rPr>
          <w:i/>
        </w:rPr>
        <w:t>Id</w:t>
      </w:r>
      <w:r>
        <w:t xml:space="preserve">. </w:t>
      </w:r>
    </w:p>
  </w:endnote>
  <w:endnote w:id="610">
    <w:p>
      <w:pPr>
        <w:pStyle w:val="EndnoteText"/>
      </w:pPr>
      <w:r>
        <w:rPr>
          <w:rStyle w:val="EndnoteReference"/>
        </w:rPr>
        <w:endnoteRef/>
      </w:r>
      <w:r>
        <w:t xml:space="preserve"> </w:t>
      </w:r>
      <w:r>
        <w:rPr>
          <w:i/>
        </w:rPr>
        <w:t>Id</w:t>
      </w:r>
      <w:r>
        <w:t xml:space="preserve">. </w:t>
      </w:r>
    </w:p>
  </w:endnote>
  <w:endnote w:id="611">
    <w:p>
      <w:pPr>
        <w:pStyle w:val="EndnoteText"/>
      </w:pPr>
      <w:r>
        <w:rPr>
          <w:rStyle w:val="EndnoteReference"/>
        </w:rPr>
        <w:endnoteRef/>
      </w:r>
      <w:r>
        <w:t xml:space="preserve"> </w:t>
      </w:r>
      <w:r>
        <w:rPr>
          <w:i/>
        </w:rPr>
        <w:t>Equal Employment Opportunity Commission v. DolGenCorp LLC</w:t>
      </w:r>
      <w:r>
        <w:t xml:space="preserve"> 1:13-cv-04307 (D. Il. filed June 11, 2013); </w:t>
      </w:r>
      <w:r>
        <w:rPr>
          <w:rFonts w:cs="Arial"/>
          <w:i/>
          <w:color w:val="000000"/>
        </w:rPr>
        <w:t>Commission v. BMW Manufacturing Co.</w:t>
      </w:r>
      <w:r>
        <w:rPr>
          <w:rFonts w:cs="Arial"/>
          <w:color w:val="000000"/>
        </w:rPr>
        <w:t xml:space="preserve"> (D. S.C. filed June 11, 2013).  </w:t>
      </w:r>
    </w:p>
  </w:endnote>
  <w:endnote w:id="612">
    <w:p>
      <w:pPr>
        <w:pStyle w:val="EndnoteText"/>
      </w:pPr>
      <w:r>
        <w:rPr>
          <w:rStyle w:val="EndnoteReference"/>
        </w:rPr>
        <w:endnoteRef/>
      </w:r>
      <w:r>
        <w:t xml:space="preserve"> </w:t>
      </w:r>
      <w:r>
        <w:rPr>
          <w:i/>
        </w:rPr>
        <w:t>Id</w:t>
      </w:r>
      <w:r>
        <w:t xml:space="preserve">. </w:t>
      </w:r>
    </w:p>
  </w:endnote>
  <w:endnote w:id="613">
    <w:p>
      <w:pPr>
        <w:pStyle w:val="EndnoteText"/>
      </w:pPr>
      <w:r>
        <w:rPr>
          <w:rStyle w:val="EndnoteReference"/>
        </w:rPr>
        <w:endnoteRef/>
      </w:r>
      <w:r>
        <w:t xml:space="preserve">  </w:t>
      </w:r>
      <w:r>
        <w:rPr>
          <w:rFonts w:cs="Arial"/>
          <w:color w:val="252525"/>
        </w:rPr>
        <w:t>961 F.Supp.2d 783 (D. Md. 2013).</w:t>
      </w:r>
    </w:p>
  </w:endnote>
  <w:endnote w:id="614">
    <w:p>
      <w:pPr>
        <w:pStyle w:val="EndnoteText"/>
      </w:pPr>
      <w:r>
        <w:rPr>
          <w:rStyle w:val="EndnoteReference"/>
        </w:rPr>
        <w:endnoteRef/>
      </w:r>
      <w:r>
        <w:t xml:space="preserve"> </w:t>
      </w:r>
      <w:r>
        <w:rPr>
          <w:i/>
        </w:rPr>
        <w:t>Id</w:t>
      </w:r>
      <w:r>
        <w:t>. at 786.</w:t>
      </w:r>
    </w:p>
  </w:endnote>
  <w:endnote w:id="615">
    <w:p>
      <w:pPr>
        <w:pStyle w:val="EndnoteText"/>
      </w:pPr>
      <w:r>
        <w:rPr>
          <w:rStyle w:val="EndnoteReference"/>
        </w:rPr>
        <w:endnoteRef/>
      </w:r>
      <w:r>
        <w:t xml:space="preserve">  </w:t>
      </w:r>
      <w:r>
        <w:rPr>
          <w:i/>
        </w:rPr>
        <w:t>EEOC v. Kaplan Higher Learning Edu. Corp</w:t>
      </w:r>
      <w:r>
        <w:t>., No. 1:10-CV-2882, 2013 WL 322116, * 1 (N.D. Ohio Jan. 28, 2013).</w:t>
      </w:r>
    </w:p>
  </w:endnote>
  <w:endnote w:id="616">
    <w:p>
      <w:pPr>
        <w:pStyle w:val="EndnoteText"/>
      </w:pPr>
      <w:r>
        <w:rPr>
          <w:rStyle w:val="EndnoteReference"/>
        </w:rPr>
        <w:endnoteRef/>
      </w:r>
      <w:r>
        <w:t xml:space="preserve"> </w:t>
      </w:r>
      <w:r>
        <w:rPr>
          <w:i/>
        </w:rPr>
        <w:t>EEOC v. Peoplemark, Inc.</w:t>
      </w:r>
      <w:r>
        <w:t xml:space="preserve">, No. 1:08–CV–907, 2011 WL 1707281, at * 2 (W.D. Mich. March 31, 2011), </w:t>
      </w:r>
      <w:r>
        <w:rPr>
          <w:i/>
        </w:rPr>
        <w:t>aff’d</w:t>
      </w:r>
      <w:r>
        <w:t xml:space="preserve">, 732 F.3d 584 (2013) (affirming award of attorney’s fees and other costs after EEOC dismissed law suit).  </w:t>
      </w:r>
    </w:p>
  </w:endnote>
  <w:endnote w:id="617">
    <w:p>
      <w:pPr>
        <w:pStyle w:val="EndnoteText"/>
      </w:pPr>
      <w:r>
        <w:rPr>
          <w:rStyle w:val="EndnoteReference"/>
        </w:rPr>
        <w:endnoteRef/>
      </w:r>
      <w:r>
        <w:t xml:space="preserve">  </w:t>
      </w:r>
      <w:r>
        <w:rPr>
          <w:i/>
        </w:rPr>
        <w:t>See</w:t>
      </w:r>
      <w:r>
        <w:t xml:space="preserve"> </w:t>
      </w:r>
      <w:r>
        <w:rPr>
          <w:i/>
        </w:rPr>
        <w:t>Peoplemark</w:t>
      </w:r>
      <w:r>
        <w:t>, 2011 WL 1707281, at *2.</w:t>
      </w:r>
    </w:p>
  </w:endnote>
  <w:endnote w:id="618">
    <w:p>
      <w:pPr>
        <w:pStyle w:val="EndnoteText"/>
      </w:pPr>
      <w:r>
        <w:rPr>
          <w:rStyle w:val="EndnoteReference"/>
        </w:rPr>
        <w:endnoteRef/>
      </w:r>
      <w:r>
        <w:t xml:space="preserve"> 2013 WL 322116, at *1.</w:t>
      </w:r>
    </w:p>
  </w:endnote>
  <w:endnote w:id="619">
    <w:p>
      <w:pPr>
        <w:pStyle w:val="EndnoteText"/>
      </w:pPr>
      <w:r>
        <w:rPr>
          <w:rStyle w:val="EndnoteReference"/>
        </w:rPr>
        <w:endnoteRef/>
      </w:r>
      <w:r>
        <w:t xml:space="preserve"> </w:t>
      </w:r>
      <w:r>
        <w:rPr>
          <w:i/>
        </w:rPr>
        <w:t>Id</w:t>
      </w:r>
      <w:r>
        <w:t xml:space="preserve">. </w:t>
      </w:r>
    </w:p>
  </w:endnote>
  <w:endnote w:id="620">
    <w:p>
      <w:pPr>
        <w:pStyle w:val="EndnoteText"/>
      </w:pPr>
      <w:r>
        <w:rPr>
          <w:rStyle w:val="EndnoteReference"/>
        </w:rPr>
        <w:endnoteRef/>
      </w:r>
      <w:r>
        <w:t xml:space="preserve"> 713 F.3d 824 (5</w:t>
      </w:r>
      <w:r>
        <w:rPr>
          <w:vertAlign w:val="superscript"/>
        </w:rPr>
        <w:t>th</w:t>
      </w:r>
      <w:r>
        <w:t xml:space="preserve"> Cir. 2013). </w:t>
      </w:r>
    </w:p>
  </w:endnote>
  <w:endnote w:id="621">
    <w:p>
      <w:pPr>
        <w:pStyle w:val="EndnoteText"/>
      </w:pPr>
      <w:r>
        <w:rPr>
          <w:rStyle w:val="EndnoteReference"/>
        </w:rPr>
        <w:endnoteRef/>
      </w:r>
      <w:r>
        <w:t xml:space="preserve"> </w:t>
      </w:r>
      <w:r>
        <w:rPr>
          <w:i/>
        </w:rPr>
        <w:t>Id</w:t>
      </w:r>
      <w:r>
        <w:rPr>
          <w:i/>
          <w:u w:val="single"/>
        </w:rPr>
        <w:t>.</w:t>
      </w:r>
      <w:r>
        <w:rPr>
          <w:u w:val="single"/>
        </w:rPr>
        <w:t xml:space="preserve"> </w:t>
      </w:r>
      <w:r>
        <w:t xml:space="preserve">at 838. </w:t>
      </w:r>
    </w:p>
  </w:endnote>
  <w:endnote w:id="622">
    <w:p>
      <w:pPr>
        <w:pStyle w:val="EndnoteText"/>
      </w:pPr>
      <w:r>
        <w:rPr>
          <w:rStyle w:val="EndnoteReference"/>
        </w:rPr>
        <w:endnoteRef/>
      </w:r>
      <w:r>
        <w:t xml:space="preserve"> </w:t>
      </w:r>
      <w:r>
        <w:rPr>
          <w:i/>
        </w:rPr>
        <w:t>Id</w:t>
      </w:r>
      <w:r>
        <w:rPr>
          <w:i/>
          <w:u w:val="single"/>
        </w:rPr>
        <w:t>.</w:t>
      </w:r>
      <w:r>
        <w:t xml:space="preserve"> at 827.</w:t>
      </w:r>
    </w:p>
  </w:endnote>
  <w:endnote w:id="623">
    <w:p>
      <w:pPr>
        <w:pStyle w:val="EndnoteText"/>
      </w:pPr>
      <w:r>
        <w:rPr>
          <w:rStyle w:val="EndnoteReference"/>
        </w:rPr>
        <w:endnoteRef/>
      </w:r>
      <w:r>
        <w:t xml:space="preserve"> </w:t>
      </w:r>
      <w:r>
        <w:rPr>
          <w:i/>
        </w:rPr>
        <w:t>Id.</w:t>
      </w:r>
      <w:r>
        <w:t xml:space="preserve"> at 828.</w:t>
      </w:r>
    </w:p>
  </w:endnote>
  <w:endnote w:id="624">
    <w:p>
      <w:pPr>
        <w:pStyle w:val="EndnoteText"/>
      </w:pPr>
      <w:r>
        <w:rPr>
          <w:rStyle w:val="EndnoteReference"/>
        </w:rPr>
        <w:endnoteRef/>
      </w:r>
      <w:r>
        <w:t xml:space="preserve"> </w:t>
      </w:r>
      <w:r>
        <w:rPr>
          <w:i/>
        </w:rPr>
        <w:t>Id</w:t>
      </w:r>
      <w:r>
        <w:t xml:space="preserve">.  at 827-29. </w:t>
      </w:r>
    </w:p>
  </w:endnote>
  <w:endnote w:id="625">
    <w:p>
      <w:pPr>
        <w:pStyle w:val="EndnoteText"/>
      </w:pPr>
      <w:r>
        <w:rPr>
          <w:rStyle w:val="EndnoteReference"/>
        </w:rPr>
        <w:endnoteRef/>
      </w:r>
      <w:r>
        <w:t xml:space="preserve"> </w:t>
      </w:r>
      <w:r>
        <w:rPr>
          <w:i/>
        </w:rPr>
        <w:t>Id</w:t>
      </w:r>
      <w:r>
        <w:t>. at 829.</w:t>
      </w:r>
    </w:p>
  </w:endnote>
  <w:endnote w:id="626">
    <w:p>
      <w:pPr>
        <w:pStyle w:val="EndnoteText"/>
      </w:pPr>
      <w:r>
        <w:rPr>
          <w:rStyle w:val="EndnoteReference"/>
        </w:rPr>
        <w:endnoteRef/>
      </w:r>
      <w:r>
        <w:t xml:space="preserve"> </w:t>
      </w:r>
      <w:r>
        <w:rPr>
          <w:i/>
        </w:rPr>
        <w:t>Id</w:t>
      </w:r>
      <w:r>
        <w:t xml:space="preserve">. at 838. </w:t>
      </w:r>
    </w:p>
  </w:endnote>
  <w:endnote w:id="627">
    <w:p>
      <w:pPr>
        <w:pStyle w:val="EndnoteText"/>
      </w:pPr>
      <w:r>
        <w:rPr>
          <w:rStyle w:val="EndnoteReference"/>
        </w:rPr>
        <w:endnoteRef/>
      </w:r>
      <w:r>
        <w:t xml:space="preserve"> </w:t>
      </w:r>
      <w:r>
        <w:rPr>
          <w:i/>
        </w:rPr>
        <w:t>Id</w:t>
      </w:r>
      <w:r>
        <w:t xml:space="preserve">. at 838-39 (citing </w:t>
      </w:r>
      <w:r>
        <w:rPr>
          <w:i/>
        </w:rPr>
        <w:t>Transworld Airlines, Inc. v. Hardison</w:t>
      </w:r>
      <w:r>
        <w:t xml:space="preserve">,  432 U.S. 63, 79 (1977)). </w:t>
      </w:r>
    </w:p>
  </w:endnote>
  <w:endnote w:id="628">
    <w:p>
      <w:pPr>
        <w:pStyle w:val="EndnoteText"/>
      </w:pPr>
      <w:r>
        <w:rPr>
          <w:rStyle w:val="EndnoteReference"/>
        </w:rPr>
        <w:endnoteRef/>
      </w:r>
      <w:r>
        <w:t xml:space="preserve"> </w:t>
      </w:r>
      <w:r>
        <w:rPr>
          <w:i/>
        </w:rPr>
        <w:t>Hardison</w:t>
      </w:r>
      <w:r>
        <w:t xml:space="preserve">, 432 U.S. at 77-79, 84. </w:t>
      </w:r>
    </w:p>
  </w:endnote>
  <w:endnote w:id="629">
    <w:p>
      <w:pPr>
        <w:pStyle w:val="EndnoteText"/>
      </w:pPr>
      <w:r>
        <w:rPr>
          <w:rStyle w:val="EndnoteReference"/>
        </w:rPr>
        <w:endnoteRef/>
      </w:r>
      <w:r>
        <w:t xml:space="preserve"> </w:t>
      </w:r>
      <w:r>
        <w:rPr>
          <w:color w:val="252525"/>
        </w:rPr>
        <w:t xml:space="preserve">No. 4:12CV00356 SWW, 2013 WL 1968483 (E.D. Ark. May 13, 2013). </w:t>
      </w:r>
    </w:p>
  </w:endnote>
  <w:endnote w:id="630">
    <w:p>
      <w:pPr>
        <w:pStyle w:val="EndnoteText"/>
      </w:pPr>
      <w:r>
        <w:rPr>
          <w:rStyle w:val="EndnoteReference"/>
        </w:rPr>
        <w:endnoteRef/>
      </w:r>
      <w:r>
        <w:t xml:space="preserve">  </w:t>
      </w:r>
      <w:r>
        <w:rPr>
          <w:i/>
        </w:rPr>
        <w:t>Id</w:t>
      </w:r>
      <w:r>
        <w:t>. at *3.</w:t>
      </w:r>
    </w:p>
  </w:endnote>
  <w:endnote w:id="631">
    <w:p>
      <w:pPr>
        <w:pStyle w:val="EndnoteText"/>
      </w:pPr>
      <w:r>
        <w:rPr>
          <w:rStyle w:val="EndnoteReference"/>
        </w:rPr>
        <w:endnoteRef/>
      </w:r>
      <w:r>
        <w:t xml:space="preserve"> </w:t>
      </w:r>
      <w:r>
        <w:rPr>
          <w:i/>
        </w:rPr>
        <w:t>Id</w:t>
      </w:r>
      <w:r>
        <w:t>. at *1.</w:t>
      </w:r>
    </w:p>
  </w:endnote>
  <w:endnote w:id="632">
    <w:p>
      <w:pPr>
        <w:pStyle w:val="EndnoteText"/>
      </w:pPr>
      <w:r>
        <w:rPr>
          <w:rStyle w:val="EndnoteReference"/>
        </w:rPr>
        <w:endnoteRef/>
      </w:r>
      <w:r>
        <w:t xml:space="preserve"> </w:t>
      </w:r>
      <w:r>
        <w:rPr>
          <w:i/>
        </w:rPr>
        <w:t>Id</w:t>
      </w:r>
      <w:r>
        <w:t xml:space="preserve">. </w:t>
      </w:r>
    </w:p>
  </w:endnote>
  <w:endnote w:id="633">
    <w:p>
      <w:pPr>
        <w:pStyle w:val="EndnoteText"/>
      </w:pPr>
      <w:r>
        <w:rPr>
          <w:rStyle w:val="EndnoteReference"/>
        </w:rPr>
        <w:endnoteRef/>
      </w:r>
      <w:r>
        <w:t xml:space="preserve"> </w:t>
      </w:r>
      <w:r>
        <w:rPr>
          <w:i/>
        </w:rPr>
        <w:t>Id</w:t>
      </w:r>
      <w:r>
        <w:t>.</w:t>
      </w:r>
    </w:p>
  </w:endnote>
  <w:endnote w:id="634">
    <w:p>
      <w:pPr>
        <w:pStyle w:val="EndnoteText"/>
      </w:pPr>
      <w:r>
        <w:rPr>
          <w:rStyle w:val="EndnoteReference"/>
        </w:rPr>
        <w:endnoteRef/>
      </w:r>
      <w:r>
        <w:t xml:space="preserve"> </w:t>
      </w:r>
      <w:r>
        <w:rPr>
          <w:i/>
        </w:rPr>
        <w:t>Id</w:t>
      </w:r>
      <w:r>
        <w:t>.</w:t>
      </w:r>
    </w:p>
  </w:endnote>
  <w:endnote w:id="635">
    <w:p>
      <w:pPr>
        <w:pStyle w:val="EndnoteText"/>
      </w:pPr>
      <w:r>
        <w:rPr>
          <w:rStyle w:val="EndnoteReference"/>
        </w:rPr>
        <w:endnoteRef/>
      </w:r>
      <w:r>
        <w:t xml:space="preserve"> </w:t>
      </w:r>
      <w:r>
        <w:rPr>
          <w:i/>
        </w:rPr>
        <w:t>Id</w:t>
      </w:r>
      <w:r>
        <w:t>.</w:t>
      </w:r>
    </w:p>
  </w:endnote>
  <w:endnote w:id="636">
    <w:p>
      <w:pPr>
        <w:pStyle w:val="EndnoteText"/>
      </w:pPr>
      <w:r>
        <w:rPr>
          <w:rStyle w:val="EndnoteReference"/>
        </w:rPr>
        <w:endnoteRef/>
      </w:r>
      <w:r>
        <w:t xml:space="preserve"> </w:t>
      </w:r>
      <w:r>
        <w:rPr>
          <w:i/>
        </w:rPr>
        <w:t>Id</w:t>
      </w:r>
      <w:r>
        <w:t>. at *1-2.</w:t>
      </w:r>
    </w:p>
  </w:endnote>
  <w:endnote w:id="637">
    <w:p>
      <w:pPr>
        <w:pStyle w:val="EndnoteText"/>
      </w:pPr>
      <w:r>
        <w:rPr>
          <w:rStyle w:val="EndnoteReference"/>
        </w:rPr>
        <w:endnoteRef/>
      </w:r>
      <w:r>
        <w:t xml:space="preserve"> </w:t>
      </w:r>
      <w:r>
        <w:rPr>
          <w:i/>
        </w:rPr>
        <w:t>Id</w:t>
      </w:r>
      <w:r>
        <w:t xml:space="preserve">. at *3-4. </w:t>
      </w:r>
    </w:p>
  </w:endnote>
  <w:endnote w:id="638">
    <w:p>
      <w:pPr>
        <w:pStyle w:val="EndnoteText"/>
      </w:pPr>
      <w:r>
        <w:rPr>
          <w:rStyle w:val="EndnoteReference"/>
        </w:rPr>
        <w:endnoteRef/>
      </w:r>
      <w:r>
        <w:t xml:space="preserve"> </w:t>
      </w:r>
      <w:r>
        <w:rPr>
          <w:i/>
        </w:rPr>
        <w:t>Id</w:t>
      </w:r>
      <w:r>
        <w:t xml:space="preserve">. at *3. </w:t>
      </w:r>
    </w:p>
  </w:endnote>
  <w:endnote w:id="639">
    <w:p>
      <w:pPr>
        <w:pStyle w:val="EndnoteText"/>
      </w:pPr>
      <w:r>
        <w:rPr>
          <w:rStyle w:val="EndnoteReference"/>
        </w:rPr>
        <w:endnoteRef/>
      </w:r>
      <w:r>
        <w:t xml:space="preserve"> </w:t>
      </w:r>
      <w:r>
        <w:rPr>
          <w:i/>
        </w:rPr>
        <w:t xml:space="preserve">Id. </w:t>
      </w:r>
    </w:p>
  </w:endnote>
  <w:endnote w:id="640">
    <w:p>
      <w:pPr>
        <w:pStyle w:val="EndnoteText"/>
      </w:pPr>
      <w:r>
        <w:rPr>
          <w:rStyle w:val="EndnoteReference"/>
        </w:rPr>
        <w:endnoteRef/>
      </w:r>
      <w:r>
        <w:t xml:space="preserve"> 42 U.S.C. § 2000e(k) (1991).</w:t>
      </w:r>
    </w:p>
  </w:endnote>
  <w:endnote w:id="641">
    <w:p>
      <w:pPr>
        <w:pStyle w:val="EndnoteText"/>
      </w:pPr>
      <w:r>
        <w:rPr>
          <w:rStyle w:val="EndnoteReference"/>
        </w:rPr>
        <w:endnoteRef/>
      </w:r>
      <w:r>
        <w:t xml:space="preserve"> 42 U.S.C. § 2000e-2 (1991). </w:t>
      </w:r>
    </w:p>
  </w:endnote>
  <w:endnote w:id="642">
    <w:p>
      <w:pPr>
        <w:pStyle w:val="EndnoteText"/>
      </w:pPr>
      <w:r>
        <w:rPr>
          <w:rStyle w:val="EndnoteReference"/>
        </w:rPr>
        <w:endnoteRef/>
      </w:r>
      <w:r>
        <w:t xml:space="preserve"> U.S. Equal Employment Opportunity Commission Strategic Enforcement Plan FY 2013-2016. http://www.eeoc.gov/eeoc/plan/ sep.cfm.</w:t>
      </w:r>
    </w:p>
  </w:endnote>
  <w:endnote w:id="643">
    <w:p>
      <w:pPr>
        <w:pStyle w:val="EndnoteText"/>
      </w:pPr>
      <w:r>
        <w:rPr>
          <w:rStyle w:val="EndnoteReference"/>
        </w:rPr>
        <w:endnoteRef/>
      </w:r>
      <w:r>
        <w:t xml:space="preserve"> 717 F.3d 425 (5th 2013). </w:t>
      </w:r>
    </w:p>
  </w:endnote>
  <w:endnote w:id="644">
    <w:p>
      <w:pPr>
        <w:pStyle w:val="EndnoteText"/>
      </w:pPr>
      <w:r>
        <w:rPr>
          <w:rStyle w:val="EndnoteReference"/>
        </w:rPr>
        <w:endnoteRef/>
      </w:r>
      <w:r>
        <w:t xml:space="preserve"> </w:t>
      </w:r>
      <w:r>
        <w:rPr>
          <w:i/>
        </w:rPr>
        <w:t>Id</w:t>
      </w:r>
      <w:r>
        <w:t>. at 426 (“</w:t>
      </w:r>
      <w:r>
        <w:rPr>
          <w:color w:val="252525"/>
        </w:rPr>
        <w:t>The question we must answer in this appeal is whether discharging a female employee because she is lactating or expressing breast milk constitutes sex discrimination in violation of Title VII. We hold that it does.”)</w:t>
      </w:r>
    </w:p>
  </w:endnote>
  <w:endnote w:id="645">
    <w:p>
      <w:pPr>
        <w:pStyle w:val="EndnoteText"/>
      </w:pPr>
      <w:r>
        <w:rPr>
          <w:rStyle w:val="EndnoteReference"/>
        </w:rPr>
        <w:endnoteRef/>
      </w:r>
      <w:r>
        <w:t xml:space="preserve"> </w:t>
      </w:r>
      <w:r>
        <w:rPr>
          <w:i/>
        </w:rPr>
        <w:t>Id</w:t>
      </w:r>
      <w:r>
        <w:t>.</w:t>
      </w:r>
      <w:r>
        <w:rPr>
          <w:i/>
        </w:rPr>
        <w:t xml:space="preserve"> </w:t>
      </w:r>
    </w:p>
  </w:endnote>
  <w:endnote w:id="646">
    <w:p>
      <w:pPr>
        <w:pStyle w:val="EndnoteText"/>
      </w:pPr>
      <w:r>
        <w:rPr>
          <w:rStyle w:val="EndnoteReference"/>
        </w:rPr>
        <w:endnoteRef/>
      </w:r>
      <w:r>
        <w:t xml:space="preserve"> </w:t>
      </w:r>
      <w:r>
        <w:rPr>
          <w:smallCaps/>
        </w:rPr>
        <w:t xml:space="preserve">U.S. Equal Employment Opportunity Commission Strategic Enforcement Plan FY 2013-2016, </w:t>
      </w:r>
      <w:r>
        <w:rPr>
          <w:i/>
        </w:rPr>
        <w:t>available at</w:t>
      </w:r>
      <w:r>
        <w:t xml:space="preserve"> http://www.eeoc.gov/eeoc/plan/sep.cfm.</w:t>
      </w:r>
    </w:p>
  </w:endnote>
  <w:endnote w:id="647">
    <w:p>
      <w:pPr>
        <w:pStyle w:val="EndnoteText"/>
      </w:pPr>
      <w:r>
        <w:rPr>
          <w:rStyle w:val="EndnoteReference"/>
        </w:rPr>
        <w:endnoteRef/>
      </w:r>
      <w:r>
        <w:t xml:space="preserve"> No. PWG–11–3657,</w:t>
      </w:r>
      <w:r>
        <w:rPr>
          <w:color w:val="252525"/>
        </w:rPr>
        <w:t xml:space="preserve"> 2013 WL 6158375 (D. Md. Nov. 22, 2013). </w:t>
      </w:r>
    </w:p>
  </w:endnote>
  <w:endnote w:id="648">
    <w:p>
      <w:pPr>
        <w:pStyle w:val="EndnoteText"/>
      </w:pPr>
      <w:r>
        <w:rPr>
          <w:rStyle w:val="EndnoteReference"/>
        </w:rPr>
        <w:endnoteRef/>
      </w:r>
      <w:r>
        <w:t xml:space="preserve"> </w:t>
      </w:r>
      <w:r>
        <w:rPr>
          <w:i/>
        </w:rPr>
        <w:t>Id</w:t>
      </w:r>
      <w:r>
        <w:t>. at *2-3.</w:t>
      </w:r>
    </w:p>
  </w:endnote>
  <w:endnote w:id="649">
    <w:p>
      <w:pPr>
        <w:pStyle w:val="EndnoteText"/>
      </w:pPr>
      <w:r>
        <w:rPr>
          <w:rStyle w:val="EndnoteReference"/>
        </w:rPr>
        <w:endnoteRef/>
      </w:r>
      <w:r>
        <w:t xml:space="preserve"> </w:t>
      </w:r>
      <w:r>
        <w:rPr>
          <w:i/>
        </w:rPr>
        <w:t>Id</w:t>
      </w:r>
      <w:r>
        <w:t xml:space="preserve">. at *6-8. </w:t>
      </w:r>
    </w:p>
  </w:endnote>
  <w:endnote w:id="650">
    <w:p>
      <w:pPr>
        <w:pStyle w:val="EndnoteText"/>
      </w:pPr>
      <w:r>
        <w:rPr>
          <w:rStyle w:val="EndnoteReference"/>
        </w:rPr>
        <w:endnoteRef/>
      </w:r>
      <w:r>
        <w:t xml:space="preserve"> Statutes by Issue FY 2010-FY 2013.  http://www.eeoc.gov/eeoc/statistics/enforcement/statutes_by_issue.cfm.</w:t>
      </w:r>
    </w:p>
  </w:endnote>
  <w:endnote w:id="651">
    <w:p>
      <w:pPr>
        <w:pStyle w:val="EndnoteText"/>
      </w:pPr>
      <w:r>
        <w:rPr>
          <w:rStyle w:val="EndnoteReference"/>
        </w:rPr>
        <w:endnoteRef/>
      </w:r>
      <w:r>
        <w:t xml:space="preserve"> 693 F.3d 760 (7th Cir. 2012). </w:t>
      </w:r>
    </w:p>
  </w:endnote>
  <w:endnote w:id="652">
    <w:p>
      <w:pPr>
        <w:pStyle w:val="EndnoteText"/>
      </w:pPr>
      <w:r>
        <w:rPr>
          <w:rStyle w:val="EndnoteReference"/>
          <w:i/>
        </w:rPr>
        <w:endnoteRef/>
      </w:r>
      <w:r>
        <w:rPr>
          <w:i/>
        </w:rPr>
        <w:t xml:space="preserve"> United Airlines, Inc. v. EEOC</w:t>
      </w:r>
      <w:r>
        <w:t xml:space="preserve">, 133 S. Ct. 2734 (2013). </w:t>
      </w:r>
    </w:p>
  </w:endnote>
  <w:endnote w:id="653">
    <w:p>
      <w:pPr>
        <w:pStyle w:val="EndnoteText"/>
      </w:pPr>
      <w:r>
        <w:rPr>
          <w:rStyle w:val="EndnoteReference"/>
        </w:rPr>
        <w:endnoteRef/>
      </w:r>
      <w:r>
        <w:t xml:space="preserve"> </w:t>
      </w:r>
      <w:r>
        <w:rPr>
          <w:i/>
        </w:rPr>
        <w:t>United Airlines, Inc.</w:t>
      </w:r>
      <w:r>
        <w:t xml:space="preserve">, 693 F.3d at 765. </w:t>
      </w:r>
    </w:p>
  </w:endnote>
  <w:endnote w:id="654">
    <w:p>
      <w:pPr>
        <w:pStyle w:val="EndnoteText"/>
      </w:pPr>
      <w:r>
        <w:rPr>
          <w:rStyle w:val="EndnoteReference"/>
        </w:rPr>
        <w:endnoteRef/>
      </w:r>
      <w:r>
        <w:t xml:space="preserve"> </w:t>
      </w:r>
      <w:r>
        <w:rPr>
          <w:i/>
        </w:rPr>
        <w:t>Id</w:t>
      </w:r>
      <w:r>
        <w:t xml:space="preserve">. at 763-65. </w:t>
      </w:r>
    </w:p>
  </w:endnote>
  <w:endnote w:id="655">
    <w:p>
      <w:pPr>
        <w:pStyle w:val="EndnoteText"/>
      </w:pPr>
      <w:r>
        <w:rPr>
          <w:rStyle w:val="EndnoteReference"/>
        </w:rPr>
        <w:endnoteRef/>
      </w:r>
      <w:r>
        <w:t xml:space="preserve"> 711 F.3d 120 (2d Cir. 2013). </w:t>
      </w:r>
    </w:p>
  </w:endnote>
  <w:endnote w:id="656">
    <w:p>
      <w:pPr>
        <w:pStyle w:val="EndnoteText"/>
      </w:pPr>
      <w:r>
        <w:rPr>
          <w:rStyle w:val="EndnoteReference"/>
        </w:rPr>
        <w:endnoteRef/>
      </w:r>
      <w:r>
        <w:t xml:space="preserve"> </w:t>
      </w:r>
      <w:r>
        <w:rPr>
          <w:i/>
        </w:rPr>
        <w:t>Id</w:t>
      </w:r>
      <w:r>
        <w:t xml:space="preserve">. at 123. </w:t>
      </w:r>
    </w:p>
  </w:endnote>
  <w:endnote w:id="657">
    <w:p>
      <w:pPr>
        <w:pStyle w:val="EndnoteText"/>
      </w:pPr>
      <w:r>
        <w:rPr>
          <w:rStyle w:val="EndnoteReference"/>
        </w:rPr>
        <w:endnoteRef/>
      </w:r>
      <w:r>
        <w:t xml:space="preserve"> </w:t>
      </w:r>
      <w:r>
        <w:rPr>
          <w:i/>
        </w:rPr>
        <w:t>Id</w:t>
      </w:r>
      <w:r>
        <w:t xml:space="preserve">. </w:t>
      </w:r>
    </w:p>
  </w:endnote>
  <w:endnote w:id="658">
    <w:p>
      <w:pPr>
        <w:pStyle w:val="EndnoteText"/>
      </w:pPr>
      <w:r>
        <w:rPr>
          <w:rStyle w:val="EndnoteReference"/>
        </w:rPr>
        <w:endnoteRef/>
      </w:r>
      <w:r>
        <w:t xml:space="preserve"> </w:t>
      </w:r>
      <w:r>
        <w:rPr>
          <w:i/>
        </w:rPr>
        <w:t>Id</w:t>
      </w:r>
      <w:r>
        <w:t xml:space="preserve">. </w:t>
      </w:r>
    </w:p>
  </w:endnote>
  <w:endnote w:id="659">
    <w:p>
      <w:pPr>
        <w:pStyle w:val="EndnoteText"/>
      </w:pPr>
      <w:r>
        <w:rPr>
          <w:rStyle w:val="EndnoteReference"/>
        </w:rPr>
        <w:endnoteRef/>
      </w:r>
      <w:r>
        <w:t xml:space="preserve"> </w:t>
      </w:r>
      <w:r>
        <w:rPr>
          <w:i/>
        </w:rPr>
        <w:t>Id</w:t>
      </w:r>
      <w:r>
        <w:t xml:space="preserve">. </w:t>
      </w:r>
    </w:p>
  </w:endnote>
  <w:endnote w:id="660">
    <w:p>
      <w:pPr>
        <w:pStyle w:val="EndnoteText"/>
      </w:pPr>
      <w:r>
        <w:rPr>
          <w:rStyle w:val="EndnoteReference"/>
        </w:rPr>
        <w:endnoteRef/>
      </w:r>
      <w:r>
        <w:t xml:space="preserve"> </w:t>
      </w:r>
      <w:r>
        <w:rPr>
          <w:i/>
        </w:rPr>
        <w:t>Id</w:t>
      </w:r>
      <w:r>
        <w:t>. at 123-24.</w:t>
      </w:r>
    </w:p>
  </w:endnote>
  <w:endnote w:id="661">
    <w:p>
      <w:pPr>
        <w:pStyle w:val="EndnoteText"/>
      </w:pPr>
      <w:r>
        <w:rPr>
          <w:rStyle w:val="EndnoteReference"/>
        </w:rPr>
        <w:endnoteRef/>
      </w:r>
      <w:r>
        <w:t xml:space="preserve"> </w:t>
      </w:r>
      <w:r>
        <w:rPr>
          <w:i/>
        </w:rPr>
        <w:t>Id</w:t>
      </w:r>
      <w:r>
        <w:t>. at 124.</w:t>
      </w:r>
    </w:p>
  </w:endnote>
  <w:endnote w:id="662">
    <w:p>
      <w:pPr>
        <w:pStyle w:val="EndnoteText"/>
      </w:pPr>
      <w:r>
        <w:rPr>
          <w:rStyle w:val="EndnoteReference"/>
        </w:rPr>
        <w:endnoteRef/>
      </w:r>
      <w:r>
        <w:t xml:space="preserve"> </w:t>
      </w:r>
      <w:r>
        <w:rPr>
          <w:i/>
        </w:rPr>
        <w:t>Id</w:t>
      </w:r>
      <w:r>
        <w:t>. at 126-27.</w:t>
      </w:r>
    </w:p>
  </w:endnote>
  <w:endnote w:id="663">
    <w:p>
      <w:pPr>
        <w:pStyle w:val="EndnoteText"/>
      </w:pPr>
      <w:r>
        <w:rPr>
          <w:rStyle w:val="EndnoteReference"/>
        </w:rPr>
        <w:endnoteRef/>
      </w:r>
      <w:r>
        <w:t xml:space="preserve"> </w:t>
      </w:r>
      <w:r>
        <w:rPr>
          <w:i/>
        </w:rPr>
        <w:t>Id.</w:t>
      </w:r>
      <w:r>
        <w:t xml:space="preserve"> </w:t>
      </w:r>
    </w:p>
  </w:endnote>
  <w:endnote w:id="664">
    <w:p>
      <w:pPr>
        <w:pStyle w:val="EndnoteText"/>
      </w:pPr>
      <w:r>
        <w:rPr>
          <w:rStyle w:val="EndnoteReference"/>
        </w:rPr>
        <w:endnoteRef/>
      </w:r>
      <w:r>
        <w:t xml:space="preserve"> Work At Home/Telework as a Reasonable Accommodation.   http://www.eeoc.gov/facts/ telework.html.</w:t>
      </w:r>
    </w:p>
  </w:endnote>
  <w:endnote w:id="665">
    <w:p>
      <w:pPr>
        <w:pStyle w:val="EndnoteText"/>
      </w:pPr>
      <w:r>
        <w:rPr>
          <w:rStyle w:val="EndnoteReference"/>
        </w:rPr>
        <w:endnoteRef/>
      </w:r>
      <w:r>
        <w:t xml:space="preserve"> No. 11–13742</w:t>
      </w:r>
      <w:r>
        <w:rPr>
          <w:color w:val="252525"/>
        </w:rPr>
        <w:t xml:space="preserve">, 2012 WL 3945540 (E.D. Mich. Sept. 10, 2012). </w:t>
      </w:r>
    </w:p>
  </w:endnote>
  <w:endnote w:id="666">
    <w:p>
      <w:pPr>
        <w:pStyle w:val="EndnoteText"/>
      </w:pPr>
      <w:r>
        <w:rPr>
          <w:rStyle w:val="EndnoteReference"/>
        </w:rPr>
        <w:endnoteRef/>
      </w:r>
      <w:r>
        <w:t xml:space="preserve"> </w:t>
      </w:r>
      <w:r>
        <w:rPr>
          <w:i/>
        </w:rPr>
        <w:t>Id</w:t>
      </w:r>
      <w:r>
        <w:t>. at  *6-7.</w:t>
      </w:r>
    </w:p>
  </w:endnote>
  <w:endnote w:id="667">
    <w:p>
      <w:pPr>
        <w:pStyle w:val="EndnoteText"/>
      </w:pPr>
      <w:r>
        <w:rPr>
          <w:rStyle w:val="EndnoteReference"/>
        </w:rPr>
        <w:endnoteRef/>
      </w:r>
      <w:r>
        <w:t xml:space="preserve"> </w:t>
      </w:r>
      <w:r>
        <w:rPr>
          <w:i/>
        </w:rPr>
        <w:t>Id</w:t>
      </w:r>
      <w:r>
        <w:t xml:space="preserve">. at *1. </w:t>
      </w:r>
    </w:p>
  </w:endnote>
  <w:endnote w:id="668">
    <w:p>
      <w:pPr>
        <w:pStyle w:val="EndnoteText"/>
      </w:pPr>
      <w:r>
        <w:rPr>
          <w:rStyle w:val="EndnoteReference"/>
        </w:rPr>
        <w:endnoteRef/>
      </w:r>
      <w:r>
        <w:t xml:space="preserve"> </w:t>
      </w:r>
      <w:r>
        <w:rPr>
          <w:i/>
        </w:rPr>
        <w:t>Id</w:t>
      </w:r>
      <w:r>
        <w:t>.</w:t>
      </w:r>
    </w:p>
  </w:endnote>
  <w:endnote w:id="669">
    <w:p>
      <w:pPr>
        <w:pStyle w:val="EndnoteText"/>
      </w:pPr>
      <w:r>
        <w:rPr>
          <w:rStyle w:val="EndnoteReference"/>
        </w:rPr>
        <w:endnoteRef/>
      </w:r>
      <w:r>
        <w:t xml:space="preserve"> </w:t>
      </w:r>
      <w:r>
        <w:rPr>
          <w:i/>
        </w:rPr>
        <w:t>Id</w:t>
      </w:r>
      <w:r>
        <w:t xml:space="preserve">. </w:t>
      </w:r>
    </w:p>
  </w:endnote>
  <w:endnote w:id="670">
    <w:p>
      <w:pPr>
        <w:pStyle w:val="EndnoteText"/>
      </w:pPr>
      <w:r>
        <w:rPr>
          <w:rStyle w:val="EndnoteReference"/>
        </w:rPr>
        <w:endnoteRef/>
      </w:r>
      <w:r>
        <w:t xml:space="preserve"> </w:t>
      </w:r>
      <w:r>
        <w:rPr>
          <w:i/>
        </w:rPr>
        <w:t>Id</w:t>
      </w:r>
      <w:r>
        <w:t xml:space="preserve">. at *2. </w:t>
      </w:r>
    </w:p>
  </w:endnote>
  <w:endnote w:id="671">
    <w:p>
      <w:pPr>
        <w:pStyle w:val="EndnoteText"/>
      </w:pPr>
      <w:r>
        <w:rPr>
          <w:rStyle w:val="EndnoteReference"/>
        </w:rPr>
        <w:endnoteRef/>
      </w:r>
      <w:r>
        <w:t xml:space="preserve"> </w:t>
      </w:r>
      <w:r>
        <w:rPr>
          <w:i/>
        </w:rPr>
        <w:t>Id</w:t>
      </w:r>
      <w:r>
        <w:t>.</w:t>
      </w:r>
    </w:p>
  </w:endnote>
  <w:endnote w:id="672">
    <w:p>
      <w:pPr>
        <w:pStyle w:val="EndnoteText"/>
      </w:pPr>
      <w:r>
        <w:rPr>
          <w:rStyle w:val="EndnoteReference"/>
        </w:rPr>
        <w:endnoteRef/>
      </w:r>
      <w:r>
        <w:t xml:space="preserve"> </w:t>
      </w:r>
      <w:r>
        <w:rPr>
          <w:i/>
        </w:rPr>
        <w:t>Id</w:t>
      </w:r>
      <w:r>
        <w:t xml:space="preserve">. at *3. </w:t>
      </w:r>
    </w:p>
  </w:endnote>
  <w:endnote w:id="673">
    <w:p>
      <w:pPr>
        <w:pStyle w:val="EndnoteText"/>
      </w:pPr>
      <w:r>
        <w:rPr>
          <w:rStyle w:val="EndnoteReference"/>
        </w:rPr>
        <w:endnoteRef/>
      </w:r>
      <w:r>
        <w:t xml:space="preserve"> </w:t>
      </w:r>
      <w:r>
        <w:rPr>
          <w:i/>
        </w:rPr>
        <w:t>Id</w:t>
      </w:r>
      <w:r>
        <w:t>. at *4.</w:t>
      </w:r>
    </w:p>
  </w:endnote>
  <w:endnote w:id="674">
    <w:p>
      <w:pPr>
        <w:pStyle w:val="EndnoteText"/>
      </w:pPr>
      <w:r>
        <w:rPr>
          <w:rStyle w:val="EndnoteReference"/>
        </w:rPr>
        <w:endnoteRef/>
      </w:r>
      <w:r>
        <w:t xml:space="preserve"> </w:t>
      </w:r>
      <w:r>
        <w:rPr>
          <w:i/>
        </w:rPr>
        <w:t>Id</w:t>
      </w:r>
      <w:r>
        <w:t>. at *5.</w:t>
      </w:r>
    </w:p>
  </w:endnote>
  <w:endnote w:id="675">
    <w:p>
      <w:pPr>
        <w:pStyle w:val="EndnoteText"/>
      </w:pPr>
      <w:r>
        <w:rPr>
          <w:rStyle w:val="EndnoteReference"/>
        </w:rPr>
        <w:endnoteRef/>
      </w:r>
      <w:r>
        <w:t xml:space="preserve"> </w:t>
      </w:r>
      <w:r>
        <w:rPr>
          <w:i/>
        </w:rPr>
        <w:t>Id</w:t>
      </w:r>
      <w:r>
        <w:t>. at *5-7.</w:t>
      </w:r>
    </w:p>
  </w:endnote>
  <w:endnote w:id="676">
    <w:p>
      <w:pPr>
        <w:pStyle w:val="EndnoteText"/>
      </w:pPr>
      <w:r>
        <w:rPr>
          <w:rStyle w:val="EndnoteReference"/>
        </w:rPr>
        <w:endnoteRef/>
      </w:r>
      <w:r>
        <w:t xml:space="preserve"> </w:t>
      </w:r>
      <w:r>
        <w:rPr>
          <w:i/>
        </w:rPr>
        <w:t>Id</w:t>
      </w:r>
      <w:r>
        <w:t>. at *5-6.</w:t>
      </w:r>
    </w:p>
  </w:endnote>
  <w:endnote w:id="677">
    <w:p>
      <w:pPr>
        <w:pStyle w:val="EndnoteText"/>
      </w:pPr>
      <w:r>
        <w:rPr>
          <w:rStyle w:val="EndnoteReference"/>
        </w:rPr>
        <w:endnoteRef/>
      </w:r>
      <w:r>
        <w:t xml:space="preserve"> </w:t>
      </w:r>
      <w:r>
        <w:rPr>
          <w:i/>
        </w:rPr>
        <w:t>Id</w:t>
      </w:r>
      <w:r>
        <w:t xml:space="preserve">. </w:t>
      </w:r>
    </w:p>
  </w:endnote>
  <w:endnote w:id="678">
    <w:p>
      <w:pPr>
        <w:pStyle w:val="EndnoteText"/>
      </w:pPr>
      <w:r>
        <w:rPr>
          <w:rStyle w:val="EndnoteReference"/>
        </w:rPr>
        <w:endnoteRef/>
      </w:r>
      <w:r>
        <w:t xml:space="preserve"> 513 Fed. Appx. 267 (4th Cir. 2013). </w:t>
      </w:r>
    </w:p>
  </w:endnote>
  <w:endnote w:id="679">
    <w:p>
      <w:pPr>
        <w:pStyle w:val="EndnoteText"/>
      </w:pPr>
      <w:r>
        <w:rPr>
          <w:rStyle w:val="EndnoteReference"/>
        </w:rPr>
        <w:endnoteRef/>
      </w:r>
      <w:r>
        <w:t xml:space="preserve"> </w:t>
      </w:r>
      <w:r>
        <w:rPr>
          <w:i/>
        </w:rPr>
        <w:t>Id</w:t>
      </w:r>
      <w:r>
        <w:t>. at 269.</w:t>
      </w:r>
    </w:p>
  </w:endnote>
  <w:endnote w:id="680">
    <w:p>
      <w:pPr>
        <w:pStyle w:val="EndnoteText"/>
      </w:pPr>
      <w:r>
        <w:rPr>
          <w:rStyle w:val="EndnoteReference"/>
        </w:rPr>
        <w:endnoteRef/>
      </w:r>
      <w:r>
        <w:t xml:space="preserve"> </w:t>
      </w:r>
      <w:r>
        <w:rPr>
          <w:i/>
        </w:rPr>
        <w:t>Id</w:t>
      </w:r>
      <w:r>
        <w:t xml:space="preserve">. at 272. </w:t>
      </w:r>
    </w:p>
  </w:endnote>
  <w:endnote w:id="681">
    <w:p>
      <w:pPr>
        <w:pStyle w:val="EndnoteText"/>
      </w:pPr>
      <w:r>
        <w:rPr>
          <w:rStyle w:val="EndnoteReference"/>
        </w:rPr>
        <w:endnoteRef/>
      </w:r>
      <w:r>
        <w:t xml:space="preserve"> </w:t>
      </w:r>
      <w:r>
        <w:rPr>
          <w:i/>
        </w:rPr>
        <w:t>Id</w:t>
      </w:r>
      <w:r>
        <w:t>. at 268.</w:t>
      </w:r>
    </w:p>
  </w:endnote>
  <w:endnote w:id="682">
    <w:p>
      <w:pPr>
        <w:pStyle w:val="EndnoteText"/>
      </w:pPr>
      <w:r>
        <w:rPr>
          <w:rStyle w:val="EndnoteReference"/>
        </w:rPr>
        <w:endnoteRef/>
      </w:r>
      <w:r>
        <w:t xml:space="preserve"> </w:t>
      </w:r>
      <w:r>
        <w:rPr>
          <w:i/>
        </w:rPr>
        <w:t>Id</w:t>
      </w:r>
      <w:r>
        <w:t>. at 268-69.</w:t>
      </w:r>
    </w:p>
  </w:endnote>
  <w:endnote w:id="683">
    <w:p>
      <w:pPr>
        <w:pStyle w:val="EndnoteText"/>
      </w:pPr>
      <w:r>
        <w:rPr>
          <w:rStyle w:val="EndnoteReference"/>
        </w:rPr>
        <w:endnoteRef/>
      </w:r>
      <w:r>
        <w:t xml:space="preserve"> </w:t>
      </w:r>
      <w:r>
        <w:rPr>
          <w:i/>
        </w:rPr>
        <w:t>Id</w:t>
      </w:r>
      <w:r>
        <w:t>. at 269.</w:t>
      </w:r>
    </w:p>
  </w:endnote>
  <w:endnote w:id="684">
    <w:p>
      <w:pPr>
        <w:pStyle w:val="EndnoteText"/>
      </w:pPr>
      <w:r>
        <w:rPr>
          <w:rStyle w:val="EndnoteReference"/>
        </w:rPr>
        <w:endnoteRef/>
      </w:r>
      <w:r>
        <w:t xml:space="preserve"> </w:t>
      </w:r>
      <w:r>
        <w:rPr>
          <w:i/>
        </w:rPr>
        <w:t>Id</w:t>
      </w:r>
      <w:r>
        <w:t xml:space="preserve">. </w:t>
      </w:r>
    </w:p>
  </w:endnote>
  <w:endnote w:id="685">
    <w:p>
      <w:pPr>
        <w:pStyle w:val="EndnoteText"/>
      </w:pPr>
      <w:r>
        <w:rPr>
          <w:rStyle w:val="EndnoteReference"/>
        </w:rPr>
        <w:endnoteRef/>
      </w:r>
      <w:r>
        <w:t xml:space="preserve"> </w:t>
      </w:r>
      <w:r>
        <w:rPr>
          <w:i/>
        </w:rPr>
        <w:t>Id</w:t>
      </w:r>
      <w:r>
        <w:t xml:space="preserve">. </w:t>
      </w:r>
    </w:p>
  </w:endnote>
  <w:endnote w:id="686">
    <w:p>
      <w:pPr>
        <w:pStyle w:val="EndnoteText"/>
      </w:pPr>
      <w:r>
        <w:rPr>
          <w:rStyle w:val="EndnoteReference"/>
        </w:rPr>
        <w:endnoteRef/>
      </w:r>
      <w:r>
        <w:t xml:space="preserve"> </w:t>
      </w:r>
      <w:r>
        <w:rPr>
          <w:i/>
        </w:rPr>
        <w:t>Id</w:t>
      </w:r>
      <w:r>
        <w:t xml:space="preserve">. </w:t>
      </w:r>
    </w:p>
  </w:endnote>
  <w:endnote w:id="687">
    <w:p>
      <w:pPr>
        <w:pStyle w:val="EndnoteText"/>
      </w:pPr>
      <w:r>
        <w:rPr>
          <w:rStyle w:val="EndnoteReference"/>
        </w:rPr>
        <w:endnoteRef/>
      </w:r>
      <w:r>
        <w:t xml:space="preserve"> </w:t>
      </w:r>
      <w:r>
        <w:rPr>
          <w:i/>
        </w:rPr>
        <w:t>Id</w:t>
      </w:r>
      <w:r>
        <w:t xml:space="preserve">. </w:t>
      </w:r>
    </w:p>
  </w:endnote>
  <w:endnote w:id="688">
    <w:p>
      <w:pPr>
        <w:pStyle w:val="EndnoteText"/>
      </w:pPr>
      <w:r>
        <w:rPr>
          <w:rStyle w:val="EndnoteReference"/>
        </w:rPr>
        <w:endnoteRef/>
      </w:r>
      <w:r>
        <w:t xml:space="preserve"> </w:t>
      </w:r>
      <w:r>
        <w:rPr>
          <w:i/>
        </w:rPr>
        <w:t>Id.</w:t>
      </w:r>
      <w:r>
        <w:t xml:space="preserve"> at 271.</w:t>
      </w:r>
    </w:p>
  </w:endnote>
  <w:endnote w:id="689">
    <w:p>
      <w:pPr>
        <w:pStyle w:val="EndnoteText"/>
      </w:pPr>
      <w:r>
        <w:rPr>
          <w:rStyle w:val="EndnoteReference"/>
        </w:rPr>
        <w:endnoteRef/>
      </w:r>
      <w:r>
        <w:t xml:space="preserve"> </w:t>
      </w:r>
      <w:r>
        <w:rPr>
          <w:i/>
        </w:rPr>
        <w:t>Id</w:t>
      </w:r>
      <w:r>
        <w:t>. at 271-72.</w:t>
      </w:r>
    </w:p>
  </w:endnote>
  <w:endnote w:id="690">
    <w:p>
      <w:pPr>
        <w:pStyle w:val="EndnoteText"/>
      </w:pPr>
      <w:r>
        <w:rPr>
          <w:rStyle w:val="EndnoteReference"/>
        </w:rPr>
        <w:endnoteRef/>
      </w:r>
      <w:r>
        <w:rPr>
          <w:i/>
        </w:rPr>
        <w:t xml:space="preserve"> Id</w:t>
      </w:r>
      <w:r>
        <w:t xml:space="preserve">. </w:t>
      </w:r>
    </w:p>
  </w:endnote>
  <w:endnote w:id="691">
    <w:p>
      <w:pPr>
        <w:pStyle w:val="EndnoteText"/>
      </w:pPr>
      <w:r>
        <w:rPr>
          <w:rStyle w:val="EndnoteReference"/>
        </w:rPr>
        <w:endnoteRef/>
      </w:r>
      <w:r>
        <w:t xml:space="preserve"> 730 F.3d 450 (5th Cir. 2013). </w:t>
      </w:r>
    </w:p>
  </w:endnote>
  <w:endnote w:id="692">
    <w:p>
      <w:pPr>
        <w:pStyle w:val="EndnoteText"/>
      </w:pPr>
      <w:r>
        <w:rPr>
          <w:rStyle w:val="EndnoteReference"/>
        </w:rPr>
        <w:endnoteRef/>
      </w:r>
      <w:r>
        <w:t xml:space="preserve"> </w:t>
      </w:r>
      <w:r>
        <w:rPr>
          <w:i/>
        </w:rPr>
        <w:t>Id</w:t>
      </w:r>
      <w:r>
        <w:t xml:space="preserve">. at 454. </w:t>
      </w:r>
    </w:p>
  </w:endnote>
  <w:endnote w:id="693">
    <w:p>
      <w:pPr>
        <w:pStyle w:val="EndnoteText"/>
      </w:pPr>
      <w:r>
        <w:rPr>
          <w:rStyle w:val="EndnoteReference"/>
        </w:rPr>
        <w:endnoteRef/>
      </w:r>
      <w:r>
        <w:t xml:space="preserve"> </w:t>
      </w:r>
      <w:r>
        <w:rPr>
          <w:i/>
        </w:rPr>
        <w:t>Id</w:t>
      </w:r>
      <w:r>
        <w:t xml:space="preserve">. at 453. </w:t>
      </w:r>
    </w:p>
  </w:endnote>
  <w:endnote w:id="694">
    <w:p>
      <w:pPr>
        <w:pStyle w:val="EndnoteText"/>
      </w:pPr>
      <w:r>
        <w:rPr>
          <w:rStyle w:val="EndnoteReference"/>
        </w:rPr>
        <w:endnoteRef/>
      </w:r>
      <w:r>
        <w:t xml:space="preserve"> 711 F.3d 911 (8th Cir. 2013). </w:t>
      </w:r>
    </w:p>
  </w:endnote>
  <w:endnote w:id="695">
    <w:p>
      <w:pPr>
        <w:pStyle w:val="EndnoteText"/>
      </w:pPr>
      <w:r>
        <w:rPr>
          <w:rStyle w:val="EndnoteReference"/>
        </w:rPr>
        <w:endnoteRef/>
      </w:r>
      <w:r>
        <w:t xml:space="preserve"> </w:t>
      </w:r>
      <w:r>
        <w:rPr>
          <w:i/>
        </w:rPr>
        <w:t>Id</w:t>
      </w:r>
      <w:r>
        <w:t xml:space="preserve">. at 913. </w:t>
      </w:r>
    </w:p>
  </w:endnote>
  <w:endnote w:id="696">
    <w:p>
      <w:pPr>
        <w:pStyle w:val="EndnoteText"/>
      </w:pPr>
      <w:r>
        <w:rPr>
          <w:rStyle w:val="EndnoteReference"/>
        </w:rPr>
        <w:endnoteRef/>
      </w:r>
      <w:r>
        <w:t xml:space="preserve"> </w:t>
      </w:r>
      <w:r>
        <w:rPr>
          <w:i/>
        </w:rPr>
        <w:t>Id</w:t>
      </w:r>
      <w:r>
        <w:t>. at 913, 915.</w:t>
      </w:r>
    </w:p>
  </w:endnote>
  <w:endnote w:id="697">
    <w:p>
      <w:pPr>
        <w:pStyle w:val="EndnoteText"/>
      </w:pPr>
      <w:r>
        <w:rPr>
          <w:rStyle w:val="EndnoteReference"/>
        </w:rPr>
        <w:endnoteRef/>
      </w:r>
      <w:r>
        <w:t xml:space="preserve"> </w:t>
      </w:r>
      <w:r>
        <w:rPr>
          <w:i/>
        </w:rPr>
        <w:t>Id</w:t>
      </w:r>
      <w:r>
        <w:t>. at 913.</w:t>
      </w:r>
    </w:p>
  </w:endnote>
  <w:endnote w:id="698">
    <w:p>
      <w:pPr>
        <w:pStyle w:val="EndnoteText"/>
      </w:pPr>
      <w:r>
        <w:rPr>
          <w:rStyle w:val="EndnoteReference"/>
        </w:rPr>
        <w:endnoteRef/>
      </w:r>
      <w:r>
        <w:t xml:space="preserve"> </w:t>
      </w:r>
      <w:r>
        <w:rPr>
          <w:i/>
        </w:rPr>
        <w:t>Id</w:t>
      </w:r>
      <w:r>
        <w:t xml:space="preserve">. </w:t>
      </w:r>
    </w:p>
  </w:endnote>
  <w:endnote w:id="699">
    <w:p>
      <w:pPr>
        <w:pStyle w:val="EndnoteText"/>
      </w:pPr>
      <w:r>
        <w:rPr>
          <w:rStyle w:val="EndnoteReference"/>
        </w:rPr>
        <w:endnoteRef/>
      </w:r>
      <w:r>
        <w:t xml:space="preserve"> </w:t>
      </w:r>
      <w:r>
        <w:rPr>
          <w:i/>
        </w:rPr>
        <w:t>Id</w:t>
      </w:r>
      <w:r>
        <w:t xml:space="preserve">. </w:t>
      </w:r>
    </w:p>
  </w:endnote>
  <w:endnote w:id="700">
    <w:p>
      <w:pPr>
        <w:pStyle w:val="EndnoteText"/>
      </w:pPr>
      <w:r>
        <w:rPr>
          <w:rStyle w:val="EndnoteReference"/>
        </w:rPr>
        <w:endnoteRef/>
      </w:r>
      <w:r>
        <w:t xml:space="preserve"> </w:t>
      </w:r>
      <w:r>
        <w:rPr>
          <w:i/>
        </w:rPr>
        <w:t>Id</w:t>
      </w:r>
      <w:r>
        <w:t>. at 914-15, 917.</w:t>
      </w:r>
    </w:p>
  </w:endnote>
  <w:endnote w:id="701">
    <w:p>
      <w:pPr>
        <w:pStyle w:val="EndnoteText"/>
      </w:pPr>
      <w:r>
        <w:rPr>
          <w:rStyle w:val="EndnoteReference"/>
        </w:rPr>
        <w:endnoteRef/>
      </w:r>
      <w:r>
        <w:t xml:space="preserve"> </w:t>
      </w:r>
      <w:r>
        <w:rPr>
          <w:i/>
        </w:rPr>
        <w:t>Id</w:t>
      </w:r>
      <w:r>
        <w:t xml:space="preserve">. </w:t>
      </w:r>
    </w:p>
  </w:endnote>
  <w:endnote w:id="702">
    <w:p>
      <w:pPr>
        <w:pStyle w:val="EndnoteText"/>
      </w:pPr>
      <w:r>
        <w:rPr>
          <w:rStyle w:val="EndnoteReference"/>
        </w:rPr>
        <w:endnoteRef/>
      </w:r>
      <w:r>
        <w:t xml:space="preserve"> 938 F. Supp. 2d 573 (E.D. N.C. 2013). </w:t>
      </w:r>
    </w:p>
  </w:endnote>
  <w:endnote w:id="703">
    <w:p>
      <w:pPr>
        <w:pStyle w:val="EndnoteText"/>
      </w:pPr>
      <w:r>
        <w:rPr>
          <w:rStyle w:val="EndnoteReference"/>
        </w:rPr>
        <w:endnoteRef/>
      </w:r>
      <w:r>
        <w:t xml:space="preserve"> </w:t>
      </w:r>
      <w:r>
        <w:rPr>
          <w:i/>
        </w:rPr>
        <w:t>Id</w:t>
      </w:r>
      <w:r>
        <w:t xml:space="preserve">. at 580. </w:t>
      </w:r>
    </w:p>
  </w:endnote>
  <w:endnote w:id="704">
    <w:p>
      <w:pPr>
        <w:pStyle w:val="EndnoteText"/>
      </w:pPr>
      <w:r>
        <w:rPr>
          <w:rStyle w:val="EndnoteReference"/>
        </w:rPr>
        <w:endnoteRef/>
      </w:r>
      <w:r>
        <w:t xml:space="preserve"> </w:t>
      </w:r>
      <w:r>
        <w:rPr>
          <w:i/>
        </w:rPr>
        <w:t>Id</w:t>
      </w:r>
      <w:r>
        <w:t>. at 576.</w:t>
      </w:r>
    </w:p>
  </w:endnote>
  <w:endnote w:id="705">
    <w:p>
      <w:pPr>
        <w:pStyle w:val="EndnoteText"/>
      </w:pPr>
      <w:r>
        <w:rPr>
          <w:rStyle w:val="EndnoteReference"/>
        </w:rPr>
        <w:endnoteRef/>
      </w:r>
      <w:r>
        <w:t xml:space="preserve"> </w:t>
      </w:r>
      <w:r>
        <w:rPr>
          <w:i/>
        </w:rPr>
        <w:t>Id</w:t>
      </w:r>
      <w:r>
        <w:t xml:space="preserve">. </w:t>
      </w:r>
    </w:p>
  </w:endnote>
  <w:endnote w:id="706">
    <w:p>
      <w:pPr>
        <w:pStyle w:val="EndnoteText"/>
      </w:pPr>
      <w:r>
        <w:rPr>
          <w:rStyle w:val="EndnoteReference"/>
        </w:rPr>
        <w:endnoteRef/>
      </w:r>
      <w:r>
        <w:t xml:space="preserve"> </w:t>
      </w:r>
      <w:r>
        <w:rPr>
          <w:i/>
        </w:rPr>
        <w:t>Id</w:t>
      </w:r>
      <w:r>
        <w:t xml:space="preserve">. </w:t>
      </w:r>
    </w:p>
  </w:endnote>
  <w:endnote w:id="707">
    <w:p>
      <w:pPr>
        <w:pStyle w:val="EndnoteText"/>
      </w:pPr>
      <w:r>
        <w:rPr>
          <w:rStyle w:val="EndnoteReference"/>
        </w:rPr>
        <w:endnoteRef/>
      </w:r>
      <w:r>
        <w:t xml:space="preserve"> </w:t>
      </w:r>
      <w:r>
        <w:rPr>
          <w:i/>
        </w:rPr>
        <w:t>Id</w:t>
      </w:r>
      <w:r>
        <w:t>. at 576-77.</w:t>
      </w:r>
    </w:p>
  </w:endnote>
  <w:endnote w:id="708">
    <w:p>
      <w:pPr>
        <w:pStyle w:val="EndnoteText"/>
      </w:pPr>
      <w:r>
        <w:rPr>
          <w:rStyle w:val="EndnoteReference"/>
        </w:rPr>
        <w:endnoteRef/>
      </w:r>
      <w:r>
        <w:t xml:space="preserve"> </w:t>
      </w:r>
      <w:r>
        <w:rPr>
          <w:i/>
        </w:rPr>
        <w:t>Id</w:t>
      </w:r>
      <w:r>
        <w:t>. at 577.</w:t>
      </w:r>
    </w:p>
  </w:endnote>
  <w:endnote w:id="709">
    <w:p>
      <w:pPr>
        <w:pStyle w:val="EndnoteText"/>
      </w:pPr>
      <w:r>
        <w:rPr>
          <w:rStyle w:val="EndnoteReference"/>
        </w:rPr>
        <w:endnoteRef/>
      </w:r>
      <w:r>
        <w:t xml:space="preserve"> </w:t>
      </w:r>
      <w:r>
        <w:rPr>
          <w:i/>
        </w:rPr>
        <w:t>Id</w:t>
      </w:r>
      <w:r>
        <w:t>. at 579-580.</w:t>
      </w:r>
    </w:p>
  </w:endnote>
  <w:endnote w:id="710">
    <w:p>
      <w:pPr>
        <w:pStyle w:val="EndnoteText"/>
      </w:pPr>
      <w:r>
        <w:rPr>
          <w:rStyle w:val="EndnoteReference"/>
        </w:rPr>
        <w:endnoteRef/>
      </w:r>
      <w:r>
        <w:t xml:space="preserve"> </w:t>
      </w:r>
      <w:r>
        <w:rPr>
          <w:i/>
        </w:rPr>
        <w:t>Id</w:t>
      </w:r>
      <w:r>
        <w:t xml:space="preserve">. </w:t>
      </w:r>
    </w:p>
  </w:endnote>
  <w:endnote w:id="711">
    <w:p>
      <w:pPr>
        <w:pStyle w:val="EndnoteText"/>
      </w:pPr>
      <w:r>
        <w:rPr>
          <w:rStyle w:val="EndnoteReference"/>
        </w:rPr>
        <w:endnoteRef/>
      </w:r>
      <w:r>
        <w:t xml:space="preserve"> 735 F.3d 242 (5th Cir. 2013). </w:t>
      </w:r>
    </w:p>
  </w:endnote>
  <w:endnote w:id="712">
    <w:p>
      <w:pPr>
        <w:pStyle w:val="EndnoteText"/>
      </w:pPr>
      <w:r>
        <w:rPr>
          <w:rStyle w:val="EndnoteReference"/>
        </w:rPr>
        <w:endnoteRef/>
      </w:r>
      <w:r>
        <w:t xml:space="preserve"> </w:t>
      </w:r>
      <w:r>
        <w:rPr>
          <w:i/>
        </w:rPr>
        <w:t>Id</w:t>
      </w:r>
      <w:r>
        <w:t xml:space="preserve">. at 244-45. </w:t>
      </w:r>
    </w:p>
  </w:endnote>
  <w:endnote w:id="713">
    <w:p>
      <w:pPr>
        <w:pStyle w:val="EndnoteText"/>
      </w:pPr>
      <w:r>
        <w:rPr>
          <w:rStyle w:val="EndnoteReference"/>
        </w:rPr>
        <w:endnoteRef/>
      </w:r>
      <w:r>
        <w:t xml:space="preserve"> </w:t>
      </w:r>
      <w:r>
        <w:rPr>
          <w:i/>
        </w:rPr>
        <w:t>Id</w:t>
      </w:r>
      <w:r>
        <w:t>. at 244-45, 247.</w:t>
      </w:r>
    </w:p>
  </w:endnote>
  <w:endnote w:id="714">
    <w:p>
      <w:pPr>
        <w:pStyle w:val="EndnoteText"/>
      </w:pPr>
      <w:r>
        <w:rPr>
          <w:rStyle w:val="EndnoteReference"/>
        </w:rPr>
        <w:endnoteRef/>
      </w:r>
      <w:r>
        <w:t xml:space="preserve"> </w:t>
      </w:r>
      <w:r>
        <w:rPr>
          <w:i/>
        </w:rPr>
        <w:t>Id</w:t>
      </w:r>
      <w:r>
        <w:t>. at 244.</w:t>
      </w:r>
    </w:p>
  </w:endnote>
  <w:endnote w:id="715">
    <w:p>
      <w:pPr>
        <w:pStyle w:val="EndnoteText"/>
      </w:pPr>
      <w:r>
        <w:rPr>
          <w:rStyle w:val="EndnoteReference"/>
        </w:rPr>
        <w:endnoteRef/>
      </w:r>
      <w:r>
        <w:t xml:space="preserve"> </w:t>
      </w:r>
      <w:r>
        <w:rPr>
          <w:i/>
        </w:rPr>
        <w:t>Id</w:t>
      </w:r>
      <w:r>
        <w:t xml:space="preserve">. </w:t>
      </w:r>
    </w:p>
  </w:endnote>
  <w:endnote w:id="716">
    <w:p>
      <w:pPr>
        <w:pStyle w:val="EndnoteText"/>
      </w:pPr>
      <w:r>
        <w:rPr>
          <w:rStyle w:val="EndnoteReference"/>
        </w:rPr>
        <w:endnoteRef/>
      </w:r>
      <w:r>
        <w:t xml:space="preserve"> </w:t>
      </w:r>
      <w:r>
        <w:rPr>
          <w:i/>
        </w:rPr>
        <w:t>Id</w:t>
      </w:r>
      <w:r>
        <w:t>. at 245-46.</w:t>
      </w:r>
    </w:p>
  </w:endnote>
  <w:endnote w:id="717">
    <w:p>
      <w:pPr>
        <w:pStyle w:val="EndnoteText"/>
      </w:pPr>
      <w:r>
        <w:rPr>
          <w:rStyle w:val="EndnoteReference"/>
        </w:rPr>
        <w:endnoteRef/>
      </w:r>
      <w:r>
        <w:t xml:space="preserve"> 517 Fed. Appx. 190 (4th Cir. 2013). </w:t>
      </w:r>
    </w:p>
  </w:endnote>
  <w:endnote w:id="718">
    <w:p>
      <w:pPr>
        <w:pStyle w:val="EndnoteText"/>
      </w:pPr>
      <w:r>
        <w:rPr>
          <w:rStyle w:val="EndnoteReference"/>
        </w:rPr>
        <w:endnoteRef/>
      </w:r>
      <w:r>
        <w:t xml:space="preserve"> </w:t>
      </w:r>
      <w:r>
        <w:rPr>
          <w:i/>
        </w:rPr>
        <w:t>Id</w:t>
      </w:r>
      <w:r>
        <w:t>.</w:t>
      </w:r>
      <w:r>
        <w:rPr>
          <w:i/>
        </w:rPr>
        <w:t xml:space="preserve"> </w:t>
      </w:r>
      <w:r>
        <w:t xml:space="preserve">at 194. </w:t>
      </w:r>
    </w:p>
  </w:endnote>
  <w:endnote w:id="719">
    <w:p>
      <w:pPr>
        <w:pStyle w:val="EndnoteText"/>
      </w:pPr>
      <w:r>
        <w:rPr>
          <w:rStyle w:val="EndnoteReference"/>
        </w:rPr>
        <w:endnoteRef/>
      </w:r>
      <w:r>
        <w:t xml:space="preserve"> </w:t>
      </w:r>
      <w:r>
        <w:rPr>
          <w:i/>
        </w:rPr>
        <w:t>Id</w:t>
      </w:r>
      <w:r>
        <w:t>.</w:t>
      </w:r>
      <w:r>
        <w:rPr>
          <w:i/>
        </w:rPr>
        <w:t xml:space="preserve"> </w:t>
      </w:r>
      <w:r>
        <w:t>at 198.</w:t>
      </w:r>
    </w:p>
  </w:endnote>
  <w:endnote w:id="720">
    <w:p>
      <w:pPr>
        <w:pStyle w:val="EndnoteText"/>
      </w:pPr>
      <w:r>
        <w:rPr>
          <w:rStyle w:val="EndnoteReference"/>
        </w:rPr>
        <w:endnoteRef/>
      </w:r>
      <w:r>
        <w:t xml:space="preserve"> </w:t>
      </w:r>
      <w:r>
        <w:rPr>
          <w:i/>
        </w:rPr>
        <w:t>Id</w:t>
      </w:r>
      <w:r>
        <w:t>.</w:t>
      </w:r>
      <w:r>
        <w:rPr>
          <w:i/>
        </w:rPr>
        <w:t xml:space="preserve"> </w:t>
      </w:r>
      <w:r>
        <w:t>at 192.</w:t>
      </w:r>
    </w:p>
  </w:endnote>
  <w:endnote w:id="721">
    <w:p>
      <w:pPr>
        <w:pStyle w:val="EndnoteText"/>
      </w:pPr>
      <w:r>
        <w:rPr>
          <w:rStyle w:val="EndnoteReference"/>
        </w:rPr>
        <w:endnoteRef/>
      </w:r>
      <w:r>
        <w:t xml:space="preserve"> </w:t>
      </w:r>
      <w:r>
        <w:rPr>
          <w:i/>
        </w:rPr>
        <w:t>Id</w:t>
      </w:r>
      <w:r>
        <w:t>.</w:t>
      </w:r>
      <w:r>
        <w:rPr>
          <w:i/>
        </w:rPr>
        <w:t xml:space="preserve"> </w:t>
      </w:r>
    </w:p>
  </w:endnote>
  <w:endnote w:id="722">
    <w:p>
      <w:pPr>
        <w:pStyle w:val="EndnoteText"/>
      </w:pPr>
      <w:r>
        <w:rPr>
          <w:rStyle w:val="EndnoteReference"/>
        </w:rPr>
        <w:endnoteRef/>
      </w:r>
      <w:r>
        <w:t xml:space="preserve"> </w:t>
      </w:r>
      <w:r>
        <w:rPr>
          <w:i/>
        </w:rPr>
        <w:t>Id</w:t>
      </w:r>
      <w:r>
        <w:t>.</w:t>
      </w:r>
      <w:r>
        <w:rPr>
          <w:i/>
        </w:rPr>
        <w:t xml:space="preserve"> </w:t>
      </w:r>
    </w:p>
  </w:endnote>
  <w:endnote w:id="723">
    <w:p>
      <w:pPr>
        <w:pStyle w:val="EndnoteText"/>
      </w:pPr>
      <w:r>
        <w:rPr>
          <w:rStyle w:val="EndnoteReference"/>
        </w:rPr>
        <w:endnoteRef/>
      </w:r>
      <w:r>
        <w:t xml:space="preserve"> </w:t>
      </w:r>
      <w:r>
        <w:rPr>
          <w:i/>
        </w:rPr>
        <w:t>Id</w:t>
      </w:r>
      <w:r>
        <w:t>.</w:t>
      </w:r>
      <w:r>
        <w:rPr>
          <w:i/>
        </w:rPr>
        <w:t xml:space="preserve"> </w:t>
      </w:r>
      <w:r>
        <w:t>at 193.</w:t>
      </w:r>
    </w:p>
  </w:endnote>
  <w:endnote w:id="724">
    <w:p>
      <w:pPr>
        <w:pStyle w:val="EndnoteText"/>
      </w:pPr>
      <w:r>
        <w:rPr>
          <w:rStyle w:val="EndnoteReference"/>
        </w:rPr>
        <w:endnoteRef/>
      </w:r>
      <w:r>
        <w:t xml:space="preserve"> </w:t>
      </w:r>
      <w:r>
        <w:rPr>
          <w:i/>
        </w:rPr>
        <w:t>Id</w:t>
      </w:r>
      <w:r>
        <w:t>.</w:t>
      </w:r>
      <w:r>
        <w:rPr>
          <w:i/>
        </w:rPr>
        <w:t xml:space="preserve"> </w:t>
      </w:r>
      <w:r>
        <w:t xml:space="preserve">at 193, 198. </w:t>
      </w:r>
    </w:p>
  </w:endnote>
  <w:endnote w:id="725">
    <w:p>
      <w:pPr>
        <w:pStyle w:val="EndnoteText"/>
      </w:pPr>
      <w:r>
        <w:rPr>
          <w:rStyle w:val="EndnoteReference"/>
        </w:rPr>
        <w:endnoteRef/>
      </w:r>
      <w:r>
        <w:t xml:space="preserve"> </w:t>
      </w:r>
      <w:r>
        <w:rPr>
          <w:color w:val="252525"/>
        </w:rPr>
        <w:t xml:space="preserve">No. 12–704–SDD–RLB, 2014 WL 199629 (M.D. La. Jan. 15, 2014). The matter was before the court on plaintiff’s motion for new trial. While the court ultimately granted a new trial so that the correct standard for disability could be applied, the court concluded that summary judgment should still be granted in favor of defendant. </w:t>
      </w:r>
    </w:p>
  </w:endnote>
  <w:endnote w:id="726">
    <w:p>
      <w:pPr>
        <w:pStyle w:val="EndnoteText"/>
      </w:pPr>
      <w:r>
        <w:rPr>
          <w:rStyle w:val="EndnoteReference"/>
        </w:rPr>
        <w:endnoteRef/>
      </w:r>
      <w:r>
        <w:t xml:space="preserve"> </w:t>
      </w:r>
      <w:r>
        <w:rPr>
          <w:i/>
        </w:rPr>
        <w:t>Id</w:t>
      </w:r>
      <w:r>
        <w:t xml:space="preserve">. at *1, 3. </w:t>
      </w:r>
    </w:p>
  </w:endnote>
  <w:endnote w:id="727">
    <w:p>
      <w:pPr>
        <w:pStyle w:val="EndnoteText"/>
      </w:pPr>
      <w:r>
        <w:rPr>
          <w:rStyle w:val="EndnoteReference"/>
        </w:rPr>
        <w:endnoteRef/>
      </w:r>
      <w:r>
        <w:t xml:space="preserve"> </w:t>
      </w:r>
      <w:r>
        <w:rPr>
          <w:i/>
        </w:rPr>
        <w:t>Id</w:t>
      </w:r>
      <w:r>
        <w:t>.</w:t>
      </w:r>
      <w:r>
        <w:rPr>
          <w:i/>
        </w:rPr>
        <w:t xml:space="preserve"> </w:t>
      </w:r>
      <w:r>
        <w:t xml:space="preserve">at *3. </w:t>
      </w:r>
    </w:p>
  </w:endnote>
  <w:endnote w:id="728">
    <w:p>
      <w:pPr>
        <w:pStyle w:val="EndnoteText"/>
      </w:pPr>
      <w:r>
        <w:rPr>
          <w:rStyle w:val="EndnoteReference"/>
        </w:rPr>
        <w:endnoteRef/>
      </w:r>
      <w:r>
        <w:t xml:space="preserve"> 740 F.3d 325 (4th Cir. 2014). </w:t>
      </w:r>
    </w:p>
  </w:endnote>
  <w:endnote w:id="729">
    <w:p>
      <w:pPr>
        <w:pStyle w:val="EndnoteText"/>
      </w:pPr>
      <w:r>
        <w:rPr>
          <w:rStyle w:val="EndnoteReference"/>
        </w:rPr>
        <w:endnoteRef/>
      </w:r>
      <w:r>
        <w:t xml:space="preserve"> </w:t>
      </w:r>
      <w:r>
        <w:rPr>
          <w:i/>
        </w:rPr>
        <w:t>Id</w:t>
      </w:r>
      <w:r>
        <w:t xml:space="preserve">. at 329-31. </w:t>
      </w:r>
    </w:p>
  </w:endnote>
  <w:endnote w:id="730">
    <w:p>
      <w:pPr>
        <w:pStyle w:val="EndnoteText"/>
      </w:pPr>
      <w:r>
        <w:rPr>
          <w:rStyle w:val="EndnoteReference"/>
        </w:rPr>
        <w:endnoteRef/>
      </w:r>
      <w:r>
        <w:t xml:space="preserve"> </w:t>
      </w:r>
      <w:r>
        <w:rPr>
          <w:i/>
          <w:iCs/>
        </w:rPr>
        <w:t>Id</w:t>
      </w:r>
      <w:r>
        <w:rPr>
          <w:iCs/>
        </w:rPr>
        <w:t xml:space="preserve">. at 327. </w:t>
      </w:r>
    </w:p>
  </w:endnote>
  <w:endnote w:id="731">
    <w:p>
      <w:pPr>
        <w:pStyle w:val="EndnoteText"/>
      </w:pPr>
      <w:r>
        <w:rPr>
          <w:rStyle w:val="EndnoteReference"/>
        </w:rPr>
        <w:endnoteRef/>
      </w:r>
      <w:r>
        <w:t xml:space="preserve"> </w:t>
      </w:r>
      <w:r>
        <w:rPr>
          <w:i/>
          <w:iCs/>
        </w:rPr>
        <w:t>Id</w:t>
      </w:r>
      <w:r>
        <w:rPr>
          <w:iCs/>
        </w:rPr>
        <w:t xml:space="preserve">. </w:t>
      </w:r>
    </w:p>
  </w:endnote>
  <w:endnote w:id="732">
    <w:p>
      <w:pPr>
        <w:pStyle w:val="EndnoteText"/>
      </w:pPr>
      <w:r>
        <w:rPr>
          <w:rStyle w:val="EndnoteReference"/>
        </w:rPr>
        <w:endnoteRef/>
      </w:r>
      <w:r>
        <w:t xml:space="preserve"> </w:t>
      </w:r>
      <w:r>
        <w:rPr>
          <w:i/>
          <w:iCs/>
        </w:rPr>
        <w:t>Id</w:t>
      </w:r>
      <w:r>
        <w:rPr>
          <w:iCs/>
        </w:rPr>
        <w:t xml:space="preserve">. at 327-28. </w:t>
      </w:r>
    </w:p>
  </w:endnote>
  <w:endnote w:id="733">
    <w:p>
      <w:pPr>
        <w:pStyle w:val="EndnoteText"/>
      </w:pPr>
      <w:r>
        <w:rPr>
          <w:rStyle w:val="EndnoteReference"/>
        </w:rPr>
        <w:endnoteRef/>
      </w:r>
      <w:r>
        <w:t xml:space="preserve"> </w:t>
      </w:r>
      <w:r>
        <w:rPr>
          <w:i/>
          <w:iCs/>
        </w:rPr>
        <w:t>Id</w:t>
      </w:r>
      <w:r>
        <w:rPr>
          <w:iCs/>
        </w:rPr>
        <w:t>. at 328.</w:t>
      </w:r>
    </w:p>
  </w:endnote>
  <w:endnote w:id="734">
    <w:p>
      <w:pPr>
        <w:pStyle w:val="EndnoteText"/>
      </w:pPr>
      <w:r>
        <w:rPr>
          <w:rStyle w:val="EndnoteReference"/>
        </w:rPr>
        <w:endnoteRef/>
      </w:r>
      <w:r>
        <w:t xml:space="preserve"> </w:t>
      </w:r>
      <w:r>
        <w:rPr>
          <w:i/>
          <w:iCs/>
        </w:rPr>
        <w:t>Id</w:t>
      </w:r>
      <w:r>
        <w:rPr>
          <w:iCs/>
        </w:rPr>
        <w:t>. at 329-331.</w:t>
      </w:r>
    </w:p>
  </w:endnote>
  <w:endnote w:id="735">
    <w:p>
      <w:pPr>
        <w:pStyle w:val="EndnoteText"/>
      </w:pPr>
      <w:r>
        <w:rPr>
          <w:rStyle w:val="EndnoteReference"/>
        </w:rPr>
        <w:endnoteRef/>
      </w:r>
      <w:r>
        <w:t xml:space="preserve"> </w:t>
      </w:r>
      <w:r>
        <w:rPr>
          <w:i/>
          <w:iCs/>
        </w:rPr>
        <w:t>Id</w:t>
      </w:r>
      <w:r>
        <w:rPr>
          <w:iCs/>
        </w:rPr>
        <w:t xml:space="preserve">. at 329 (citing 29 C.F.R. § 1630.2). </w:t>
      </w:r>
    </w:p>
  </w:endnote>
  <w:endnote w:id="736">
    <w:p>
      <w:pPr>
        <w:pStyle w:val="EndnoteText"/>
      </w:pPr>
      <w:r>
        <w:rPr>
          <w:rStyle w:val="EndnoteReference"/>
        </w:rPr>
        <w:endnoteRef/>
      </w:r>
      <w:r>
        <w:t xml:space="preserve"> </w:t>
      </w:r>
      <w:r>
        <w:rPr>
          <w:i/>
          <w:iCs/>
        </w:rPr>
        <w:t>Id</w:t>
      </w:r>
      <w:r>
        <w:rPr>
          <w:iCs/>
        </w:rPr>
        <w:t xml:space="preserve">. </w:t>
      </w:r>
    </w:p>
  </w:endnote>
  <w:endnote w:id="737">
    <w:p>
      <w:pPr>
        <w:pStyle w:val="EndnoteText"/>
      </w:pPr>
      <w:r>
        <w:rPr>
          <w:rStyle w:val="EndnoteReference"/>
        </w:rPr>
        <w:endnoteRef/>
      </w:r>
      <w:r>
        <w:t xml:space="preserve"> </w:t>
      </w:r>
      <w:r>
        <w:rPr>
          <w:i/>
          <w:iCs/>
        </w:rPr>
        <w:t>Id</w:t>
      </w:r>
      <w:r>
        <w:rPr>
          <w:iCs/>
        </w:rPr>
        <w:t xml:space="preserve">. </w:t>
      </w:r>
    </w:p>
  </w:endnote>
  <w:endnote w:id="738">
    <w:p>
      <w:pPr>
        <w:pStyle w:val="EndnoteText"/>
      </w:pPr>
      <w:r>
        <w:rPr>
          <w:rStyle w:val="EndnoteReference"/>
        </w:rPr>
        <w:endnoteRef/>
      </w:r>
      <w:r>
        <w:t xml:space="preserve"> </w:t>
      </w:r>
      <w:r>
        <w:rPr>
          <w:i/>
        </w:rPr>
        <w:t>Nassar</w:t>
      </w:r>
      <w:r>
        <w:t xml:space="preserve">, 133 S. Ct. at 2534. </w:t>
      </w:r>
    </w:p>
  </w:endnote>
  <w:endnote w:id="739">
    <w:p>
      <w:pPr>
        <w:pStyle w:val="EndnoteText"/>
      </w:pPr>
      <w:r>
        <w:rPr>
          <w:rStyle w:val="EndnoteReference"/>
        </w:rPr>
        <w:endnoteRef/>
      </w:r>
      <w:r>
        <w:t xml:space="preserve"> </w:t>
      </w:r>
      <w:r>
        <w:rPr>
          <w:color w:val="252525"/>
        </w:rPr>
        <w:t xml:space="preserve">No. 3:11–CV–01407–SI, 2013 WL 5636718 (D. Or. Oct. 15, 2013). </w:t>
      </w:r>
    </w:p>
  </w:endnote>
  <w:endnote w:id="740">
    <w:p>
      <w:pPr>
        <w:pStyle w:val="EndnoteText"/>
      </w:pPr>
      <w:r>
        <w:rPr>
          <w:rStyle w:val="EndnoteReference"/>
        </w:rPr>
        <w:endnoteRef/>
      </w:r>
      <w:r>
        <w:t xml:space="preserve"> </w:t>
      </w:r>
      <w:r>
        <w:rPr>
          <w:i/>
        </w:rPr>
        <w:t>Id</w:t>
      </w:r>
      <w:r>
        <w:t xml:space="preserve">. at *3. </w:t>
      </w:r>
    </w:p>
  </w:endnote>
  <w:endnote w:id="741">
    <w:p>
      <w:pPr>
        <w:pStyle w:val="EndnoteText"/>
      </w:pPr>
      <w:r>
        <w:rPr>
          <w:rStyle w:val="EndnoteReference"/>
        </w:rPr>
        <w:endnoteRef/>
      </w:r>
      <w:r>
        <w:t xml:space="preserve"> </w:t>
      </w:r>
      <w:r>
        <w:rPr>
          <w:i/>
        </w:rPr>
        <w:t>Id</w:t>
      </w:r>
      <w:r>
        <w:t xml:space="preserve">. </w:t>
      </w:r>
    </w:p>
  </w:endnote>
  <w:endnote w:id="742">
    <w:p>
      <w:pPr>
        <w:pStyle w:val="EndnoteText"/>
      </w:pPr>
      <w:r>
        <w:rPr>
          <w:rStyle w:val="EndnoteReference"/>
        </w:rPr>
        <w:endnoteRef/>
      </w:r>
      <w:r>
        <w:t xml:space="preserve"> </w:t>
      </w:r>
      <w:r>
        <w:rPr>
          <w:i/>
        </w:rPr>
        <w:t>Id</w:t>
      </w:r>
      <w:r>
        <w:t xml:space="preserve">. </w:t>
      </w:r>
    </w:p>
  </w:endnote>
  <w:endnote w:id="743">
    <w:p>
      <w:pPr>
        <w:pStyle w:val="EndnoteText"/>
      </w:pPr>
      <w:r>
        <w:rPr>
          <w:vertAlign w:val="superscript"/>
        </w:rPr>
        <w:endnoteRef/>
      </w:r>
      <w:r>
        <w:t xml:space="preserve"> U.S. Equal Employment Opportunity Commission Strategic Enforcement Plan FY 2013-2016.  http://www.eeoc.gov/eeoc/ plan/sep.cfm.</w:t>
      </w:r>
    </w:p>
  </w:endnote>
  <w:endnote w:id="744">
    <w:p>
      <w:pPr>
        <w:pStyle w:val="EndnoteText"/>
      </w:pPr>
      <w:r>
        <w:rPr>
          <w:rStyle w:val="EndnoteReference"/>
        </w:rPr>
        <w:endnoteRef/>
      </w:r>
      <w:r>
        <w:t xml:space="preserve"> </w:t>
      </w:r>
      <w:r>
        <w:rPr>
          <w:color w:val="252525"/>
        </w:rPr>
        <w:t xml:space="preserve">No. 11–5718, 2013 WL 961625 (E.D. Penn. March 13, 2013). </w:t>
      </w:r>
    </w:p>
  </w:endnote>
  <w:endnote w:id="745">
    <w:p>
      <w:pPr>
        <w:pStyle w:val="EndnoteText"/>
      </w:pPr>
      <w:r>
        <w:rPr>
          <w:rStyle w:val="EndnoteReference"/>
        </w:rPr>
        <w:endnoteRef/>
      </w:r>
      <w:r>
        <w:t xml:space="preserve"> </w:t>
      </w:r>
      <w:r>
        <w:rPr>
          <w:i/>
        </w:rPr>
        <w:t>Id</w:t>
      </w:r>
      <w:r>
        <w:t xml:space="preserve">. at *4. </w:t>
      </w:r>
    </w:p>
  </w:endnote>
  <w:endnote w:id="746">
    <w:p>
      <w:pPr>
        <w:pStyle w:val="EndnoteText"/>
      </w:pPr>
      <w:r>
        <w:rPr>
          <w:rStyle w:val="EndnoteReference"/>
        </w:rPr>
        <w:endnoteRef/>
      </w:r>
      <w:r>
        <w:t xml:space="preserve"> </w:t>
      </w:r>
      <w:r>
        <w:rPr>
          <w:i/>
        </w:rPr>
        <w:t>Id</w:t>
      </w:r>
      <w:r>
        <w:t xml:space="preserve">. at *3. </w:t>
      </w:r>
    </w:p>
  </w:endnote>
  <w:endnote w:id="747">
    <w:p>
      <w:pPr>
        <w:pStyle w:val="EndnoteText"/>
      </w:pPr>
      <w:r>
        <w:rPr>
          <w:rStyle w:val="EndnoteReference"/>
        </w:rPr>
        <w:endnoteRef/>
      </w:r>
      <w:r>
        <w:t xml:space="preserve"> </w:t>
      </w:r>
      <w:r>
        <w:rPr>
          <w:i/>
        </w:rPr>
        <w:t>Id</w:t>
      </w:r>
      <w:r>
        <w:t xml:space="preserve">. at *4-5. </w:t>
      </w:r>
    </w:p>
  </w:endnote>
  <w:endnote w:id="748">
    <w:p>
      <w:pPr>
        <w:pStyle w:val="EndnoteText"/>
      </w:pPr>
      <w:r>
        <w:rPr>
          <w:rStyle w:val="EndnoteReference"/>
        </w:rPr>
        <w:endnoteRef/>
      </w:r>
      <w:r>
        <w:t xml:space="preserve"> 543 Fed. Appx. 343 (4th Cir. 2013). </w:t>
      </w:r>
    </w:p>
  </w:endnote>
  <w:endnote w:id="749">
    <w:p>
      <w:pPr>
        <w:pStyle w:val="EndnoteText"/>
      </w:pPr>
      <w:r>
        <w:rPr>
          <w:rStyle w:val="EndnoteReference"/>
        </w:rPr>
        <w:endnoteRef/>
      </w:r>
      <w:r>
        <w:t xml:space="preserve"> </w:t>
      </w:r>
      <w:r>
        <w:rPr>
          <w:i/>
        </w:rPr>
        <w:t>Id</w:t>
      </w:r>
      <w:r>
        <w:t xml:space="preserve">. at 344-45. </w:t>
      </w:r>
    </w:p>
  </w:endnote>
  <w:endnote w:id="750">
    <w:p>
      <w:pPr>
        <w:pStyle w:val="EndnoteText"/>
      </w:pPr>
      <w:r>
        <w:rPr>
          <w:rStyle w:val="EndnoteReference"/>
        </w:rPr>
        <w:endnoteRef/>
      </w:r>
      <w:r>
        <w:t xml:space="preserve"> </w:t>
      </w:r>
      <w:r>
        <w:rPr>
          <w:i/>
        </w:rPr>
        <w:t>Id</w:t>
      </w:r>
      <w:r>
        <w:t>. at 346.</w:t>
      </w:r>
    </w:p>
  </w:endnote>
  <w:endnote w:id="751">
    <w:p>
      <w:pPr>
        <w:pStyle w:val="EndnoteText"/>
      </w:pPr>
      <w:r>
        <w:rPr>
          <w:rStyle w:val="EndnoteReference"/>
        </w:rPr>
        <w:endnoteRef/>
      </w:r>
      <w:r>
        <w:t xml:space="preserve"> </w:t>
      </w:r>
      <w:r>
        <w:rPr>
          <w:i/>
        </w:rPr>
        <w:t>Id</w:t>
      </w:r>
      <w:r>
        <w:t xml:space="preserve">. </w:t>
      </w:r>
    </w:p>
  </w:endnote>
  <w:endnote w:id="752">
    <w:p>
      <w:pPr>
        <w:pStyle w:val="EndnoteText"/>
      </w:pPr>
      <w:r>
        <w:rPr>
          <w:rStyle w:val="EndnoteReference"/>
        </w:rPr>
        <w:endnoteRef/>
      </w:r>
      <w:r>
        <w:t xml:space="preserve"> </w:t>
      </w:r>
      <w:r>
        <w:rPr>
          <w:i/>
        </w:rPr>
        <w:t>Id</w:t>
      </w:r>
      <w:r>
        <w:t>. at 349.</w:t>
      </w:r>
    </w:p>
  </w:endnote>
  <w:endnote w:id="753">
    <w:p>
      <w:pPr>
        <w:pStyle w:val="EndnoteText"/>
      </w:pPr>
      <w:r>
        <w:rPr>
          <w:rStyle w:val="EndnoteReference"/>
        </w:rPr>
        <w:endnoteRef/>
      </w:r>
      <w:r>
        <w:t xml:space="preserve"> </w:t>
      </w:r>
      <w:r>
        <w:rPr>
          <w:i/>
        </w:rPr>
        <w:t>Id</w:t>
      </w:r>
      <w:r>
        <w:t>. at 347-48.</w:t>
      </w:r>
    </w:p>
  </w:endnote>
  <w:endnote w:id="754">
    <w:p>
      <w:pPr>
        <w:pStyle w:val="EndnoteText"/>
      </w:pPr>
      <w:r>
        <w:rPr>
          <w:rStyle w:val="EndnoteReference"/>
        </w:rPr>
        <w:endnoteRef/>
      </w:r>
      <w:r>
        <w:t xml:space="preserve"> </w:t>
      </w:r>
      <w:r>
        <w:rPr>
          <w:color w:val="252525"/>
        </w:rPr>
        <w:t xml:space="preserve">No. 11–11928, 2013 WL 1629207 (E.D. Mich. 2013). </w:t>
      </w:r>
    </w:p>
  </w:endnote>
  <w:endnote w:id="755">
    <w:p>
      <w:pPr>
        <w:pStyle w:val="EndnoteText"/>
      </w:pPr>
      <w:r>
        <w:rPr>
          <w:rStyle w:val="EndnoteReference"/>
        </w:rPr>
        <w:endnoteRef/>
      </w:r>
      <w:r>
        <w:t xml:space="preserve"> </w:t>
      </w:r>
      <w:r>
        <w:rPr>
          <w:i/>
        </w:rPr>
        <w:t>Id</w:t>
      </w:r>
      <w:r>
        <w:t xml:space="preserve">. at *1. </w:t>
      </w:r>
    </w:p>
  </w:endnote>
  <w:endnote w:id="756">
    <w:p>
      <w:pPr>
        <w:pStyle w:val="EndnoteText"/>
      </w:pPr>
      <w:r>
        <w:rPr>
          <w:rStyle w:val="EndnoteReference"/>
        </w:rPr>
        <w:endnoteRef/>
      </w:r>
      <w:r>
        <w:t xml:space="preserve"> </w:t>
      </w:r>
      <w:r>
        <w:rPr>
          <w:i/>
        </w:rPr>
        <w:t>Id.</w:t>
      </w:r>
    </w:p>
  </w:endnote>
  <w:endnote w:id="757">
    <w:p>
      <w:pPr>
        <w:pStyle w:val="EndnoteText"/>
      </w:pPr>
      <w:r>
        <w:rPr>
          <w:rStyle w:val="EndnoteReference"/>
        </w:rPr>
        <w:endnoteRef/>
      </w:r>
      <w:r>
        <w:t xml:space="preserve"> </w:t>
      </w:r>
      <w:r>
        <w:rPr>
          <w:i/>
        </w:rPr>
        <w:t>Id</w:t>
      </w:r>
      <w:r>
        <w:t xml:space="preserve">. at *2. </w:t>
      </w:r>
    </w:p>
  </w:endnote>
  <w:endnote w:id="758">
    <w:p>
      <w:pPr>
        <w:pStyle w:val="EndnoteText"/>
      </w:pPr>
      <w:r>
        <w:rPr>
          <w:rStyle w:val="EndnoteReference"/>
        </w:rPr>
        <w:endnoteRef/>
      </w:r>
      <w:r>
        <w:t xml:space="preserve"> </w:t>
      </w:r>
      <w:r>
        <w:rPr>
          <w:i/>
        </w:rPr>
        <w:t xml:space="preserve">Id. </w:t>
      </w:r>
      <w:r>
        <w:t xml:space="preserve">at *2. </w:t>
      </w:r>
    </w:p>
  </w:endnote>
  <w:endnote w:id="759">
    <w:p>
      <w:pPr>
        <w:pStyle w:val="EndnoteText"/>
      </w:pPr>
      <w:r>
        <w:rPr>
          <w:rStyle w:val="EndnoteReference"/>
        </w:rPr>
        <w:endnoteRef/>
      </w:r>
      <w:r>
        <w:t xml:space="preserve"> </w:t>
      </w:r>
      <w:r>
        <w:rPr>
          <w:i/>
        </w:rPr>
        <w:t>Id</w:t>
      </w:r>
      <w:r>
        <w:t xml:space="preserve">. at *7. </w:t>
      </w:r>
    </w:p>
  </w:endnote>
  <w:endnote w:id="760">
    <w:p>
      <w:pPr>
        <w:pStyle w:val="EndnoteText"/>
      </w:pPr>
      <w:r>
        <w:rPr>
          <w:rStyle w:val="EndnoteReference"/>
        </w:rPr>
        <w:endnoteRef/>
      </w:r>
      <w:r>
        <w:t xml:space="preserve"> 133 S. Ct. 1523 (2013). </w:t>
      </w:r>
    </w:p>
  </w:endnote>
  <w:endnote w:id="761">
    <w:p>
      <w:pPr>
        <w:pStyle w:val="EndnoteText"/>
      </w:pPr>
      <w:r>
        <w:rPr>
          <w:rStyle w:val="EndnoteReference"/>
        </w:rPr>
        <w:endnoteRef/>
      </w:r>
      <w:r>
        <w:t xml:space="preserve"> </w:t>
      </w:r>
      <w:r>
        <w:rPr>
          <w:i/>
        </w:rPr>
        <w:t>Id</w:t>
      </w:r>
      <w:r>
        <w:t xml:space="preserve">. at 1527. </w:t>
      </w:r>
    </w:p>
  </w:endnote>
  <w:endnote w:id="762">
    <w:p>
      <w:pPr>
        <w:pStyle w:val="EndnoteText"/>
      </w:pPr>
      <w:r>
        <w:rPr>
          <w:rStyle w:val="EndnoteReference"/>
        </w:rPr>
        <w:endnoteRef/>
      </w:r>
      <w:r>
        <w:t xml:space="preserve"> </w:t>
      </w:r>
      <w:r>
        <w:rPr>
          <w:i/>
        </w:rPr>
        <w:t>Id</w:t>
      </w:r>
      <w:r>
        <w:t xml:space="preserve">. </w:t>
      </w:r>
    </w:p>
  </w:endnote>
  <w:endnote w:id="763">
    <w:p>
      <w:pPr>
        <w:pStyle w:val="EndnoteText"/>
      </w:pPr>
      <w:r>
        <w:rPr>
          <w:rStyle w:val="EndnoteReference"/>
        </w:rPr>
        <w:endnoteRef/>
      </w:r>
      <w:r>
        <w:t xml:space="preserve"> </w:t>
      </w:r>
      <w:r>
        <w:rPr>
          <w:i/>
        </w:rPr>
        <w:t>Id</w:t>
      </w:r>
      <w:r>
        <w:t>. at 1532.</w:t>
      </w:r>
    </w:p>
  </w:endnote>
  <w:endnote w:id="764">
    <w:p>
      <w:pPr>
        <w:pStyle w:val="EndnoteText"/>
      </w:pPr>
      <w:r>
        <w:rPr>
          <w:rStyle w:val="EndnoteReference"/>
        </w:rPr>
        <w:endnoteRef/>
      </w:r>
      <w:r>
        <w:t xml:space="preserve"> </w:t>
      </w:r>
      <w:r>
        <w:rPr>
          <w:i/>
        </w:rPr>
        <w:t>Id</w:t>
      </w:r>
      <w:r>
        <w:t xml:space="preserve">. at 1527. </w:t>
      </w:r>
    </w:p>
  </w:endnote>
  <w:endnote w:id="765">
    <w:p>
      <w:pPr>
        <w:pStyle w:val="EndnoteText"/>
      </w:pPr>
      <w:r>
        <w:rPr>
          <w:rStyle w:val="EndnoteReference"/>
        </w:rPr>
        <w:endnoteRef/>
      </w:r>
      <w:r>
        <w:t xml:space="preserve"> </w:t>
      </w:r>
      <w:r>
        <w:rPr>
          <w:i/>
        </w:rPr>
        <w:t>Id</w:t>
      </w:r>
      <w:r>
        <w:t xml:space="preserve">. </w:t>
      </w:r>
    </w:p>
  </w:endnote>
  <w:endnote w:id="766">
    <w:p>
      <w:pPr>
        <w:pStyle w:val="EndnoteText"/>
      </w:pPr>
      <w:r>
        <w:rPr>
          <w:rStyle w:val="EndnoteReference"/>
        </w:rPr>
        <w:endnoteRef/>
      </w:r>
      <w:r>
        <w:t xml:space="preserve"> </w:t>
      </w:r>
      <w:r>
        <w:rPr>
          <w:i/>
        </w:rPr>
        <w:t>Id</w:t>
      </w:r>
      <w:r>
        <w:t xml:space="preserve">. </w:t>
      </w:r>
    </w:p>
  </w:endnote>
  <w:endnote w:id="767">
    <w:p>
      <w:pPr>
        <w:pStyle w:val="EndnoteText"/>
      </w:pPr>
      <w:r>
        <w:rPr>
          <w:rStyle w:val="EndnoteReference"/>
        </w:rPr>
        <w:endnoteRef/>
      </w:r>
      <w:r>
        <w:t xml:space="preserve"> </w:t>
      </w:r>
      <w:r>
        <w:rPr>
          <w:i/>
        </w:rPr>
        <w:t>Id</w:t>
      </w:r>
      <w:r>
        <w:t>. at 1529.</w:t>
      </w:r>
    </w:p>
  </w:endnote>
  <w:endnote w:id="768">
    <w:p>
      <w:pPr>
        <w:pStyle w:val="EndnoteText"/>
      </w:pPr>
      <w:r>
        <w:rPr>
          <w:rStyle w:val="EndnoteReference"/>
        </w:rPr>
        <w:endnoteRef/>
      </w:r>
      <w:r>
        <w:t xml:space="preserve"> </w:t>
      </w:r>
      <w:r>
        <w:rPr>
          <w:i/>
        </w:rPr>
        <w:t>Id</w:t>
      </w:r>
      <w:r>
        <w:t xml:space="preserve">. at 1530-31. </w:t>
      </w:r>
    </w:p>
  </w:endnote>
  <w:endnote w:id="769">
    <w:p>
      <w:pPr>
        <w:pStyle w:val="EndnoteText"/>
      </w:pPr>
      <w:r>
        <w:rPr>
          <w:rStyle w:val="EndnoteReference"/>
        </w:rPr>
        <w:endnoteRef/>
      </w:r>
      <w:r>
        <w:t xml:space="preserve"> </w:t>
      </w:r>
      <w:r>
        <w:rPr>
          <w:i/>
        </w:rPr>
        <w:t>Id</w:t>
      </w:r>
      <w:r>
        <w:t xml:space="preserve">. </w:t>
      </w:r>
    </w:p>
  </w:endnote>
  <w:endnote w:id="770">
    <w:p>
      <w:pPr>
        <w:pStyle w:val="EndnoteText"/>
      </w:pPr>
      <w:r>
        <w:rPr>
          <w:rStyle w:val="EndnoteReference"/>
        </w:rPr>
        <w:endnoteRef/>
      </w:r>
      <w:r>
        <w:t xml:space="preserve"> </w:t>
      </w:r>
      <w:r>
        <w:rPr>
          <w:i/>
        </w:rPr>
        <w:t>Id</w:t>
      </w:r>
      <w:r>
        <w:t xml:space="preserve">. at 1529. </w:t>
      </w:r>
    </w:p>
  </w:endnote>
  <w:endnote w:id="771">
    <w:p>
      <w:pPr>
        <w:pStyle w:val="EndnoteText"/>
      </w:pPr>
      <w:r>
        <w:rPr>
          <w:rStyle w:val="EndnoteReference"/>
        </w:rPr>
        <w:endnoteRef/>
      </w:r>
      <w:r>
        <w:t xml:space="preserve"> </w:t>
      </w:r>
      <w:r>
        <w:rPr>
          <w:i/>
        </w:rPr>
        <w:t>Id</w:t>
      </w:r>
      <w:r>
        <w:t xml:space="preserve">. </w:t>
      </w:r>
    </w:p>
  </w:endnote>
  <w:endnote w:id="772">
    <w:p>
      <w:pPr>
        <w:pStyle w:val="EndnoteText"/>
      </w:pPr>
      <w:r>
        <w:rPr>
          <w:rStyle w:val="EndnoteReference"/>
        </w:rPr>
        <w:endnoteRef/>
      </w:r>
      <w:r>
        <w:t xml:space="preserve"> </w:t>
      </w:r>
      <w:r>
        <w:rPr>
          <w:i/>
        </w:rPr>
        <w:t>Id</w:t>
      </w:r>
      <w:r>
        <w:t xml:space="preserve">. at 1527. </w:t>
      </w:r>
    </w:p>
  </w:endnote>
  <w:endnote w:id="773">
    <w:p>
      <w:pPr>
        <w:pStyle w:val="EndnoteText"/>
      </w:pPr>
      <w:r>
        <w:rPr>
          <w:rStyle w:val="EndnoteReference"/>
        </w:rPr>
        <w:endnoteRef/>
      </w:r>
      <w:r>
        <w:t xml:space="preserve"> </w:t>
      </w:r>
      <w:r>
        <w:rPr>
          <w:i/>
        </w:rPr>
        <w:t>Id</w:t>
      </w:r>
      <w:r>
        <w:t xml:space="preserve">. </w:t>
      </w:r>
    </w:p>
  </w:endnote>
  <w:endnote w:id="774">
    <w:p>
      <w:pPr>
        <w:pStyle w:val="EndnoteText"/>
      </w:pPr>
      <w:r>
        <w:rPr>
          <w:rStyle w:val="EndnoteReference"/>
        </w:rPr>
        <w:endnoteRef/>
      </w:r>
      <w:r>
        <w:t xml:space="preserve"> </w:t>
      </w:r>
      <w:r>
        <w:rPr>
          <w:i/>
        </w:rPr>
        <w:t>Id</w:t>
      </w:r>
      <w:r>
        <w:t>.</w:t>
      </w:r>
      <w:r>
        <w:rPr>
          <w:i/>
        </w:rPr>
        <w:t xml:space="preserve"> </w:t>
      </w:r>
    </w:p>
  </w:endnote>
  <w:endnote w:id="775">
    <w:p>
      <w:pPr>
        <w:pStyle w:val="EndnoteText"/>
      </w:pPr>
      <w:r>
        <w:rPr>
          <w:rStyle w:val="EndnoteReference"/>
        </w:rPr>
        <w:endnoteRef/>
      </w:r>
      <w:r>
        <w:t xml:space="preserve"> </w:t>
      </w:r>
      <w:r>
        <w:rPr>
          <w:i/>
        </w:rPr>
        <w:t>Id</w:t>
      </w:r>
      <w:r>
        <w:t>.</w:t>
      </w:r>
    </w:p>
  </w:endnote>
  <w:endnote w:id="776">
    <w:p>
      <w:pPr>
        <w:pStyle w:val="EndnoteText"/>
      </w:pPr>
      <w:r>
        <w:rPr>
          <w:rStyle w:val="EndnoteReference"/>
        </w:rPr>
        <w:endnoteRef/>
      </w:r>
      <w:r>
        <w:t xml:space="preserve"> </w:t>
      </w:r>
      <w:r>
        <w:rPr>
          <w:i/>
        </w:rPr>
        <w:t>Id</w:t>
      </w:r>
      <w:r>
        <w:t xml:space="preserve">. </w:t>
      </w:r>
    </w:p>
  </w:endnote>
  <w:endnote w:id="777">
    <w:p>
      <w:pPr>
        <w:pStyle w:val="EndnoteText"/>
      </w:pPr>
      <w:r>
        <w:rPr>
          <w:rStyle w:val="EndnoteReference"/>
        </w:rPr>
        <w:endnoteRef/>
      </w:r>
      <w:r>
        <w:t xml:space="preserve"> </w:t>
      </w:r>
      <w:r>
        <w:rPr>
          <w:i/>
        </w:rPr>
        <w:t>Id</w:t>
      </w:r>
      <w:r>
        <w:t>. at 1529.</w:t>
      </w:r>
    </w:p>
  </w:endnote>
  <w:endnote w:id="778">
    <w:p>
      <w:pPr>
        <w:pStyle w:val="EndnoteText"/>
      </w:pPr>
      <w:r>
        <w:rPr>
          <w:rStyle w:val="EndnoteReference"/>
        </w:rPr>
        <w:endnoteRef/>
      </w:r>
      <w:r>
        <w:t xml:space="preserve"> </w:t>
      </w:r>
      <w:r>
        <w:rPr>
          <w:i/>
        </w:rPr>
        <w:t>Id</w:t>
      </w:r>
      <w:r>
        <w:t>. at 1527.</w:t>
      </w:r>
    </w:p>
  </w:endnote>
  <w:endnote w:id="779">
    <w:p>
      <w:pPr>
        <w:pStyle w:val="EndnoteText"/>
      </w:pPr>
      <w:r>
        <w:rPr>
          <w:rStyle w:val="EndnoteReference"/>
        </w:rPr>
        <w:endnoteRef/>
      </w:r>
      <w:r>
        <w:t xml:space="preserve"> </w:t>
      </w:r>
      <w:r>
        <w:rPr>
          <w:i/>
        </w:rPr>
        <w:t>Id.</w:t>
      </w:r>
      <w:r>
        <w:t xml:space="preserve"> at 1527-28.</w:t>
      </w:r>
    </w:p>
  </w:endnote>
  <w:endnote w:id="780">
    <w:p>
      <w:pPr>
        <w:pStyle w:val="EndnoteText"/>
      </w:pPr>
      <w:r>
        <w:rPr>
          <w:rStyle w:val="EndnoteReference"/>
        </w:rPr>
        <w:endnoteRef/>
      </w:r>
      <w:r>
        <w:t xml:space="preserve"> </w:t>
      </w:r>
      <w:r>
        <w:rPr>
          <w:i/>
        </w:rPr>
        <w:t xml:space="preserve">See id. </w:t>
      </w:r>
    </w:p>
  </w:endnote>
  <w:endnote w:id="781">
    <w:p>
      <w:pPr>
        <w:pStyle w:val="EndnoteText"/>
      </w:pPr>
      <w:r>
        <w:rPr>
          <w:rStyle w:val="EndnoteReference"/>
        </w:rPr>
        <w:endnoteRef/>
      </w:r>
      <w:r>
        <w:t xml:space="preserve"> 133 S. Ct. 26 (2012). </w:t>
      </w:r>
    </w:p>
  </w:endnote>
  <w:endnote w:id="782">
    <w:p>
      <w:pPr>
        <w:pStyle w:val="EndnoteText"/>
      </w:pPr>
      <w:r>
        <w:rPr>
          <w:rStyle w:val="EndnoteReference"/>
        </w:rPr>
        <w:endnoteRef/>
      </w:r>
      <w:r>
        <w:t xml:space="preserve"> 133 S. Ct. at 1529. </w:t>
      </w:r>
    </w:p>
  </w:endnote>
  <w:endnote w:id="783">
    <w:p>
      <w:pPr>
        <w:pStyle w:val="EndnoteText"/>
      </w:pPr>
      <w:r>
        <w:rPr>
          <w:rStyle w:val="EndnoteReference"/>
        </w:rPr>
        <w:endnoteRef/>
      </w:r>
      <w:r>
        <w:t xml:space="preserve"> </w:t>
      </w:r>
      <w:r>
        <w:rPr>
          <w:i/>
        </w:rPr>
        <w:t>Id.</w:t>
      </w:r>
      <w:r>
        <w:t xml:space="preserve"> at 1532. </w:t>
      </w:r>
    </w:p>
  </w:endnote>
  <w:endnote w:id="784">
    <w:p>
      <w:pPr>
        <w:pStyle w:val="EndnoteText"/>
      </w:pPr>
      <w:r>
        <w:rPr>
          <w:rStyle w:val="EndnoteReference"/>
        </w:rPr>
        <w:endnoteRef/>
      </w:r>
      <w:r>
        <w:t xml:space="preserve"> </w:t>
      </w:r>
      <w:r>
        <w:rPr>
          <w:i/>
        </w:rPr>
        <w:t>Id.</w:t>
      </w:r>
      <w:r>
        <w:t xml:space="preserve"> at 1529 n. 4. </w:t>
      </w:r>
    </w:p>
  </w:endnote>
  <w:endnote w:id="785">
    <w:p>
      <w:pPr>
        <w:pStyle w:val="EndnoteText"/>
      </w:pPr>
      <w:r>
        <w:rPr>
          <w:rStyle w:val="EndnoteReference"/>
        </w:rPr>
        <w:endnoteRef/>
      </w:r>
      <w:r>
        <w:t xml:space="preserve"> </w:t>
      </w:r>
      <w:r>
        <w:rPr>
          <w:rFonts w:eastAsia="MS Mincho"/>
          <w:i/>
          <w:color w:val="333333"/>
          <w:lang w:eastAsia="ja-JP"/>
        </w:rPr>
        <w:t>Id</w:t>
      </w:r>
      <w:r>
        <w:rPr>
          <w:rFonts w:eastAsia="MS Mincho"/>
          <w:color w:val="333333"/>
          <w:lang w:eastAsia="ja-JP"/>
        </w:rPr>
        <w:t xml:space="preserve">. at 1530. </w:t>
      </w:r>
    </w:p>
  </w:endnote>
  <w:endnote w:id="786">
    <w:p>
      <w:pPr>
        <w:pStyle w:val="EndnoteText"/>
      </w:pPr>
      <w:r>
        <w:rPr>
          <w:rStyle w:val="EndnoteReference"/>
        </w:rPr>
        <w:endnoteRef/>
      </w:r>
      <w:r>
        <w:t xml:space="preserve"> </w:t>
      </w:r>
      <w:r>
        <w:rPr>
          <w:i/>
        </w:rPr>
        <w:t>Id</w:t>
      </w:r>
      <w:r>
        <w:t xml:space="preserve">. </w:t>
      </w:r>
    </w:p>
  </w:endnote>
  <w:endnote w:id="787">
    <w:p>
      <w:pPr>
        <w:pStyle w:val="EndnoteText"/>
      </w:pPr>
      <w:r>
        <w:rPr>
          <w:rStyle w:val="EndnoteReference"/>
        </w:rPr>
        <w:endnoteRef/>
      </w:r>
      <w:r>
        <w:t xml:space="preserve"> </w:t>
      </w:r>
      <w:r>
        <w:rPr>
          <w:i/>
        </w:rPr>
        <w:t>Id</w:t>
      </w:r>
      <w:r>
        <w:t xml:space="preserve">. </w:t>
      </w:r>
    </w:p>
  </w:endnote>
  <w:endnote w:id="788">
    <w:p>
      <w:pPr>
        <w:pStyle w:val="EndnoteText"/>
      </w:pPr>
      <w:r>
        <w:rPr>
          <w:rStyle w:val="EndnoteReference"/>
        </w:rPr>
        <w:endnoteRef/>
      </w:r>
      <w:r>
        <w:t xml:space="preserve"> </w:t>
      </w:r>
      <w:r>
        <w:rPr>
          <w:i/>
        </w:rPr>
        <w:t>Id</w:t>
      </w:r>
      <w:r>
        <w:t xml:space="preserve">. at 1525. </w:t>
      </w:r>
    </w:p>
  </w:endnote>
  <w:endnote w:id="789">
    <w:p>
      <w:pPr>
        <w:pStyle w:val="EndnoteText"/>
      </w:pPr>
      <w:r>
        <w:rPr>
          <w:rStyle w:val="EndnoteReference"/>
        </w:rPr>
        <w:endnoteRef/>
      </w:r>
      <w:r>
        <w:t xml:space="preserve"> 679 F.2d 1350, 1352-53 (11th Cir. 1982). </w:t>
      </w:r>
    </w:p>
  </w:endnote>
  <w:endnote w:id="790">
    <w:p>
      <w:pPr>
        <w:pStyle w:val="EndnoteText"/>
      </w:pPr>
      <w:r>
        <w:rPr>
          <w:rStyle w:val="EndnoteReference"/>
        </w:rPr>
        <w:endnoteRef/>
      </w:r>
      <w:r>
        <w:t xml:space="preserve"> 723 F.3d 1304 (11th Cir. 2013). </w:t>
      </w:r>
    </w:p>
  </w:endnote>
  <w:endnote w:id="791">
    <w:p>
      <w:pPr>
        <w:pStyle w:val="EndnoteText"/>
      </w:pPr>
      <w:r>
        <w:rPr>
          <w:rStyle w:val="EndnoteReference"/>
        </w:rPr>
        <w:endnoteRef/>
      </w:r>
      <w:r>
        <w:t xml:space="preserve"> </w:t>
      </w:r>
      <w:r>
        <w:rPr>
          <w:i/>
        </w:rPr>
        <w:t>Id</w:t>
      </w:r>
      <w:r>
        <w:t xml:space="preserve">. at 1307. </w:t>
      </w:r>
    </w:p>
  </w:endnote>
  <w:endnote w:id="792">
    <w:p>
      <w:pPr>
        <w:pStyle w:val="EndnoteText"/>
      </w:pPr>
      <w:r>
        <w:rPr>
          <w:rStyle w:val="EndnoteReference"/>
        </w:rPr>
        <w:endnoteRef/>
      </w:r>
      <w:r>
        <w:t xml:space="preserve"> </w:t>
      </w:r>
      <w:r>
        <w:rPr>
          <w:i/>
        </w:rPr>
        <w:t>Id</w:t>
      </w:r>
      <w:r>
        <w:t>. at 1305.</w:t>
      </w:r>
    </w:p>
  </w:endnote>
  <w:endnote w:id="793">
    <w:p>
      <w:pPr>
        <w:pStyle w:val="EndnoteText"/>
      </w:pPr>
      <w:r>
        <w:rPr>
          <w:rStyle w:val="EndnoteReference"/>
        </w:rPr>
        <w:endnoteRef/>
      </w:r>
      <w:r>
        <w:t xml:space="preserve"> </w:t>
      </w:r>
      <w:r>
        <w:rPr>
          <w:i/>
        </w:rPr>
        <w:t>Id</w:t>
      </w:r>
      <w:r>
        <w:t xml:space="preserve">. </w:t>
      </w:r>
    </w:p>
  </w:endnote>
  <w:endnote w:id="794">
    <w:p>
      <w:pPr>
        <w:pStyle w:val="EndnoteText"/>
      </w:pPr>
      <w:r>
        <w:rPr>
          <w:rStyle w:val="EndnoteReference"/>
        </w:rPr>
        <w:endnoteRef/>
      </w:r>
      <w:r>
        <w:t xml:space="preserve"> </w:t>
      </w:r>
      <w:r>
        <w:rPr>
          <w:i/>
        </w:rPr>
        <w:t>Id</w:t>
      </w:r>
      <w:r>
        <w:t>. at 1305-06.</w:t>
      </w:r>
    </w:p>
  </w:endnote>
  <w:endnote w:id="795">
    <w:p>
      <w:pPr>
        <w:pStyle w:val="EndnoteText"/>
      </w:pPr>
      <w:r>
        <w:rPr>
          <w:rStyle w:val="EndnoteReference"/>
        </w:rPr>
        <w:endnoteRef/>
      </w:r>
      <w:r>
        <w:t xml:space="preserve"> </w:t>
      </w:r>
      <w:r>
        <w:rPr>
          <w:i/>
        </w:rPr>
        <w:t>Id</w:t>
      </w:r>
      <w:r>
        <w:t xml:space="preserve">. at 1306, 1308. </w:t>
      </w:r>
    </w:p>
  </w:endnote>
  <w:endnote w:id="796">
    <w:p>
      <w:pPr>
        <w:pStyle w:val="EndnoteText"/>
      </w:pPr>
      <w:r>
        <w:rPr>
          <w:rStyle w:val="EndnoteReference"/>
        </w:rPr>
        <w:endnoteRef/>
      </w:r>
      <w:r>
        <w:t xml:space="preserve"> </w:t>
      </w:r>
      <w:r>
        <w:rPr>
          <w:i/>
        </w:rPr>
        <w:t>Id</w:t>
      </w:r>
      <w:r>
        <w:t>. at 1308.</w:t>
      </w:r>
    </w:p>
  </w:endnote>
  <w:endnote w:id="797">
    <w:p>
      <w:pPr>
        <w:pStyle w:val="EndnoteText"/>
      </w:pPr>
      <w:r>
        <w:rPr>
          <w:rStyle w:val="EndnoteReference"/>
        </w:rPr>
        <w:endnoteRef/>
      </w:r>
      <w:r>
        <w:t xml:space="preserve"> 708 F.3d 1233 (11th Cir. 2013). </w:t>
      </w:r>
    </w:p>
  </w:endnote>
  <w:endnote w:id="798">
    <w:p>
      <w:pPr>
        <w:pStyle w:val="EndnoteText"/>
      </w:pPr>
      <w:r>
        <w:rPr>
          <w:rStyle w:val="EndnoteReference"/>
        </w:rPr>
        <w:endnoteRef/>
      </w:r>
      <w:r>
        <w:t xml:space="preserve"> </w:t>
      </w:r>
      <w:r>
        <w:rPr>
          <w:i/>
        </w:rPr>
        <w:t>Id</w:t>
      </w:r>
      <w:r>
        <w:t xml:space="preserve">. at 1235. </w:t>
      </w:r>
    </w:p>
  </w:endnote>
  <w:endnote w:id="799">
    <w:p>
      <w:pPr>
        <w:pStyle w:val="EndnoteText"/>
      </w:pPr>
      <w:r>
        <w:rPr>
          <w:rStyle w:val="EndnoteReference"/>
        </w:rPr>
        <w:endnoteRef/>
      </w:r>
      <w:r>
        <w:t xml:space="preserve"> </w:t>
      </w:r>
      <w:r>
        <w:rPr>
          <w:i/>
        </w:rPr>
        <w:t>Id</w:t>
      </w:r>
      <w:r>
        <w:t xml:space="preserve">. at 1238-39. </w:t>
      </w:r>
    </w:p>
  </w:endnote>
  <w:endnote w:id="800">
    <w:p>
      <w:pPr>
        <w:pStyle w:val="EndnoteText"/>
      </w:pPr>
      <w:r>
        <w:rPr>
          <w:rStyle w:val="EndnoteReference"/>
        </w:rPr>
        <w:endnoteRef/>
      </w:r>
      <w:r>
        <w:t xml:space="preserve"> </w:t>
      </w:r>
      <w:r>
        <w:rPr>
          <w:i/>
        </w:rPr>
        <w:t>Id</w:t>
      </w:r>
      <w:r>
        <w:t>. at 1235-36.</w:t>
      </w:r>
    </w:p>
  </w:endnote>
  <w:endnote w:id="801">
    <w:p>
      <w:pPr>
        <w:pStyle w:val="EndnoteText"/>
      </w:pPr>
      <w:r>
        <w:rPr>
          <w:rStyle w:val="EndnoteReference"/>
        </w:rPr>
        <w:endnoteRef/>
      </w:r>
      <w:r>
        <w:t xml:space="preserve"> </w:t>
      </w:r>
      <w:r>
        <w:rPr>
          <w:i/>
        </w:rPr>
        <w:t>Id</w:t>
      </w:r>
      <w:r>
        <w:t xml:space="preserve">. at 1236. </w:t>
      </w:r>
    </w:p>
  </w:endnote>
  <w:endnote w:id="802">
    <w:p>
      <w:pPr>
        <w:pStyle w:val="EndnoteText"/>
      </w:pPr>
      <w:r>
        <w:rPr>
          <w:rStyle w:val="EndnoteReference"/>
        </w:rPr>
        <w:endnoteRef/>
      </w:r>
      <w:r>
        <w:t xml:space="preserve"> </w:t>
      </w:r>
      <w:r>
        <w:rPr>
          <w:i/>
        </w:rPr>
        <w:t>Id</w:t>
      </w:r>
      <w:r>
        <w:t xml:space="preserve">. at 1238. </w:t>
      </w:r>
    </w:p>
  </w:endnote>
  <w:endnote w:id="803">
    <w:p>
      <w:pPr>
        <w:pStyle w:val="EndnoteText"/>
      </w:pPr>
      <w:r>
        <w:rPr>
          <w:rStyle w:val="EndnoteReference"/>
        </w:rPr>
        <w:endnoteRef/>
      </w:r>
      <w:r>
        <w:t xml:space="preserve"> </w:t>
      </w:r>
      <w:r>
        <w:rPr>
          <w:i/>
        </w:rPr>
        <w:t>Id</w:t>
      </w:r>
      <w:r>
        <w:t xml:space="preserve">. at 1241. </w:t>
      </w:r>
    </w:p>
  </w:endnote>
  <w:endnote w:id="804">
    <w:p>
      <w:pPr>
        <w:pStyle w:val="EndnoteText"/>
      </w:pPr>
      <w:r>
        <w:rPr>
          <w:rStyle w:val="EndnoteReference"/>
        </w:rPr>
        <w:endnoteRef/>
      </w:r>
      <w:r>
        <w:t xml:space="preserve"> </w:t>
      </w:r>
      <w:r>
        <w:rPr>
          <w:i/>
        </w:rPr>
        <w:t>Id</w:t>
      </w:r>
      <w:r>
        <w:t xml:space="preserve">. </w:t>
      </w:r>
    </w:p>
  </w:endnote>
  <w:endnote w:id="805">
    <w:p>
      <w:pPr>
        <w:pStyle w:val="EndnoteText"/>
      </w:pPr>
      <w:r>
        <w:rPr>
          <w:rStyle w:val="EndnoteReference"/>
        </w:rPr>
        <w:endnoteRef/>
      </w:r>
      <w:r>
        <w:t xml:space="preserve"> </w:t>
      </w:r>
      <w:r>
        <w:rPr>
          <w:i/>
        </w:rPr>
        <w:t>Id</w:t>
      </w:r>
      <w:r>
        <w:t xml:space="preserve">. </w:t>
      </w:r>
    </w:p>
  </w:endnote>
  <w:endnote w:id="806">
    <w:p>
      <w:pPr>
        <w:pStyle w:val="EndnoteText"/>
      </w:pPr>
      <w:r>
        <w:rPr>
          <w:rStyle w:val="EndnoteReference"/>
        </w:rPr>
        <w:endnoteRef/>
      </w:r>
      <w:r>
        <w:t xml:space="preserve"> </w:t>
      </w:r>
      <w:r>
        <w:rPr>
          <w:i/>
        </w:rPr>
        <w:t>Id</w:t>
      </w:r>
      <w:r>
        <w:t xml:space="preserve">. at 1242-43. </w:t>
      </w:r>
    </w:p>
  </w:endnote>
  <w:endnote w:id="807">
    <w:p>
      <w:pPr>
        <w:pStyle w:val="EndnoteText"/>
      </w:pPr>
      <w:r>
        <w:rPr>
          <w:rStyle w:val="EndnoteReference"/>
        </w:rPr>
        <w:endnoteRef/>
      </w:r>
      <w:r>
        <w:t xml:space="preserve"> </w:t>
      </w:r>
      <w:r>
        <w:rPr>
          <w:color w:val="252525"/>
        </w:rPr>
        <w:t xml:space="preserve">No. 5:11–cv–496–Oc–37PRL, 2013 WL 1344500, *4 (M.D. Fl. April 2, 2013). </w:t>
      </w:r>
    </w:p>
  </w:endnote>
  <w:endnote w:id="808">
    <w:p>
      <w:pPr>
        <w:pStyle w:val="EndnoteText"/>
      </w:pPr>
      <w:r>
        <w:rPr>
          <w:rStyle w:val="EndnoteReference"/>
        </w:rPr>
        <w:endnoteRef/>
      </w:r>
      <w:r>
        <w:t xml:space="preserve"> </w:t>
      </w:r>
      <w:r>
        <w:rPr>
          <w:color w:val="252525"/>
        </w:rPr>
        <w:t xml:space="preserve">No. 10–20506–CIV., 2013 WL 773475, *8-9 (S.D. Fl. Feb. 28, 2013). </w:t>
      </w:r>
    </w:p>
  </w:endnote>
  <w:endnote w:id="809">
    <w:p>
      <w:pPr>
        <w:pStyle w:val="EndnoteText"/>
      </w:pPr>
      <w:r>
        <w:rPr>
          <w:rStyle w:val="EndnoteReference"/>
        </w:rPr>
        <w:endnoteRef/>
      </w:r>
      <w:r>
        <w:t xml:space="preserve"> 504 Fed. Appx. 831 (2013). </w:t>
      </w:r>
    </w:p>
  </w:endnote>
  <w:endnote w:id="810">
    <w:p>
      <w:pPr>
        <w:pStyle w:val="EndnoteText"/>
      </w:pPr>
      <w:r>
        <w:rPr>
          <w:rStyle w:val="EndnoteReference"/>
        </w:rPr>
        <w:endnoteRef/>
      </w:r>
      <w:r>
        <w:t xml:space="preserve"> </w:t>
      </w:r>
      <w:r>
        <w:rPr>
          <w:i/>
        </w:rPr>
        <w:t>Id</w:t>
      </w:r>
      <w:r>
        <w:t>. at 832.</w:t>
      </w:r>
    </w:p>
  </w:endnote>
  <w:endnote w:id="811">
    <w:p>
      <w:pPr>
        <w:pStyle w:val="EndnoteText"/>
      </w:pPr>
      <w:r>
        <w:rPr>
          <w:rStyle w:val="EndnoteReference"/>
        </w:rPr>
        <w:endnoteRef/>
      </w:r>
      <w:r>
        <w:t xml:space="preserve"> </w:t>
      </w:r>
      <w:r>
        <w:rPr>
          <w:i/>
        </w:rPr>
        <w:t>Id</w:t>
      </w:r>
      <w:r>
        <w:t>. at 832-33.</w:t>
      </w:r>
    </w:p>
  </w:endnote>
  <w:endnote w:id="812">
    <w:p>
      <w:pPr>
        <w:pStyle w:val="EndnoteText"/>
      </w:pPr>
      <w:r>
        <w:rPr>
          <w:rStyle w:val="EndnoteReference"/>
        </w:rPr>
        <w:endnoteRef/>
      </w:r>
      <w:r>
        <w:t xml:space="preserve"> </w:t>
      </w:r>
      <w:r>
        <w:rPr>
          <w:i/>
        </w:rPr>
        <w:t>Id</w:t>
      </w:r>
      <w:r>
        <w:t>. at 833.</w:t>
      </w:r>
    </w:p>
  </w:endnote>
  <w:endnote w:id="813">
    <w:p>
      <w:pPr>
        <w:pStyle w:val="EndnoteText"/>
      </w:pPr>
      <w:r>
        <w:rPr>
          <w:rStyle w:val="EndnoteReference"/>
        </w:rPr>
        <w:endnoteRef/>
      </w:r>
      <w:r>
        <w:t xml:space="preserve"> </w:t>
      </w:r>
      <w:r>
        <w:rPr>
          <w:i/>
        </w:rPr>
        <w:t>Id</w:t>
      </w:r>
      <w:r>
        <w:t>. at 833, 835.</w:t>
      </w:r>
    </w:p>
  </w:endnote>
  <w:endnote w:id="814">
    <w:p>
      <w:pPr>
        <w:pStyle w:val="EndnoteText"/>
      </w:pPr>
      <w:r>
        <w:rPr>
          <w:rStyle w:val="EndnoteReference"/>
        </w:rPr>
        <w:endnoteRef/>
      </w:r>
      <w:r>
        <w:t xml:space="preserve"> </w:t>
      </w:r>
      <w:r>
        <w:rPr>
          <w:i/>
        </w:rPr>
        <w:t>Id</w:t>
      </w:r>
      <w:r>
        <w:t>. at 834, 834 n.2.</w:t>
      </w:r>
    </w:p>
  </w:endnote>
  <w:endnote w:id="815">
    <w:p>
      <w:pPr>
        <w:pStyle w:val="EndnoteText"/>
      </w:pPr>
      <w:r>
        <w:rPr>
          <w:rStyle w:val="EndnoteReference"/>
        </w:rPr>
        <w:endnoteRef/>
      </w:r>
      <w:r>
        <w:t xml:space="preserve"> </w:t>
      </w:r>
      <w:r>
        <w:rPr>
          <w:i/>
        </w:rPr>
        <w:t>Id</w:t>
      </w:r>
      <w:r>
        <w:t>. at 834-35.</w:t>
      </w:r>
    </w:p>
  </w:endnote>
  <w:endnote w:id="816">
    <w:p>
      <w:pPr>
        <w:pStyle w:val="EndnoteText"/>
      </w:pPr>
      <w:r>
        <w:rPr>
          <w:rStyle w:val="EndnoteReference"/>
        </w:rPr>
        <w:endnoteRef/>
      </w:r>
      <w:r>
        <w:t xml:space="preserve"> 134 S. Ct. 618 (2013).</w:t>
      </w:r>
    </w:p>
  </w:endnote>
  <w:endnote w:id="817">
    <w:p>
      <w:pPr>
        <w:pStyle w:val="EndnoteText"/>
      </w:pPr>
      <w:r>
        <w:rPr>
          <w:rStyle w:val="EndnoteReference"/>
        </w:rPr>
        <w:endnoteRef/>
      </w:r>
      <w:r>
        <w:t xml:space="preserve"> </w:t>
      </w:r>
      <w:r>
        <w:rPr>
          <w:i/>
        </w:rPr>
        <w:t>Kaplan</w:t>
      </w:r>
      <w:r>
        <w:t>, 504 Fed. Appx. at 834.</w:t>
      </w:r>
    </w:p>
  </w:endnote>
  <w:endnote w:id="818">
    <w:p>
      <w:pPr>
        <w:pStyle w:val="EndnoteText"/>
      </w:pPr>
      <w:r>
        <w:rPr>
          <w:rStyle w:val="EndnoteReference"/>
        </w:rPr>
        <w:endnoteRef/>
      </w:r>
      <w:r>
        <w:t xml:space="preserve"> </w:t>
      </w:r>
      <w:r>
        <w:rPr>
          <w:i/>
        </w:rPr>
        <w:t>Id</w:t>
      </w:r>
      <w:r>
        <w:t>. at 834.</w:t>
      </w:r>
    </w:p>
  </w:endnote>
  <w:endnote w:id="819">
    <w:p>
      <w:pPr>
        <w:pStyle w:val="EndnoteText"/>
      </w:pPr>
      <w:r>
        <w:rPr>
          <w:rStyle w:val="EndnoteReference"/>
        </w:rPr>
        <w:endnoteRef/>
      </w:r>
      <w:r>
        <w:t xml:space="preserve"> </w:t>
      </w:r>
      <w:r>
        <w:rPr>
          <w:color w:val="252525"/>
        </w:rPr>
        <w:t>293 F.R.D. 516 (S.D. N.Y. 2013).</w:t>
      </w:r>
    </w:p>
  </w:endnote>
  <w:endnote w:id="820">
    <w:p>
      <w:pPr>
        <w:pStyle w:val="EndnoteText"/>
      </w:pPr>
      <w:r>
        <w:rPr>
          <w:rStyle w:val="EndnoteReference"/>
        </w:rPr>
        <w:endnoteRef/>
      </w:r>
      <w:r>
        <w:t xml:space="preserve"> </w:t>
      </w:r>
      <w:r>
        <w:rPr>
          <w:i/>
        </w:rPr>
        <w:t>Id</w:t>
      </w:r>
      <w:r>
        <w:t>. at 525-26.</w:t>
      </w:r>
    </w:p>
  </w:endnote>
  <w:endnote w:id="821">
    <w:p>
      <w:pPr>
        <w:pStyle w:val="EndnoteText"/>
      </w:pPr>
      <w:r>
        <w:rPr>
          <w:rStyle w:val="EndnoteReference"/>
        </w:rPr>
        <w:endnoteRef/>
      </w:r>
      <w:r>
        <w:t xml:space="preserve"> Robin E. Shea, </w:t>
      </w:r>
      <w:r>
        <w:rPr>
          <w:i/>
        </w:rPr>
        <w:t>New FMLA Rule Takes Effect March 8:  Military and Flight Crew Changes and More</w:t>
      </w:r>
      <w:r>
        <w:t xml:space="preserve"> (February 14, 2013), available at http://www.constangy.com /communications-441.html</w:t>
      </w:r>
    </w:p>
  </w:endnote>
  <w:endnote w:id="822">
    <w:p>
      <w:pPr>
        <w:pStyle w:val="EndnoteText"/>
      </w:pPr>
      <w:r>
        <w:rPr>
          <w:rStyle w:val="EndnoteReference"/>
        </w:rPr>
        <w:endnoteRef/>
      </w:r>
      <w:r>
        <w:t xml:space="preserve"> </w:t>
      </w:r>
      <w:r>
        <w:rPr>
          <w:i/>
        </w:rPr>
        <w:t>Id</w:t>
      </w:r>
      <w:r>
        <w:t xml:space="preserve">. </w:t>
      </w:r>
    </w:p>
  </w:endnote>
  <w:endnote w:id="823">
    <w:p>
      <w:pPr>
        <w:pStyle w:val="EndnoteText"/>
      </w:pPr>
      <w:r>
        <w:rPr>
          <w:rStyle w:val="EndnoteReference"/>
        </w:rPr>
        <w:endnoteRef/>
      </w:r>
      <w:r>
        <w:t xml:space="preserve"> </w:t>
      </w:r>
      <w:r>
        <w:rPr>
          <w:i/>
        </w:rPr>
        <w:t>Id</w:t>
      </w:r>
      <w:r>
        <w:t>.</w:t>
      </w:r>
      <w:r>
        <w:rPr>
          <w:i/>
        </w:rPr>
        <w:t xml:space="preserve"> </w:t>
      </w:r>
    </w:p>
  </w:endnote>
  <w:endnote w:id="824">
    <w:p>
      <w:pPr>
        <w:pStyle w:val="EndnoteText"/>
      </w:pPr>
      <w:r>
        <w:rPr>
          <w:rStyle w:val="EndnoteReference"/>
        </w:rPr>
        <w:endnoteRef/>
      </w:r>
      <w:r>
        <w:t xml:space="preserve"> </w:t>
      </w:r>
      <w:r>
        <w:rPr>
          <w:i/>
        </w:rPr>
        <w:t>Id</w:t>
      </w:r>
      <w:r>
        <w:t>.</w:t>
      </w:r>
      <w:r>
        <w:rPr>
          <w:i/>
        </w:rPr>
        <w:t xml:space="preserve"> </w:t>
      </w:r>
    </w:p>
  </w:endnote>
  <w:endnote w:id="825">
    <w:p>
      <w:pPr>
        <w:pStyle w:val="EndnoteText"/>
      </w:pPr>
      <w:r>
        <w:rPr>
          <w:rStyle w:val="EndnoteReference"/>
        </w:rPr>
        <w:endnoteRef/>
      </w:r>
      <w:r>
        <w:t xml:space="preserve"> </w:t>
      </w:r>
      <w:r>
        <w:rPr>
          <w:i/>
        </w:rPr>
        <w:t>Id</w:t>
      </w:r>
      <w:r>
        <w:t>.</w:t>
      </w:r>
      <w:r>
        <w:rPr>
          <w:i/>
        </w:rPr>
        <w:t xml:space="preserve"> </w:t>
      </w:r>
    </w:p>
  </w:endnote>
  <w:endnote w:id="826">
    <w:p>
      <w:pPr>
        <w:pStyle w:val="EndnoteText"/>
      </w:pPr>
      <w:r>
        <w:rPr>
          <w:rStyle w:val="EndnoteReference"/>
        </w:rPr>
        <w:endnoteRef/>
      </w:r>
      <w:r>
        <w:t xml:space="preserve"> </w:t>
      </w:r>
      <w:r>
        <w:rPr>
          <w:i/>
        </w:rPr>
        <w:t>Id</w:t>
      </w:r>
      <w:r>
        <w:t>.</w:t>
      </w:r>
      <w:r>
        <w:rPr>
          <w:i/>
        </w:rPr>
        <w:t xml:space="preserve"> </w:t>
      </w:r>
    </w:p>
  </w:endnote>
  <w:endnote w:id="827">
    <w:p>
      <w:pPr>
        <w:pStyle w:val="EndnoteText"/>
      </w:pPr>
      <w:r>
        <w:rPr>
          <w:rStyle w:val="EndnoteReference"/>
        </w:rPr>
        <w:endnoteRef/>
      </w:r>
      <w:r>
        <w:t xml:space="preserve"> </w:t>
      </w:r>
      <w:r>
        <w:rPr>
          <w:i/>
        </w:rPr>
        <w:t>Id</w:t>
      </w:r>
      <w:r>
        <w:t>.</w:t>
      </w:r>
      <w:r>
        <w:rPr>
          <w:i/>
        </w:rPr>
        <w:t xml:space="preserve"> </w:t>
      </w:r>
    </w:p>
  </w:endnote>
  <w:endnote w:id="828">
    <w:p>
      <w:pPr>
        <w:pStyle w:val="EndnoteText"/>
      </w:pPr>
      <w:r>
        <w:rPr>
          <w:rStyle w:val="EndnoteReference"/>
        </w:rPr>
        <w:endnoteRef/>
      </w:r>
      <w:r>
        <w:t xml:space="preserve"> </w:t>
      </w:r>
      <w:r>
        <w:rPr>
          <w:i/>
        </w:rPr>
        <w:t>Id</w:t>
      </w:r>
      <w:r>
        <w:t>.</w:t>
      </w:r>
      <w:r>
        <w:rPr>
          <w:i/>
        </w:rPr>
        <w:t xml:space="preserve"> </w:t>
      </w:r>
    </w:p>
  </w:endnote>
  <w:endnote w:id="829">
    <w:p>
      <w:pPr>
        <w:pStyle w:val="EndnoteText"/>
      </w:pPr>
      <w:r>
        <w:rPr>
          <w:rStyle w:val="EndnoteReference"/>
        </w:rPr>
        <w:endnoteRef/>
      </w:r>
      <w:r>
        <w:t xml:space="preserve"> </w:t>
      </w:r>
      <w:r>
        <w:rPr>
          <w:i/>
        </w:rPr>
        <w:t>Id</w:t>
      </w:r>
      <w:r>
        <w:t>.</w:t>
      </w:r>
      <w:r>
        <w:rPr>
          <w:i/>
        </w:rPr>
        <w:t xml:space="preserve"> </w:t>
      </w:r>
    </w:p>
  </w:endnote>
  <w:endnote w:id="830">
    <w:p>
      <w:pPr>
        <w:pStyle w:val="EndnoteText"/>
      </w:pPr>
      <w:r>
        <w:rPr>
          <w:rStyle w:val="EndnoteReference"/>
        </w:rPr>
        <w:endnoteRef/>
      </w:r>
      <w:r>
        <w:t xml:space="preserve"> </w:t>
      </w:r>
      <w:r>
        <w:rPr>
          <w:i/>
        </w:rPr>
        <w:t>Id</w:t>
      </w:r>
      <w:r>
        <w:t>.</w:t>
      </w:r>
      <w:r>
        <w:rPr>
          <w:i/>
        </w:rPr>
        <w:t xml:space="preserve"> </w:t>
      </w:r>
    </w:p>
  </w:endnote>
  <w:endnote w:id="831">
    <w:p>
      <w:pPr>
        <w:pStyle w:val="EndnoteText"/>
      </w:pPr>
      <w:r>
        <w:rPr>
          <w:rStyle w:val="EndnoteReference"/>
        </w:rPr>
        <w:endnoteRef/>
      </w:r>
      <w:r>
        <w:t xml:space="preserve"> </w:t>
      </w:r>
      <w:r>
        <w:rPr>
          <w:i/>
        </w:rPr>
        <w:t>Id</w:t>
      </w:r>
      <w:r>
        <w:t>.</w:t>
      </w:r>
      <w:r>
        <w:rPr>
          <w:i/>
        </w:rPr>
        <w:t xml:space="preserve"> </w:t>
      </w:r>
    </w:p>
  </w:endnote>
  <w:endnote w:id="832">
    <w:p>
      <w:pPr>
        <w:pStyle w:val="EndnoteText"/>
      </w:pPr>
      <w:r>
        <w:rPr>
          <w:rStyle w:val="EndnoteReference"/>
        </w:rPr>
        <w:endnoteRef/>
      </w:r>
      <w:r>
        <w:t xml:space="preserve"> Wage and Hour Division, Public Forms, http://www.dol.gov/whd/forms/index.htm.</w:t>
      </w:r>
    </w:p>
  </w:endnote>
  <w:endnote w:id="833">
    <w:p>
      <w:pPr>
        <w:pStyle w:val="EndnoteText"/>
      </w:pPr>
      <w:r>
        <w:rPr>
          <w:rStyle w:val="EndnoteReference"/>
        </w:rPr>
        <w:endnoteRef/>
      </w:r>
      <w:r>
        <w:t xml:space="preserve"> </w:t>
      </w:r>
      <w:r>
        <w:rPr>
          <w:color w:val="252525"/>
        </w:rPr>
        <w:t xml:space="preserve">No. 12–C–032, 2013 WL 2918329 (E.D. Wis. June 14, 2013.). </w:t>
      </w:r>
    </w:p>
  </w:endnote>
  <w:endnote w:id="834">
    <w:p>
      <w:pPr>
        <w:pStyle w:val="EndnoteText"/>
      </w:pPr>
      <w:r>
        <w:rPr>
          <w:rStyle w:val="EndnoteReference"/>
        </w:rPr>
        <w:endnoteRef/>
      </w:r>
      <w:r>
        <w:t xml:space="preserve"> </w:t>
      </w:r>
      <w:r>
        <w:rPr>
          <w:i/>
        </w:rPr>
        <w:t>Id</w:t>
      </w:r>
      <w:r>
        <w:t xml:space="preserve">. at *1-2. </w:t>
      </w:r>
    </w:p>
  </w:endnote>
  <w:endnote w:id="835">
    <w:p>
      <w:pPr>
        <w:pStyle w:val="EndnoteText"/>
      </w:pPr>
      <w:r>
        <w:rPr>
          <w:rStyle w:val="EndnoteReference"/>
        </w:rPr>
        <w:endnoteRef/>
      </w:r>
      <w:r>
        <w:t xml:space="preserve"> </w:t>
      </w:r>
      <w:r>
        <w:rPr>
          <w:i/>
        </w:rPr>
        <w:t>Id</w:t>
      </w:r>
      <w:r>
        <w:t>. at *2.</w:t>
      </w:r>
    </w:p>
  </w:endnote>
  <w:endnote w:id="836">
    <w:p>
      <w:pPr>
        <w:pStyle w:val="EndnoteText"/>
      </w:pPr>
      <w:r>
        <w:rPr>
          <w:rStyle w:val="EndnoteReference"/>
        </w:rPr>
        <w:endnoteRef/>
      </w:r>
      <w:r>
        <w:t xml:space="preserve"> </w:t>
      </w:r>
      <w:r>
        <w:rPr>
          <w:i/>
        </w:rPr>
        <w:t>Id</w:t>
      </w:r>
      <w:r>
        <w:t>. at *2.</w:t>
      </w:r>
    </w:p>
  </w:endnote>
  <w:endnote w:id="837">
    <w:p>
      <w:pPr>
        <w:pStyle w:val="EndnoteText"/>
      </w:pPr>
      <w:r>
        <w:rPr>
          <w:rStyle w:val="EndnoteReference"/>
        </w:rPr>
        <w:endnoteRef/>
      </w:r>
      <w:r>
        <w:t xml:space="preserve"> </w:t>
      </w:r>
      <w:r>
        <w:rPr>
          <w:i/>
        </w:rPr>
        <w:t>Id</w:t>
      </w:r>
      <w:r>
        <w:t>. at *1.</w:t>
      </w:r>
    </w:p>
  </w:endnote>
  <w:endnote w:id="838">
    <w:p>
      <w:pPr>
        <w:pStyle w:val="EndnoteText"/>
      </w:pPr>
      <w:r>
        <w:rPr>
          <w:rStyle w:val="EndnoteReference"/>
        </w:rPr>
        <w:endnoteRef/>
      </w:r>
      <w:r>
        <w:t xml:space="preserve"> </w:t>
      </w:r>
      <w:r>
        <w:rPr>
          <w:i/>
        </w:rPr>
        <w:t>Id</w:t>
      </w:r>
      <w:r>
        <w:t>. at *7.</w:t>
      </w:r>
    </w:p>
  </w:endnote>
  <w:endnote w:id="839">
    <w:p>
      <w:pPr>
        <w:pStyle w:val="EndnoteText"/>
      </w:pPr>
      <w:r>
        <w:rPr>
          <w:rStyle w:val="EndnoteReference"/>
        </w:rPr>
        <w:endnoteRef/>
      </w:r>
      <w:r>
        <w:t xml:space="preserve"> </w:t>
      </w:r>
      <w:r>
        <w:rPr>
          <w:i/>
        </w:rPr>
        <w:t>Id</w:t>
      </w:r>
      <w:r>
        <w:t>. at *4.</w:t>
      </w:r>
    </w:p>
  </w:endnote>
  <w:endnote w:id="840">
    <w:p>
      <w:pPr>
        <w:pStyle w:val="EndnoteText"/>
      </w:pPr>
      <w:r>
        <w:rPr>
          <w:rStyle w:val="EndnoteReference"/>
        </w:rPr>
        <w:endnoteRef/>
      </w:r>
      <w:r>
        <w:t xml:space="preserve"> </w:t>
      </w:r>
      <w:r>
        <w:rPr>
          <w:i/>
        </w:rPr>
        <w:t>Id</w:t>
      </w:r>
      <w:r>
        <w:t>. at *4.</w:t>
      </w:r>
    </w:p>
  </w:endnote>
  <w:endnote w:id="841">
    <w:p>
      <w:pPr>
        <w:pStyle w:val="EndnoteText"/>
      </w:pPr>
      <w:r>
        <w:rPr>
          <w:rStyle w:val="EndnoteReference"/>
        </w:rPr>
        <w:endnoteRef/>
      </w:r>
      <w:r>
        <w:t xml:space="preserve"> </w:t>
      </w:r>
      <w:r>
        <w:rPr>
          <w:i/>
        </w:rPr>
        <w:t>Id</w:t>
      </w:r>
      <w:r>
        <w:t>. at *6-7.</w:t>
      </w:r>
    </w:p>
  </w:endnote>
  <w:endnote w:id="842">
    <w:p>
      <w:pPr>
        <w:pStyle w:val="EndnoteText"/>
      </w:pPr>
      <w:r>
        <w:rPr>
          <w:rStyle w:val="EndnoteReference"/>
        </w:rPr>
        <w:endnoteRef/>
      </w:r>
      <w:r>
        <w:t xml:space="preserve"> </w:t>
      </w:r>
      <w:r>
        <w:rPr>
          <w:i/>
        </w:rPr>
        <w:t>Id</w:t>
      </w:r>
      <w:r>
        <w:t xml:space="preserve">. </w:t>
      </w:r>
    </w:p>
  </w:endnote>
  <w:endnote w:id="843">
    <w:p>
      <w:pPr>
        <w:pStyle w:val="EndnoteText"/>
      </w:pPr>
      <w:r>
        <w:rPr>
          <w:rStyle w:val="EndnoteReference"/>
        </w:rPr>
        <w:endnoteRef/>
      </w:r>
      <w:r>
        <w:t xml:space="preserve"> </w:t>
      </w:r>
      <w:r>
        <w:rPr>
          <w:rStyle w:val="apple-converted-space"/>
          <w:color w:val="252525"/>
        </w:rPr>
        <w:t> </w:t>
      </w:r>
      <w:r>
        <w:rPr>
          <w:color w:val="252525"/>
        </w:rPr>
        <w:t>No. 10–155–WOB–CJS, 2012 WL 1080411 (E.D. Ky. March 30, 2012).</w:t>
      </w:r>
    </w:p>
  </w:endnote>
  <w:endnote w:id="844">
    <w:p>
      <w:pPr>
        <w:pStyle w:val="EndnoteText"/>
      </w:pPr>
      <w:r>
        <w:rPr>
          <w:rStyle w:val="EndnoteReference"/>
        </w:rPr>
        <w:endnoteRef/>
      </w:r>
      <w:r>
        <w:t xml:space="preserve"> </w:t>
      </w:r>
      <w:r>
        <w:rPr>
          <w:i/>
        </w:rPr>
        <w:t>Id</w:t>
      </w:r>
      <w:r>
        <w:t>. at *2-3.</w:t>
      </w:r>
    </w:p>
  </w:endnote>
  <w:endnote w:id="845">
    <w:p>
      <w:pPr>
        <w:pStyle w:val="EndnoteText"/>
      </w:pPr>
      <w:r>
        <w:rPr>
          <w:rStyle w:val="EndnoteReference"/>
        </w:rPr>
        <w:endnoteRef/>
      </w:r>
      <w:r>
        <w:t xml:space="preserve"> </w:t>
      </w:r>
      <w:r>
        <w:rPr>
          <w:i/>
        </w:rPr>
        <w:t>Id</w:t>
      </w:r>
      <w:r>
        <w:t>.</w:t>
      </w:r>
    </w:p>
  </w:endnote>
  <w:endnote w:id="846">
    <w:p>
      <w:pPr>
        <w:pStyle w:val="EndnoteText"/>
      </w:pPr>
      <w:r>
        <w:rPr>
          <w:rStyle w:val="EndnoteReference"/>
        </w:rPr>
        <w:endnoteRef/>
      </w:r>
      <w:r>
        <w:t xml:space="preserve"> </w:t>
      </w:r>
      <w:r>
        <w:rPr>
          <w:i/>
        </w:rPr>
        <w:t>Id</w:t>
      </w:r>
      <w:r>
        <w:t xml:space="preserve">. at *3. </w:t>
      </w:r>
    </w:p>
  </w:endnote>
  <w:endnote w:id="847">
    <w:p>
      <w:pPr>
        <w:pStyle w:val="EndnoteText"/>
      </w:pPr>
      <w:r>
        <w:rPr>
          <w:rStyle w:val="EndnoteReference"/>
        </w:rPr>
        <w:endnoteRef/>
      </w:r>
      <w:r>
        <w:t xml:space="preserve"> </w:t>
      </w:r>
      <w:r>
        <w:rPr>
          <w:i/>
        </w:rPr>
        <w:t>Id</w:t>
      </w:r>
      <w:r>
        <w:t xml:space="preserve">. at *1. </w:t>
      </w:r>
    </w:p>
  </w:endnote>
  <w:endnote w:id="848">
    <w:p>
      <w:pPr>
        <w:pStyle w:val="EndnoteText"/>
      </w:pPr>
      <w:r>
        <w:rPr>
          <w:rStyle w:val="EndnoteReference"/>
        </w:rPr>
        <w:endnoteRef/>
      </w:r>
      <w:r>
        <w:t xml:space="preserve"> </w:t>
      </w:r>
      <w:r>
        <w:rPr>
          <w:i/>
        </w:rPr>
        <w:t>Id</w:t>
      </w:r>
      <w:r>
        <w:t xml:space="preserve">. at *3. </w:t>
      </w:r>
    </w:p>
  </w:endnote>
  <w:endnote w:id="849">
    <w:p>
      <w:pPr>
        <w:pStyle w:val="EndnoteText"/>
      </w:pPr>
      <w:r>
        <w:rPr>
          <w:rStyle w:val="EndnoteReference"/>
        </w:rPr>
        <w:endnoteRef/>
      </w:r>
      <w:r>
        <w:t xml:space="preserve"> </w:t>
      </w:r>
      <w:r>
        <w:rPr>
          <w:i/>
        </w:rPr>
        <w:t>Id</w:t>
      </w:r>
      <w:r>
        <w:t xml:space="preserve">. at *5. </w:t>
      </w:r>
    </w:p>
  </w:endnote>
  <w:endnote w:id="850">
    <w:p>
      <w:pPr>
        <w:pStyle w:val="EndnoteText"/>
      </w:pPr>
      <w:r>
        <w:rPr>
          <w:rStyle w:val="EndnoteReference"/>
        </w:rPr>
        <w:endnoteRef/>
      </w:r>
      <w:r>
        <w:t xml:space="preserve"> </w:t>
      </w:r>
      <w:r>
        <w:rPr>
          <w:i/>
        </w:rPr>
        <w:t>Srouder v. Dana Light Axle Manufacturing, LLC</w:t>
      </w:r>
      <w:r>
        <w:t xml:space="preserve">, 725 F.3d 608, 614-15 (2013). </w:t>
      </w:r>
    </w:p>
  </w:endnote>
  <w:endnote w:id="851">
    <w:p>
      <w:pPr>
        <w:pStyle w:val="EndnoteText"/>
      </w:pPr>
      <w:r>
        <w:rPr>
          <w:rStyle w:val="EndnoteReference"/>
        </w:rPr>
        <w:endnoteRef/>
      </w:r>
      <w:r>
        <w:t xml:space="preserve"> 542 Fed. Appx. 370 (5th Cir. 2013). </w:t>
      </w:r>
    </w:p>
  </w:endnote>
  <w:endnote w:id="852">
    <w:p>
      <w:pPr>
        <w:pStyle w:val="EndnoteText"/>
      </w:pPr>
      <w:r>
        <w:rPr>
          <w:rStyle w:val="EndnoteReference"/>
        </w:rPr>
        <w:endnoteRef/>
      </w:r>
      <w:r>
        <w:t xml:space="preserve"> </w:t>
      </w:r>
      <w:r>
        <w:rPr>
          <w:i/>
        </w:rPr>
        <w:t>Id</w:t>
      </w:r>
      <w:r>
        <w:t>. at 371-72.</w:t>
      </w:r>
    </w:p>
  </w:endnote>
  <w:endnote w:id="853">
    <w:p>
      <w:pPr>
        <w:pStyle w:val="EndnoteText"/>
      </w:pPr>
      <w:r>
        <w:rPr>
          <w:rStyle w:val="EndnoteReference"/>
        </w:rPr>
        <w:endnoteRef/>
      </w:r>
      <w:r>
        <w:t xml:space="preserve"> </w:t>
      </w:r>
      <w:r>
        <w:rPr>
          <w:i/>
        </w:rPr>
        <w:t>Id</w:t>
      </w:r>
      <w:r>
        <w:t xml:space="preserve">. at 372. </w:t>
      </w:r>
    </w:p>
  </w:endnote>
  <w:endnote w:id="854">
    <w:p>
      <w:pPr>
        <w:pStyle w:val="EndnoteText"/>
      </w:pPr>
      <w:r>
        <w:rPr>
          <w:rStyle w:val="EndnoteReference"/>
        </w:rPr>
        <w:endnoteRef/>
      </w:r>
      <w:r>
        <w:t xml:space="preserve"> </w:t>
      </w:r>
      <w:r>
        <w:rPr>
          <w:i/>
        </w:rPr>
        <w:t>Id</w:t>
      </w:r>
      <w:r>
        <w:t xml:space="preserve">. at 372-373. </w:t>
      </w:r>
    </w:p>
  </w:endnote>
  <w:endnote w:id="855">
    <w:p>
      <w:pPr>
        <w:pStyle w:val="EndnoteText"/>
      </w:pPr>
      <w:r>
        <w:rPr>
          <w:rStyle w:val="EndnoteReference"/>
        </w:rPr>
        <w:endnoteRef/>
      </w:r>
      <w:r>
        <w:t xml:space="preserve"> </w:t>
      </w:r>
      <w:r>
        <w:rPr>
          <w:i/>
        </w:rPr>
        <w:t>Id</w:t>
      </w:r>
      <w:r>
        <w:t>.</w:t>
      </w:r>
      <w:r>
        <w:rPr>
          <w:i/>
        </w:rPr>
        <w:t xml:space="preserve"> </w:t>
      </w:r>
    </w:p>
  </w:endnote>
  <w:endnote w:id="856">
    <w:p>
      <w:pPr>
        <w:pStyle w:val="EndnoteText"/>
      </w:pPr>
      <w:r>
        <w:rPr>
          <w:rStyle w:val="EndnoteReference"/>
        </w:rPr>
        <w:endnoteRef/>
      </w:r>
      <w:r>
        <w:t xml:space="preserve"> </w:t>
      </w:r>
      <w:r>
        <w:rPr>
          <w:i/>
        </w:rPr>
        <w:t>Id</w:t>
      </w:r>
      <w:r>
        <w:t>.</w:t>
      </w:r>
      <w:r>
        <w:rPr>
          <w:i/>
        </w:rPr>
        <w:t xml:space="preserve"> </w:t>
      </w:r>
    </w:p>
  </w:endnote>
  <w:endnote w:id="857">
    <w:p>
      <w:pPr>
        <w:pStyle w:val="EndnoteText"/>
      </w:pPr>
      <w:r>
        <w:rPr>
          <w:rStyle w:val="EndnoteReference"/>
        </w:rPr>
        <w:endnoteRef/>
      </w:r>
      <w:r>
        <w:t xml:space="preserve"> </w:t>
      </w:r>
      <w:r>
        <w:rPr>
          <w:i/>
        </w:rPr>
        <w:t>Id</w:t>
      </w:r>
      <w:r>
        <w:t xml:space="preserve">. at 373. </w:t>
      </w:r>
    </w:p>
  </w:endnote>
  <w:endnote w:id="858">
    <w:p>
      <w:pPr>
        <w:pStyle w:val="EndnoteText"/>
      </w:pPr>
      <w:r>
        <w:rPr>
          <w:rStyle w:val="EndnoteReference"/>
        </w:rPr>
        <w:endnoteRef/>
      </w:r>
      <w:r>
        <w:t xml:space="preserve"> </w:t>
      </w:r>
      <w:r>
        <w:rPr>
          <w:i/>
        </w:rPr>
        <w:t>Id</w:t>
      </w:r>
      <w:r>
        <w:t xml:space="preserve">. at 373, 379. </w:t>
      </w:r>
    </w:p>
  </w:endnote>
  <w:endnote w:id="859">
    <w:p>
      <w:pPr>
        <w:pStyle w:val="EndnoteText"/>
      </w:pPr>
      <w:r>
        <w:rPr>
          <w:rStyle w:val="EndnoteReference"/>
        </w:rPr>
        <w:endnoteRef/>
      </w:r>
      <w:r>
        <w:t xml:space="preserve"> </w:t>
      </w:r>
      <w:r>
        <w:rPr>
          <w:i/>
        </w:rPr>
        <w:t>Id</w:t>
      </w:r>
      <w:r>
        <w:t xml:space="preserve">. at 374-76. </w:t>
      </w:r>
    </w:p>
  </w:endnote>
  <w:endnote w:id="860">
    <w:p>
      <w:pPr>
        <w:pStyle w:val="EndnoteText"/>
      </w:pPr>
      <w:r>
        <w:rPr>
          <w:rStyle w:val="EndnoteReference"/>
        </w:rPr>
        <w:endnoteRef/>
      </w:r>
      <w:r>
        <w:t xml:space="preserve"> 522 Fed. Appx. 829 (2013). </w:t>
      </w:r>
    </w:p>
  </w:endnote>
  <w:endnote w:id="861">
    <w:p>
      <w:pPr>
        <w:pStyle w:val="EndnoteText"/>
      </w:pPr>
      <w:r>
        <w:rPr>
          <w:rStyle w:val="EndnoteReference"/>
        </w:rPr>
        <w:endnoteRef/>
      </w:r>
      <w:r>
        <w:t xml:space="preserve"> </w:t>
      </w:r>
      <w:r>
        <w:rPr>
          <w:i/>
        </w:rPr>
        <w:t>Id</w:t>
      </w:r>
      <w:r>
        <w:t xml:space="preserve">. at 831. </w:t>
      </w:r>
    </w:p>
  </w:endnote>
  <w:endnote w:id="862">
    <w:p>
      <w:pPr>
        <w:pStyle w:val="EndnoteText"/>
      </w:pPr>
      <w:r>
        <w:rPr>
          <w:rStyle w:val="EndnoteReference"/>
        </w:rPr>
        <w:endnoteRef/>
      </w:r>
      <w:r>
        <w:t xml:space="preserve"> </w:t>
      </w:r>
      <w:r>
        <w:rPr>
          <w:i/>
        </w:rPr>
        <w:t>Id</w:t>
      </w:r>
      <w:r>
        <w:t xml:space="preserve">. at 835. </w:t>
      </w:r>
    </w:p>
  </w:endnote>
  <w:endnote w:id="863">
    <w:p>
      <w:pPr>
        <w:pStyle w:val="EndnoteText"/>
      </w:pPr>
      <w:r>
        <w:rPr>
          <w:rStyle w:val="EndnoteReference"/>
        </w:rPr>
        <w:endnoteRef/>
      </w:r>
      <w:r>
        <w:t xml:space="preserve"> </w:t>
      </w:r>
      <w:r>
        <w:rPr>
          <w:i/>
        </w:rPr>
        <w:t>Id</w:t>
      </w:r>
      <w:r>
        <w:t>.</w:t>
      </w:r>
      <w:r>
        <w:rPr>
          <w:i/>
        </w:rPr>
        <w:t xml:space="preserve"> </w:t>
      </w:r>
    </w:p>
  </w:endnote>
  <w:endnote w:id="864">
    <w:p>
      <w:pPr>
        <w:pStyle w:val="EndnoteText"/>
      </w:pPr>
      <w:r>
        <w:rPr>
          <w:rStyle w:val="EndnoteReference"/>
        </w:rPr>
        <w:endnoteRef/>
      </w:r>
      <w:r>
        <w:t xml:space="preserve"> </w:t>
      </w:r>
      <w:r>
        <w:rPr>
          <w:i/>
        </w:rPr>
        <w:t>Id</w:t>
      </w:r>
      <w:r>
        <w:t xml:space="preserve">. at 834-36. </w:t>
      </w:r>
    </w:p>
  </w:endnote>
  <w:endnote w:id="865">
    <w:p>
      <w:pPr>
        <w:pStyle w:val="EndnoteText"/>
      </w:pPr>
      <w:r>
        <w:rPr>
          <w:rStyle w:val="EndnoteReference"/>
        </w:rPr>
        <w:endnoteRef/>
      </w:r>
      <w:r>
        <w:t xml:space="preserve"> </w:t>
      </w:r>
      <w:r>
        <w:rPr>
          <w:i/>
        </w:rPr>
        <w:t>See</w:t>
      </w:r>
      <w:r>
        <w:t xml:space="preserve"> </w:t>
      </w:r>
      <w:r>
        <w:rPr>
          <w:i/>
        </w:rPr>
        <w:t>Daubert v. Merrell Dow Pharmaceuticals, Inc.,</w:t>
      </w:r>
      <w:r>
        <w:t xml:space="preserve"> </w:t>
      </w:r>
      <w:r>
        <w:rPr>
          <w:rFonts w:cs="Arial"/>
          <w:bCs/>
        </w:rPr>
        <w:t xml:space="preserve">509 U.S. 579, </w:t>
      </w:r>
      <w:r>
        <w:rPr>
          <w:rFonts w:cs="Arial"/>
          <w:color w:val="252525"/>
        </w:rPr>
        <w:t>113 S.Ct. 2786</w:t>
      </w:r>
      <w:r>
        <w:rPr>
          <w:rFonts w:cs="Arial"/>
          <w:bCs/>
        </w:rPr>
        <w:t xml:space="preserve"> (1993).</w:t>
      </w:r>
    </w:p>
  </w:endnote>
  <w:endnote w:id="866">
    <w:p>
      <w:pPr>
        <w:pStyle w:val="EndnoteText"/>
      </w:pPr>
      <w:r>
        <w:rPr>
          <w:rStyle w:val="EndnoteReference"/>
        </w:rPr>
        <w:endnoteRef/>
      </w:r>
      <w:r>
        <w:t xml:space="preserve"> </w:t>
      </w:r>
      <w:r>
        <w:rPr>
          <w:i/>
        </w:rPr>
        <w:t xml:space="preserve">See </w:t>
      </w:r>
      <w:r>
        <w:t>Robin V. Spivey,</w:t>
      </w:r>
      <w:r>
        <w:rPr>
          <w:i/>
        </w:rPr>
        <w:t xml:space="preserve"> Agnor’s Evidence</w:t>
      </w:r>
      <w:r>
        <w:t xml:space="preserve"> § 7:5 (2012-2013); Mary Doone Peters, </w:t>
      </w:r>
      <w:r>
        <w:rPr>
          <w:i/>
        </w:rPr>
        <w:t xml:space="preserve">The Admissibility of Expert Testimony in Georgia </w:t>
      </w:r>
      <w:r>
        <w:t xml:space="preserve">§ 1:1 (2012-2013). </w:t>
      </w:r>
    </w:p>
  </w:endnote>
  <w:endnote w:id="867">
    <w:p>
      <w:pPr>
        <w:pStyle w:val="EndnoteText"/>
      </w:pPr>
      <w:r>
        <w:rPr>
          <w:rStyle w:val="EndnoteReference"/>
        </w:rPr>
        <w:endnoteRef/>
      </w:r>
      <w:r>
        <w:t xml:space="preserve"> </w:t>
      </w:r>
      <w:r>
        <w:rPr>
          <w:i/>
        </w:rPr>
        <w:t>See</w:t>
      </w:r>
      <w:r>
        <w:t xml:space="preserve"> </w:t>
      </w:r>
      <w:r>
        <w:rPr>
          <w:i/>
        </w:rPr>
        <w:t>Allison v. McGhan Medical Corp.</w:t>
      </w:r>
      <w:r>
        <w:t xml:space="preserve">, 184 F.3d 1300 (11th Cir. 1999). </w:t>
      </w:r>
    </w:p>
  </w:endnote>
  <w:endnote w:id="868">
    <w:p>
      <w:pPr>
        <w:pStyle w:val="EndnoteText"/>
      </w:pPr>
      <w:r>
        <w:rPr>
          <w:rStyle w:val="EndnoteReference"/>
        </w:rPr>
        <w:endnoteRef/>
      </w:r>
      <w:r>
        <w:t xml:space="preserve"> </w:t>
      </w:r>
      <w:r>
        <w:rPr>
          <w:i/>
        </w:rPr>
        <w:t>See</w:t>
      </w:r>
      <w:r>
        <w:t xml:space="preserve"> </w:t>
      </w:r>
      <w:r>
        <w:rPr>
          <w:i/>
        </w:rPr>
        <w:t>Sotomayor v. Tama I, LLC</w:t>
      </w:r>
      <w:r>
        <w:t xml:space="preserve">, 274 Ga. App. 323, 617 S.E.2d 606 (2005). </w:t>
      </w:r>
    </w:p>
  </w:endnote>
  <w:endnote w:id="869">
    <w:p>
      <w:pPr>
        <w:pStyle w:val="EndnoteText"/>
      </w:pPr>
      <w:r>
        <w:rPr>
          <w:rStyle w:val="EndnoteReference"/>
        </w:rPr>
        <w:endnoteRef/>
      </w:r>
      <w:r>
        <w:t xml:space="preserve"> </w:t>
      </w:r>
      <w:r>
        <w:rPr>
          <w:i/>
        </w:rPr>
        <w:t>Southern Ry. Co. v. Webb</w:t>
      </w:r>
      <w:r>
        <w:t xml:space="preserve">, 116 Ga. 152, 42 S.E. 395 (1902). </w:t>
      </w:r>
    </w:p>
  </w:endnote>
  <w:endnote w:id="870">
    <w:p>
      <w:pPr>
        <w:pStyle w:val="EndnoteText"/>
      </w:pPr>
      <w:r>
        <w:rPr>
          <w:rStyle w:val="EndnoteReference"/>
        </w:rPr>
        <w:endnoteRef/>
      </w:r>
      <w:r>
        <w:t xml:space="preserve"> Dobbs, et al., </w:t>
      </w:r>
      <w:r>
        <w:rPr>
          <w:i/>
        </w:rPr>
        <w:t>Prosser and Keeton on Torts (</w:t>
      </w:r>
      <w:r>
        <w:t>5</w:t>
      </w:r>
      <w:r>
        <w:rPr>
          <w:vertAlign w:val="superscript"/>
        </w:rPr>
        <w:t>th</w:t>
      </w:r>
      <w:r>
        <w:t xml:space="preserve"> Ed.).</w:t>
      </w:r>
    </w:p>
  </w:endnote>
  <w:endnote w:id="871">
    <w:p>
      <w:pPr>
        <w:pStyle w:val="EndnoteText"/>
      </w:pPr>
      <w:r>
        <w:rPr>
          <w:rStyle w:val="EndnoteReference"/>
        </w:rPr>
        <w:endnoteRef/>
      </w:r>
      <w:r>
        <w:t xml:space="preserve"> </w:t>
      </w:r>
      <w:r>
        <w:rPr>
          <w:i/>
        </w:rPr>
        <w:t>See Anthony v. Chambless</w:t>
      </w:r>
      <w:r>
        <w:t>, 231 Ga. App. 657, 500 S.E.2d 404 (1998) ("Although it is not necessary for the plaintiff's experts to use the magic words ‘reasonable degree of medical certainty’ in describing the decedent's prospect of survival with appropriate treatment, such prospect must be more than a mere chance or speculation."); Robin V. Spivey,</w:t>
      </w:r>
      <w:r>
        <w:rPr>
          <w:i/>
        </w:rPr>
        <w:t xml:space="preserve"> Agnor’s Evidence</w:t>
      </w:r>
      <w:r>
        <w:t>, 447 (2012-2013) ("The weight to assign evidence is a matter for the jury.").</w:t>
      </w:r>
    </w:p>
  </w:endnote>
  <w:endnote w:id="872">
    <w:p>
      <w:pPr>
        <w:pStyle w:val="EndnoteText"/>
      </w:pPr>
      <w:r>
        <w:rPr>
          <w:rStyle w:val="EndnoteReference"/>
        </w:rPr>
        <w:endnoteRef/>
      </w:r>
      <w:r>
        <w:t xml:space="preserve">  </w:t>
      </w:r>
      <w:r>
        <w:rPr>
          <w:i/>
        </w:rPr>
        <w:t>See Cartledge v. Montano</w:t>
      </w:r>
      <w:r>
        <w:t xml:space="preserve">, 750 S.E.2d 772 (2013) ("The appropriate standard for assessing the admissibility of the opinion of an expert is not whether it is speculative or conjectural to some degree, but whether it is wholly so."); </w:t>
      </w:r>
      <w:r>
        <w:rPr>
          <w:i/>
        </w:rPr>
        <w:t>see also</w:t>
      </w:r>
      <w:r>
        <w:t xml:space="preserve"> </w:t>
      </w:r>
      <w:r>
        <w:rPr>
          <w:i/>
        </w:rPr>
        <w:t>Johnson v. U.S.</w:t>
      </w:r>
      <w:r>
        <w:t>, 559 U.S. 133, 130 S.Ct. 1265 (2010) ("Ultimately, context determines meaning,  and we 'do not force term-of-art definitions into contexts where they plainly do not fit and produce nonsense.'") (citations omitted).</w:t>
      </w:r>
    </w:p>
  </w:endnote>
  <w:endnote w:id="873">
    <w:p>
      <w:pPr>
        <w:pStyle w:val="EndnoteText"/>
      </w:pPr>
      <w:r>
        <w:rPr>
          <w:rStyle w:val="EndnoteReference"/>
        </w:rPr>
        <w:endnoteRef/>
      </w:r>
      <w:r>
        <w:t xml:space="preserve"> </w:t>
      </w:r>
      <w:r>
        <w:rPr>
          <w:i/>
        </w:rPr>
        <w:t>Evans v. DeKalb County Hospital Authority</w:t>
      </w:r>
      <w:r>
        <w:t xml:space="preserve">, 154 Ga. App. 17, 267 S.E.2d 319 (1980) (quoting </w:t>
      </w:r>
      <w:r>
        <w:rPr>
          <w:i/>
        </w:rPr>
        <w:t>Richter Bros. v. Atlantic Co.</w:t>
      </w:r>
      <w:r>
        <w:t>, 59 Ga. App. 137, 141, 200 S.E. 462, 464 (1938)).</w:t>
      </w:r>
    </w:p>
  </w:endnote>
  <w:endnote w:id="874">
    <w:p>
      <w:pPr>
        <w:pStyle w:val="EndnoteText"/>
      </w:pPr>
      <w:r>
        <w:rPr>
          <w:rStyle w:val="EndnoteReference"/>
        </w:rPr>
        <w:endnoteRef/>
      </w:r>
      <w:r>
        <w:t xml:space="preserve"> </w:t>
      </w:r>
      <w:r>
        <w:rPr>
          <w:i/>
        </w:rPr>
        <w:t>Green’s Law of Evidence</w:t>
      </w:r>
      <w:r>
        <w:t xml:space="preserve"> </w:t>
      </w:r>
      <w:r>
        <w:rPr>
          <w:smallCaps/>
        </w:rPr>
        <w:t>§ 11:1</w:t>
      </w:r>
      <w:r>
        <w:t xml:space="preserve"> (2013–2014 Ed.).  </w:t>
      </w:r>
    </w:p>
  </w:endnote>
  <w:endnote w:id="875">
    <w:p>
      <w:pPr>
        <w:pStyle w:val="EndnoteText"/>
      </w:pPr>
      <w:r>
        <w:rPr>
          <w:rStyle w:val="EndnoteReference"/>
        </w:rPr>
        <w:endnoteRef/>
      </w:r>
      <w:r>
        <w:t xml:space="preserve"> </w:t>
      </w:r>
      <w:r>
        <w:rPr>
          <w:i/>
        </w:rPr>
        <w:t>See Miller v. Miller</w:t>
      </w:r>
      <w:r>
        <w:t>, 258 Ga. 168, 366 S.E.2d 682 (1988).</w:t>
      </w:r>
    </w:p>
  </w:endnote>
  <w:endnote w:id="876">
    <w:p>
      <w:pPr>
        <w:pStyle w:val="EndnoteText"/>
      </w:pPr>
      <w:r>
        <w:rPr>
          <w:rStyle w:val="EndnoteReference"/>
        </w:rPr>
        <w:endnoteRef/>
      </w:r>
      <w:r>
        <w:t xml:space="preserve"> </w:t>
      </w:r>
      <w:r>
        <w:rPr>
          <w:i/>
        </w:rPr>
        <w:t>Microsoft Corp. v. i4i Ltd. Partnership</w:t>
      </w:r>
      <w:r>
        <w:t xml:space="preserve">, </w:t>
      </w:r>
    </w:p>
    <w:p>
      <w:pPr>
        <w:pStyle w:val="EndnoteText"/>
      </w:pPr>
      <w:r>
        <w:t xml:space="preserve">131 S.Ct. 2238 (2011). </w:t>
      </w:r>
    </w:p>
  </w:endnote>
  <w:endnote w:id="877">
    <w:p>
      <w:pPr>
        <w:pStyle w:val="EndnoteText"/>
      </w:pPr>
      <w:r>
        <w:rPr>
          <w:rStyle w:val="EndnoteReference"/>
        </w:rPr>
        <w:endnoteRef/>
      </w:r>
      <w:r>
        <w:t xml:space="preserve"> </w:t>
      </w:r>
      <w:r>
        <w:rPr>
          <w:i/>
        </w:rPr>
        <w:t>Id.</w:t>
      </w:r>
      <w:r>
        <w:t xml:space="preserve"> </w:t>
      </w:r>
    </w:p>
  </w:endnote>
  <w:endnote w:id="878">
    <w:p>
      <w:pPr>
        <w:pStyle w:val="EndnoteText"/>
      </w:pPr>
      <w:r>
        <w:rPr>
          <w:rStyle w:val="EndnoteReference"/>
        </w:rPr>
        <w:endnoteRef/>
      </w:r>
      <w:r>
        <w:t xml:space="preserve"> Robin V. Spivey,</w:t>
      </w:r>
      <w:r>
        <w:rPr>
          <w:i/>
        </w:rPr>
        <w:t xml:space="preserve"> Agnor’s Evidence</w:t>
      </w:r>
      <w:r>
        <w:t xml:space="preserve"> § 12:2 (2012-2013).   </w:t>
      </w:r>
    </w:p>
  </w:endnote>
  <w:endnote w:id="879">
    <w:p>
      <w:pPr>
        <w:pStyle w:val="EndnoteText"/>
      </w:pPr>
      <w:r>
        <w:rPr>
          <w:rStyle w:val="EndnoteReference"/>
        </w:rPr>
        <w:endnoteRef/>
      </w:r>
      <w:r>
        <w:t xml:space="preserve"> </w:t>
      </w:r>
      <w:r>
        <w:rPr>
          <w:i/>
        </w:rPr>
        <w:t>See</w:t>
      </w:r>
      <w:r>
        <w:t xml:space="preserve"> O.C.G.A. § 24-14-1 (2013); Counsel of Superior Court Judges, Suggested Pattern Jury Instructions, Vol. </w:t>
      </w:r>
      <w:r>
        <w:rPr>
          <w:smallCaps/>
        </w:rPr>
        <w:t>I: Civil Cases,</w:t>
      </w:r>
      <w:r>
        <w:t xml:space="preserve"> § 00.040.</w:t>
      </w:r>
    </w:p>
  </w:endnote>
  <w:endnote w:id="880">
    <w:p>
      <w:pPr>
        <w:pStyle w:val="EndnoteText"/>
      </w:pPr>
      <w:r>
        <w:rPr>
          <w:rStyle w:val="EndnoteReference"/>
        </w:rPr>
        <w:endnoteRef/>
      </w:r>
      <w:r>
        <w:t xml:space="preserve"> </w:t>
      </w:r>
      <w:r>
        <w:rPr>
          <w:i/>
        </w:rPr>
        <w:t>See</w:t>
      </w:r>
      <w:r>
        <w:t xml:space="preserve"> O.C.G.A. § 24-14-1 (2013); Counsel of Superior Court Judges, Suggested Pattern Jury Instructions, Vol. </w:t>
      </w:r>
      <w:r>
        <w:rPr>
          <w:smallCaps/>
        </w:rPr>
        <w:t>I: Civil Cases,</w:t>
      </w:r>
      <w:r>
        <w:t xml:space="preserve"> § 00.040.</w:t>
      </w:r>
    </w:p>
  </w:endnote>
  <w:endnote w:id="881">
    <w:p>
      <w:pPr>
        <w:pStyle w:val="EndnoteText"/>
      </w:pPr>
      <w:r>
        <w:rPr>
          <w:rStyle w:val="EndnoteReference"/>
        </w:rPr>
        <w:endnoteRef/>
      </w:r>
      <w:r>
        <w:t xml:space="preserve"> </w:t>
      </w:r>
      <w:r>
        <w:rPr>
          <w:i/>
        </w:rPr>
        <w:t>Zwiren v. Thompson</w:t>
      </w:r>
      <w:r>
        <w:t>, 276 Ga. 498, 500, 578 S.E.2d 862 (2003).</w:t>
      </w:r>
    </w:p>
  </w:endnote>
  <w:endnote w:id="882">
    <w:p>
      <w:pPr>
        <w:pStyle w:val="EndnoteText"/>
      </w:pPr>
      <w:r>
        <w:rPr>
          <w:rStyle w:val="EndnoteReference"/>
        </w:rPr>
        <w:endnoteRef/>
      </w:r>
      <w:r>
        <w:t xml:space="preserve"> </w:t>
      </w:r>
      <w:r>
        <w:rPr>
          <w:i/>
        </w:rPr>
        <w:t>Microsoft Corp. v. i4i Ltd. Partnership</w:t>
      </w:r>
      <w:r>
        <w:t xml:space="preserve">, </w:t>
      </w:r>
    </w:p>
    <w:p>
      <w:pPr>
        <w:pStyle w:val="EndnoteText"/>
      </w:pPr>
      <w:r>
        <w:t>131 S.Ct. 2238, 2245 (2011).</w:t>
      </w:r>
    </w:p>
  </w:endnote>
  <w:endnote w:id="883">
    <w:p>
      <w:pPr>
        <w:pStyle w:val="EndnoteText"/>
      </w:pPr>
      <w:r>
        <w:rPr>
          <w:rStyle w:val="EndnoteReference"/>
        </w:rPr>
        <w:endnoteRef/>
      </w:r>
      <w:r>
        <w:t xml:space="preserve"> </w:t>
      </w:r>
      <w:r>
        <w:rPr>
          <w:i/>
        </w:rPr>
        <w:t>Id.</w:t>
      </w:r>
      <w:r>
        <w:t xml:space="preserve">; </w:t>
      </w:r>
      <w:r>
        <w:rPr>
          <w:i/>
        </w:rPr>
        <w:t>Aleman v. Sugarloaf Dialysis, LLC</w:t>
      </w:r>
      <w:r>
        <w:t xml:space="preserve">, 312 Ga. App. 658, </w:t>
      </w:r>
      <w:r>
        <w:rPr>
          <w:rFonts w:cs="Arial"/>
          <w:bCs/>
        </w:rPr>
        <w:t>719 S.E.2d 551</w:t>
      </w:r>
      <w:r>
        <w:t xml:space="preserve"> (2011).</w:t>
      </w:r>
    </w:p>
  </w:endnote>
  <w:endnote w:id="884">
    <w:p>
      <w:pPr>
        <w:pStyle w:val="EndnoteText"/>
      </w:pPr>
      <w:r>
        <w:rPr>
          <w:rStyle w:val="EndnoteReference"/>
        </w:rPr>
        <w:endnoteRef/>
      </w:r>
      <w:r>
        <w:t xml:space="preserve"> </w:t>
      </w:r>
      <w:r>
        <w:rPr>
          <w:i/>
        </w:rPr>
        <w:t>Aleman v. Sugarloaf Dialysis, LLC</w:t>
      </w:r>
      <w:r>
        <w:t xml:space="preserve">, 312 Ga. App. 658, </w:t>
      </w:r>
      <w:r>
        <w:rPr>
          <w:rFonts w:cs="Arial"/>
          <w:bCs/>
        </w:rPr>
        <w:t>719 S.E.2d 551</w:t>
      </w:r>
      <w:r>
        <w:t xml:space="preserve">  (2011); </w:t>
      </w:r>
      <w:r>
        <w:rPr>
          <w:i/>
        </w:rPr>
        <w:t>Anthony v. Chambless</w:t>
      </w:r>
      <w:r>
        <w:t xml:space="preserve">, 231 Ga. App. 657, </w:t>
      </w:r>
      <w:r>
        <w:rPr>
          <w:rFonts w:cs="Arial"/>
          <w:bCs/>
        </w:rPr>
        <w:t>500 S.E.2d 402</w:t>
      </w:r>
      <w:r>
        <w:t xml:space="preserve"> (1998).</w:t>
      </w:r>
    </w:p>
  </w:endnote>
  <w:endnote w:id="885">
    <w:p>
      <w:pPr>
        <w:pStyle w:val="EndnoteText"/>
      </w:pPr>
      <w:r>
        <w:rPr>
          <w:rStyle w:val="EndnoteReference"/>
        </w:rPr>
        <w:endnoteRef/>
      </w:r>
      <w:r>
        <w:t xml:space="preserve"> </w:t>
      </w:r>
      <w:r>
        <w:rPr>
          <w:i/>
        </w:rPr>
        <w:t>Knight v. Roberts</w:t>
      </w:r>
      <w:r>
        <w:t>, 316 Ga. App. 599, 730 S.E.2d 78 (2012).</w:t>
      </w:r>
    </w:p>
  </w:endnote>
  <w:endnote w:id="886">
    <w:p>
      <w:pPr>
        <w:pStyle w:val="EndnoteText"/>
      </w:pPr>
      <w:r>
        <w:rPr>
          <w:rStyle w:val="EndnoteReference"/>
        </w:rPr>
        <w:endnoteRef/>
      </w:r>
      <w:r>
        <w:t xml:space="preserve"> </w:t>
      </w:r>
      <w:r>
        <w:rPr>
          <w:i/>
        </w:rPr>
        <w:t>Berrell v. Hamilton</w:t>
      </w:r>
      <w:r>
        <w:t xml:space="preserve">, 260 Ga. App. 892, 581 S.E.2d 398 (2003). </w:t>
      </w:r>
    </w:p>
  </w:endnote>
  <w:endnote w:id="887">
    <w:p>
      <w:pPr>
        <w:pStyle w:val="EndnoteText"/>
      </w:pPr>
      <w:r>
        <w:rPr>
          <w:rStyle w:val="EndnoteReference"/>
        </w:rPr>
        <w:endnoteRef/>
      </w:r>
      <w:r>
        <w:t xml:space="preserve"> </w:t>
      </w:r>
      <w:r>
        <w:rPr>
          <w:i/>
        </w:rPr>
        <w:t>King v. Zakaria</w:t>
      </w:r>
      <w:r>
        <w:t xml:space="preserve">, 280 Ga. App. 570, 634 S.E.2d 444 (2006). </w:t>
      </w:r>
    </w:p>
  </w:endnote>
  <w:endnote w:id="888">
    <w:p>
      <w:pPr>
        <w:pStyle w:val="EndnoteText"/>
      </w:pPr>
      <w:r>
        <w:rPr>
          <w:rStyle w:val="EndnoteReference"/>
        </w:rPr>
        <w:endnoteRef/>
      </w:r>
      <w:r>
        <w:t xml:space="preserve"> O.C.G.A. § 24-14-1 2013). </w:t>
      </w:r>
    </w:p>
  </w:endnote>
  <w:endnote w:id="889">
    <w:p>
      <w:pPr>
        <w:pStyle w:val="EndnoteText"/>
      </w:pPr>
      <w:r>
        <w:rPr>
          <w:rStyle w:val="EndnoteReference"/>
        </w:rPr>
        <w:endnoteRef/>
      </w:r>
      <w:r>
        <w:t xml:space="preserve"> </w:t>
      </w:r>
      <w:r>
        <w:rPr>
          <w:i/>
        </w:rPr>
        <w:t>Moresi v. Evans</w:t>
      </w:r>
      <w:r>
        <w:t xml:space="preserve">, 257 Ga. App. 670, 572 S.E.2d 327 (2002). Note that lack of causation is also treated as an affirmative defense in federal court. </w:t>
      </w:r>
      <w:r>
        <w:rPr>
          <w:i/>
        </w:rPr>
        <w:t>See Spakes v. Broward County Sheriff's Office</w:t>
      </w:r>
      <w:r>
        <w:t>, 631 F.3d 1307, 1309 (11th Cir. 2011).</w:t>
      </w:r>
    </w:p>
  </w:endnote>
  <w:endnote w:id="890">
    <w:p>
      <w:pPr>
        <w:pStyle w:val="EndnoteText"/>
      </w:pPr>
      <w:r>
        <w:rPr>
          <w:rStyle w:val="EndnoteReference"/>
        </w:rPr>
        <w:endnoteRef/>
      </w:r>
      <w:r>
        <w:t xml:space="preserve"> O.C.G.A. § 24-14-1 (2013). </w:t>
      </w:r>
    </w:p>
  </w:endnote>
  <w:endnote w:id="891">
    <w:p>
      <w:pPr>
        <w:pStyle w:val="EndnoteText"/>
      </w:pPr>
      <w:r>
        <w:rPr>
          <w:rStyle w:val="EndnoteReference"/>
        </w:rPr>
        <w:endnoteRef/>
      </w:r>
      <w:r>
        <w:t xml:space="preserve"> </w:t>
      </w:r>
      <w:r>
        <w:rPr>
          <w:i/>
        </w:rPr>
        <w:t>Bobick v. Community &amp; Southern Bank</w:t>
      </w:r>
      <w:r>
        <w:t xml:space="preserve">, 312 Ga. App. 855, 720 S.E.2d 305 (2013) (internal citations and  punctuation omitted). </w:t>
      </w:r>
    </w:p>
  </w:endnote>
  <w:endnote w:id="892">
    <w:p>
      <w:pPr>
        <w:pStyle w:val="EndnoteText"/>
      </w:pPr>
      <w:r>
        <w:rPr>
          <w:rStyle w:val="EndnoteReference"/>
        </w:rPr>
        <w:endnoteRef/>
      </w:r>
      <w:r>
        <w:t xml:space="preserve">  </w:t>
      </w:r>
      <w:r>
        <w:rPr>
          <w:i/>
        </w:rPr>
        <w:t>Brown v. State</w:t>
      </w:r>
      <w:r>
        <w:t>, 267 Ga. 350, 478 S.E.2d 129 (1996).</w:t>
      </w:r>
    </w:p>
  </w:endnote>
  <w:endnote w:id="893">
    <w:p>
      <w:pPr>
        <w:pStyle w:val="EndnoteText"/>
      </w:pPr>
      <w:r>
        <w:rPr>
          <w:rStyle w:val="EndnoteReference"/>
        </w:rPr>
        <w:endnoteRef/>
      </w:r>
      <w:r>
        <w:t xml:space="preserve"> </w:t>
      </w:r>
      <w:r>
        <w:rPr>
          <w:i/>
        </w:rPr>
        <w:t>Evans v. DeKalb County Hospital Authority</w:t>
      </w:r>
      <w:r>
        <w:t xml:space="preserve">, 154 Ga. App. 17, 267 S.E.2d 319 (1980). </w:t>
      </w:r>
    </w:p>
  </w:endnote>
  <w:endnote w:id="894">
    <w:p>
      <w:pPr>
        <w:pStyle w:val="EndnoteText"/>
      </w:pPr>
      <w:r>
        <w:rPr>
          <w:rStyle w:val="EndnoteReference"/>
        </w:rPr>
        <w:endnoteRef/>
      </w:r>
      <w:r>
        <w:t xml:space="preserve"> </w:t>
      </w:r>
      <w:r>
        <w:rPr>
          <w:i/>
        </w:rPr>
        <w:t>See</w:t>
      </w:r>
      <w:r>
        <w:t xml:space="preserve"> </w:t>
      </w:r>
      <w:r>
        <w:rPr>
          <w:i/>
        </w:rPr>
        <w:t>Hulbert v. Domino's Pizza, Inc.</w:t>
      </w:r>
      <w:r>
        <w:t>, 239 Ga. App. 370, 521 S.E.2d 43 (1999).</w:t>
      </w:r>
    </w:p>
  </w:endnote>
  <w:endnote w:id="895">
    <w:p>
      <w:pPr>
        <w:pStyle w:val="EndnoteText"/>
      </w:pPr>
      <w:r>
        <w:rPr>
          <w:rStyle w:val="EndnoteReference"/>
        </w:rPr>
        <w:endnoteRef/>
      </w:r>
      <w:r>
        <w:t xml:space="preserve"> </w:t>
      </w:r>
      <w:r>
        <w:rPr>
          <w:i/>
        </w:rPr>
        <w:t>See Williams v. Eight Judicial Dist. Court of State, ex rel. County of Clark</w:t>
      </w:r>
      <w:r>
        <w:t xml:space="preserve">, 262 P.3d 360 (2011) (finding that a defendant who sets forth an alternative theory of causation has the burden of proving to a reasonable degree of medical certainty). </w:t>
      </w:r>
    </w:p>
  </w:endnote>
  <w:endnote w:id="896">
    <w:p>
      <w:pPr>
        <w:pStyle w:val="EndnoteText"/>
      </w:pPr>
      <w:r>
        <w:rPr>
          <w:rStyle w:val="EndnoteReference"/>
        </w:rPr>
        <w:endnoteRef/>
      </w:r>
      <w:r>
        <w:rPr>
          <w:i/>
        </w:rPr>
        <w:t>Knight v. Roberts</w:t>
      </w:r>
      <w:r>
        <w:t xml:space="preserve">, 316 Ga. App. 599, 730 S.E.2d 78 (2012). </w:t>
      </w:r>
    </w:p>
  </w:endnote>
  <w:endnote w:id="897">
    <w:p>
      <w:pPr>
        <w:pStyle w:val="EndnoteText"/>
      </w:pPr>
      <w:r>
        <w:rPr>
          <w:rStyle w:val="EndnoteReference"/>
        </w:rPr>
        <w:endnoteRef/>
      </w:r>
      <w:r>
        <w:t xml:space="preserve"> </w:t>
      </w:r>
      <w:r>
        <w:rPr>
          <w:i/>
        </w:rPr>
        <w:t>See</w:t>
      </w:r>
      <w:r>
        <w:t xml:space="preserve"> </w:t>
      </w:r>
      <w:r>
        <w:rPr>
          <w:i/>
        </w:rPr>
        <w:t>Williams v. Eight Judicial Dist. Court of State</w:t>
      </w:r>
      <w:r>
        <w:t>, 262 P.3d 360 (Nev. Sup. Ct. 2011) (“the relevant inquiry in determining whether the reasonable degree of medical probability standard applies is the purpose of the testimony.”).</w:t>
      </w:r>
    </w:p>
  </w:endnote>
  <w:endnote w:id="898">
    <w:p>
      <w:pPr>
        <w:pStyle w:val="EndnoteText"/>
      </w:pPr>
      <w:r>
        <w:rPr>
          <w:rStyle w:val="EndnoteReference"/>
        </w:rPr>
        <w:endnoteRef/>
      </w:r>
      <w:r>
        <w:t xml:space="preserve"> </w:t>
      </w:r>
      <w:r>
        <w:rPr>
          <w:i/>
        </w:rPr>
        <w:t>Evans v. DeKalb County Hospital Authority</w:t>
      </w:r>
      <w:r>
        <w:t xml:space="preserve">, 154 Ga. App. 17, 267 S.E.2d 319 (1980). </w:t>
      </w:r>
    </w:p>
  </w:endnote>
  <w:endnote w:id="899">
    <w:p>
      <w:pPr>
        <w:pStyle w:val="EndnoteText"/>
      </w:pPr>
      <w:r>
        <w:rPr>
          <w:rStyle w:val="EndnoteReference"/>
        </w:rPr>
        <w:endnoteRef/>
      </w:r>
      <w:r>
        <w:t xml:space="preserve"> </w:t>
      </w:r>
      <w:r>
        <w:rPr>
          <w:i/>
        </w:rPr>
        <w:t>Id.</w:t>
      </w:r>
    </w:p>
  </w:endnote>
  <w:endnote w:id="900">
    <w:p>
      <w:pPr>
        <w:pStyle w:val="EndnoteText"/>
      </w:pPr>
      <w:r>
        <w:rPr>
          <w:rStyle w:val="EndnoteReference"/>
        </w:rPr>
        <w:endnoteRef/>
      </w:r>
      <w:r>
        <w:t xml:space="preserve"> </w:t>
      </w:r>
      <w:r>
        <w:rPr>
          <w:i/>
        </w:rPr>
        <w:t>Id.</w:t>
      </w:r>
    </w:p>
  </w:endnote>
  <w:endnote w:id="901">
    <w:p>
      <w:pPr>
        <w:pStyle w:val="EndnoteText"/>
      </w:pPr>
      <w:r>
        <w:rPr>
          <w:rStyle w:val="EndnoteReference"/>
        </w:rPr>
        <w:endnoteRef/>
      </w:r>
      <w:r>
        <w:t xml:space="preserve"> </w:t>
      </w:r>
      <w:r>
        <w:rPr>
          <w:i/>
        </w:rPr>
        <w:t>Id.</w:t>
      </w:r>
    </w:p>
  </w:endnote>
  <w:endnote w:id="902">
    <w:p>
      <w:pPr>
        <w:pStyle w:val="EndnoteText"/>
      </w:pPr>
      <w:r>
        <w:rPr>
          <w:rStyle w:val="EndnoteReference"/>
        </w:rPr>
        <w:endnoteRef/>
      </w:r>
      <w:r>
        <w:t xml:space="preserve"> </w:t>
      </w:r>
      <w:r>
        <w:rPr>
          <w:i/>
        </w:rPr>
        <w:t>Hicks v. Maudlin</w:t>
      </w:r>
      <w:r>
        <w:t>, 190 Ga. App. 660, 379 S.E.2d 806 (1989).</w:t>
      </w:r>
    </w:p>
  </w:endnote>
  <w:endnote w:id="903">
    <w:p>
      <w:pPr>
        <w:pStyle w:val="EndnoteText"/>
      </w:pPr>
      <w:r>
        <w:rPr>
          <w:rStyle w:val="EndnoteReference"/>
        </w:rPr>
        <w:endnoteRef/>
      </w:r>
      <w:r>
        <w:t xml:space="preserve"> </w:t>
      </w:r>
      <w:r>
        <w:rPr>
          <w:i/>
        </w:rPr>
        <w:t>Id.</w:t>
      </w:r>
      <w:r>
        <w:t xml:space="preserve"> </w:t>
      </w:r>
    </w:p>
  </w:endnote>
  <w:endnote w:id="904">
    <w:p>
      <w:pPr>
        <w:pStyle w:val="EndnoteText"/>
      </w:pPr>
      <w:r>
        <w:rPr>
          <w:rStyle w:val="EndnoteReference"/>
        </w:rPr>
        <w:endnoteRef/>
      </w:r>
      <w:r>
        <w:t xml:space="preserve"> </w:t>
      </w:r>
      <w:r>
        <w:rPr>
          <w:i/>
        </w:rPr>
        <w:t>Id.</w:t>
      </w:r>
      <w:r>
        <w:t>;</w:t>
      </w:r>
      <w:r>
        <w:rPr>
          <w:i/>
        </w:rPr>
        <w:t xml:space="preserve"> see </w:t>
      </w:r>
      <w:r>
        <w:t xml:space="preserve">O.C.G.A. § 24-4-401 (2013) (definition of relevant evidence). </w:t>
      </w:r>
    </w:p>
  </w:endnote>
  <w:endnote w:id="905">
    <w:p>
      <w:pPr>
        <w:pStyle w:val="EndnoteText"/>
      </w:pPr>
      <w:r>
        <w:rPr>
          <w:rStyle w:val="EndnoteReference"/>
        </w:rPr>
        <w:endnoteRef/>
      </w:r>
      <w:r>
        <w:t xml:space="preserve"> </w:t>
      </w:r>
      <w:r>
        <w:rPr>
          <w:i/>
        </w:rPr>
        <w:t>Benkendorf v. Advanced Cardiac Specialists Chartered</w:t>
      </w:r>
      <w:r>
        <w:t xml:space="preserve">, 228 Ariz. 528, 269 P.3d 704 (2012) (“Based on our review of these authorities, we agree with the majority of jurisdictions that have addressed the issue and hold that an expert witness called by the defense to testify about causation in a medical malpractice case may testify about “possible” causes of the plaintiff's injury.”); </w:t>
      </w:r>
      <w:r>
        <w:rPr>
          <w:i/>
        </w:rPr>
        <w:t>R.J. Reynolds Tobacco Co. v. Mack</w:t>
      </w:r>
      <w:r>
        <w:t xml:space="preserve">, 92 So.3d 244 (2012) (“Our conclusion that the trial court improperly shifted the burden to Appellant is supported by the majority of courts that have addressed this issue.”); </w:t>
      </w:r>
      <w:r>
        <w:rPr>
          <w:i/>
        </w:rPr>
        <w:t>but see</w:t>
      </w:r>
      <w:r>
        <w:t xml:space="preserve"> </w:t>
      </w:r>
      <w:r>
        <w:rPr>
          <w:i/>
        </w:rPr>
        <w:t>Hunter v. Ura</w:t>
      </w:r>
      <w:r>
        <w:t xml:space="preserve">, 163 S.W.3d 686 (Tenn. Sup. Ct. 2005) (“Indeed, expert testimony that a trial court determines is speculative would not ‘substantially assist’ the trier of fact. Nothing in the evidentiary rules or elsewhere exempts defendants from these fundamental evidentiary inquiries.”). </w:t>
      </w:r>
    </w:p>
  </w:endnote>
  <w:endnote w:id="906">
    <w:p>
      <w:pPr>
        <w:pStyle w:val="EndnoteText"/>
      </w:pPr>
      <w:r>
        <w:rPr>
          <w:rStyle w:val="EndnoteReference"/>
        </w:rPr>
        <w:endnoteRef/>
      </w:r>
      <w:r>
        <w:t xml:space="preserve"> </w:t>
      </w:r>
      <w:r>
        <w:rPr>
          <w:i/>
        </w:rPr>
        <w:t>Wilder v. Eberhart</w:t>
      </w:r>
      <w:r>
        <w:t>, 977 F.2d 673 (1</w:t>
      </w:r>
      <w:r>
        <w:rPr>
          <w:vertAlign w:val="superscript"/>
        </w:rPr>
        <w:t>st</w:t>
      </w:r>
      <w:r>
        <w:t xml:space="preserve"> Cir. 1992); </w:t>
      </w:r>
      <w:r>
        <w:rPr>
          <w:i/>
        </w:rPr>
        <w:t>see also</w:t>
      </w:r>
      <w:r>
        <w:t xml:space="preserve"> </w:t>
      </w:r>
      <w:r>
        <w:rPr>
          <w:i/>
        </w:rPr>
        <w:t>Allen v. Brown Clinic, P.L.L.P.</w:t>
      </w:r>
      <w:r>
        <w:t xml:space="preserve">, 531 F.3d 568 (8th Cir. 2008). For a discussion of </w:t>
      </w:r>
      <w:r>
        <w:rPr>
          <w:i/>
        </w:rPr>
        <w:t>Wilder</w:t>
      </w:r>
      <w:r>
        <w:t xml:space="preserve"> and its progeny, </w:t>
      </w:r>
      <w:r>
        <w:rPr>
          <w:i/>
        </w:rPr>
        <w:t>see</w:t>
      </w:r>
      <w:r>
        <w:t xml:space="preserve"> </w:t>
      </w:r>
      <w:r>
        <w:rPr>
          <w:i/>
        </w:rPr>
        <w:t>Summer H. Stevens, Whose Burden is It Anyway? Defendant’s Burden of Production on Causation</w:t>
      </w:r>
      <w:r>
        <w:t xml:space="preserve">, 47 No. 1 DRIFTD 43 (2005). </w:t>
      </w:r>
    </w:p>
  </w:endnote>
  <w:endnote w:id="907">
    <w:p>
      <w:pPr>
        <w:pStyle w:val="EndnoteText"/>
      </w:pPr>
      <w:r>
        <w:rPr>
          <w:rStyle w:val="EndnoteReference"/>
        </w:rPr>
        <w:endnoteRef/>
      </w:r>
      <w:r>
        <w:t xml:space="preserve"> </w:t>
      </w:r>
      <w:r>
        <w:rPr>
          <w:i/>
        </w:rPr>
        <w:t>Walker v. United Healthcare of Hardin, Inc.</w:t>
      </w:r>
      <w:r>
        <w:t xml:space="preserve">, </w:t>
      </w:r>
      <w:r>
        <w:rPr>
          <w:rFonts w:cs="Arial"/>
          <w:color w:val="252525"/>
        </w:rPr>
        <w:t xml:space="preserve">No. 3:07CV–00067–JHM, </w:t>
      </w:r>
      <w:r>
        <w:t xml:space="preserve">2010 WL 3092648 (W.D.Ky. 2010); </w:t>
      </w:r>
      <w:r>
        <w:rPr>
          <w:i/>
        </w:rPr>
        <w:t>Cook v. Wiggins</w:t>
      </w:r>
      <w:r>
        <w:t>, 92 Wash. App. 1005 (1998).</w:t>
      </w:r>
    </w:p>
  </w:endnote>
  <w:endnote w:id="908">
    <w:p>
      <w:pPr>
        <w:pStyle w:val="EndnoteText"/>
      </w:pPr>
      <w:r>
        <w:rPr>
          <w:rStyle w:val="EndnoteReference"/>
        </w:rPr>
        <w:endnoteRef/>
      </w:r>
      <w:r>
        <w:t xml:space="preserve"> </w:t>
      </w:r>
      <w:r>
        <w:rPr>
          <w:i/>
        </w:rPr>
        <w:t>Sakler v. Anesthesiology Associates, P.S.C.</w:t>
      </w:r>
      <w:r>
        <w:t>,50 S.W.3d 210 (Ky. App. 2001).</w:t>
      </w:r>
    </w:p>
  </w:endnote>
  <w:endnote w:id="909">
    <w:p>
      <w:pPr>
        <w:pStyle w:val="EndnoteText"/>
      </w:pPr>
      <w:r>
        <w:rPr>
          <w:rStyle w:val="EndnoteReference"/>
        </w:rPr>
        <w:endnoteRef/>
      </w:r>
      <w:r>
        <w:t xml:space="preserve"> </w:t>
      </w:r>
      <w:r>
        <w:rPr>
          <w:i/>
        </w:rPr>
        <w:t>See</w:t>
      </w:r>
      <w:r>
        <w:t xml:space="preserve"> </w:t>
      </w:r>
      <w:r>
        <w:rPr>
          <w:i/>
        </w:rPr>
        <w:t>Jones v. Union Pacific R. Co.</w:t>
      </w:r>
      <w:r>
        <w:t xml:space="preserve">, </w:t>
      </w:r>
      <w:r>
        <w:rPr>
          <w:rFonts w:cs="Arial"/>
          <w:color w:val="252525"/>
        </w:rPr>
        <w:t>No. 4:07CV01173 JLH</w:t>
      </w:r>
      <w:r>
        <w:t xml:space="preserve"> 2009 WL 4610330 (E.D.Ark. 2009) ("Although Union Pacific would be required to provide a medical expert if it had the burden of establishing a medical condition of some sort, no such burden exists here. Union Pacific cannot be prevented from cross-examining Jones's witnesses regarding other possible medical causes of his hernia. Jones's motion in limine to exclude arguments concerning other causes of his medical condition is denied.").  In addition, an expert that considers an alternative cause, such as a medical condition, as part of a differential diagnosis may be cross-examined on that cause. </w:t>
      </w:r>
      <w:r>
        <w:rPr>
          <w:i/>
        </w:rPr>
        <w:t>See</w:t>
      </w:r>
      <w:r>
        <w:t xml:space="preserve"> O.C.G.A. § 24-7-705 (2013) (“An expert may in any event be required to disclose the underlying facts or data on cross-examination.”).</w:t>
      </w:r>
    </w:p>
  </w:endnote>
  <w:endnote w:id="910">
    <w:p>
      <w:pPr>
        <w:pStyle w:val="EndnoteText"/>
      </w:pPr>
      <w:r>
        <w:rPr>
          <w:rStyle w:val="EndnoteReference"/>
        </w:rPr>
        <w:endnoteRef/>
      </w:r>
      <w:r>
        <w:t xml:space="preserve"> </w:t>
      </w:r>
      <w:r>
        <w:rPr>
          <w:i/>
        </w:rPr>
        <w:t>See</w:t>
      </w:r>
      <w:r>
        <w:t xml:space="preserve"> </w:t>
      </w:r>
      <w:r>
        <w:rPr>
          <w:i/>
        </w:rPr>
        <w:t>Williams v. Eight Judicial Dist. Court of State</w:t>
      </w:r>
      <w:r>
        <w:t xml:space="preserve">, 262 P.3d 360 (Nev. Sup. Ct. 2011); </w:t>
      </w:r>
      <w:r>
        <w:rPr>
          <w:i/>
        </w:rPr>
        <w:t>see also</w:t>
      </w:r>
      <w:r>
        <w:t xml:space="preserve"> </w:t>
      </w:r>
      <w:r>
        <w:rPr>
          <w:i/>
        </w:rPr>
        <w:t>Walker v. United Healthcare of Hardin, Inc.</w:t>
      </w:r>
      <w:r>
        <w:t xml:space="preserve">, </w:t>
      </w:r>
      <w:r>
        <w:rPr>
          <w:rFonts w:cs="Arial"/>
          <w:color w:val="252525"/>
        </w:rPr>
        <w:t xml:space="preserve">No. 3:07CV–00067–JHM, </w:t>
      </w:r>
      <w:r>
        <w:t>2010 WL 3092648 (W.D.Ky. 2010).</w:t>
      </w:r>
    </w:p>
  </w:endnote>
  <w:endnote w:id="911">
    <w:p>
      <w:pPr>
        <w:pStyle w:val="EndnoteText"/>
      </w:pPr>
      <w:r>
        <w:rPr>
          <w:rStyle w:val="EndnoteReference"/>
        </w:rPr>
        <w:endnoteRef/>
      </w:r>
      <w:r>
        <w:t xml:space="preserve"> </w:t>
      </w:r>
      <w:r>
        <w:rPr>
          <w:i/>
        </w:rPr>
        <w:t>HNTB Georgia, Inc. v. Hamilton-King</w:t>
      </w:r>
      <w:r>
        <w:t>, 287 Ga. 641, 697 S.E.2d 770 (2010).</w:t>
      </w:r>
    </w:p>
  </w:endnote>
  <w:endnote w:id="912">
    <w:p>
      <w:pPr>
        <w:pStyle w:val="EndnoteText"/>
      </w:pPr>
      <w:r>
        <w:rPr>
          <w:rStyle w:val="EndnoteReference"/>
        </w:rPr>
        <w:endnoteRef/>
      </w:r>
      <w:r>
        <w:t xml:space="preserve"> </w:t>
      </w:r>
      <w:r>
        <w:rPr>
          <w:i/>
        </w:rPr>
        <w:t>See Cartledge v. Montano, 750 S.E.2d 772 (2013)</w:t>
      </w:r>
      <w:r>
        <w:t xml:space="preserve">; </w:t>
      </w:r>
      <w:r>
        <w:rPr>
          <w:i/>
        </w:rPr>
        <w:t>Long v. Natarajan</w:t>
      </w:r>
      <w:r>
        <w:t xml:space="preserve">, 291 Ga. App. 814, 662 S.E.2d 876 (2008).  </w:t>
      </w:r>
      <w:r>
        <w:rPr>
          <w:i/>
        </w:rPr>
        <w:t xml:space="preserve"> </w:t>
      </w:r>
    </w:p>
  </w:endnote>
  <w:endnote w:id="913">
    <w:p>
      <w:pPr>
        <w:pStyle w:val="EndnoteText"/>
      </w:pPr>
      <w:r>
        <w:rPr>
          <w:rStyle w:val="EndnoteReference"/>
        </w:rPr>
        <w:endnoteRef/>
      </w:r>
      <w:r>
        <w:t xml:space="preserve"> </w:t>
      </w:r>
      <w:r>
        <w:rPr>
          <w:i/>
        </w:rPr>
        <w:t>Butler v. Union Carbide Corp.</w:t>
      </w:r>
      <w:r>
        <w:t xml:space="preserve">, 310 Ga. App. 21, 712 S.E.2d 537 (2011) (quoting </w:t>
      </w:r>
      <w:r>
        <w:rPr>
          <w:i/>
        </w:rPr>
        <w:t>Daubert</w:t>
      </w:r>
      <w:r>
        <w:t xml:space="preserve">). </w:t>
      </w:r>
    </w:p>
  </w:endnote>
  <w:endnote w:id="914">
    <w:p>
      <w:pPr>
        <w:pStyle w:val="EndnoteText"/>
      </w:pPr>
      <w:r>
        <w:rPr>
          <w:rStyle w:val="EndnoteReference"/>
        </w:rPr>
        <w:endnoteRef/>
      </w:r>
      <w:r>
        <w:t xml:space="preserve"> </w:t>
      </w:r>
      <w:r>
        <w:rPr>
          <w:i/>
        </w:rPr>
        <w:t>Ivy v. Ford Motor Co.</w:t>
      </w:r>
      <w:r>
        <w:t>, No. 1:08-cv-2078-TCB, 2010 WL 9115838, at *4 (N.D. Ga. January 22, 2010) (quoting Fed. R. Evid. 702 advisory committee's note) (emphasis in original).</w:t>
      </w:r>
    </w:p>
  </w:endnote>
  <w:endnote w:id="915">
    <w:p>
      <w:pPr>
        <w:pStyle w:val="EndnoteText"/>
      </w:pPr>
      <w:r>
        <w:rPr>
          <w:rStyle w:val="EndnoteReference"/>
        </w:rPr>
        <w:endnoteRef/>
      </w:r>
      <w:r>
        <w:t xml:space="preserve"> </w:t>
      </w:r>
      <w:r>
        <w:rPr>
          <w:i/>
        </w:rPr>
        <w:t>Cotten v. Phillips</w:t>
      </w:r>
      <w:r>
        <w:t>, 280 Ga. App. 280, 633 S.E.2d 655 (2005).</w:t>
      </w:r>
    </w:p>
  </w:endnote>
  <w:endnote w:id="916">
    <w:p>
      <w:pPr>
        <w:pStyle w:val="EndnoteText"/>
      </w:pPr>
      <w:r>
        <w:rPr>
          <w:rStyle w:val="EndnoteReference"/>
        </w:rPr>
        <w:endnoteRef/>
      </w:r>
      <w:r>
        <w:t xml:space="preserve"> </w:t>
      </w:r>
      <w:r>
        <w:rPr>
          <w:i/>
        </w:rPr>
        <w:t>See</w:t>
      </w:r>
      <w:r>
        <w:t xml:space="preserve"> </w:t>
      </w:r>
      <w:r>
        <w:rPr>
          <w:i/>
        </w:rPr>
        <w:t>Cartledge v. Montano</w:t>
      </w:r>
      <w:r>
        <w:t>, 750 S.E.2d 772 (2013).</w:t>
      </w:r>
    </w:p>
  </w:endnote>
  <w:endnote w:id="917">
    <w:p>
      <w:pPr>
        <w:pStyle w:val="EndnoteText"/>
      </w:pPr>
      <w:r>
        <w:rPr>
          <w:rStyle w:val="EndnoteReference"/>
        </w:rPr>
        <w:endnoteRef/>
      </w:r>
      <w:r>
        <w:t xml:space="preserve"> </w:t>
      </w:r>
      <w:r>
        <w:rPr>
          <w:i/>
        </w:rPr>
        <w:t>HNTB Georgia, Inc. v. Hamilton-King</w:t>
      </w:r>
      <w:r>
        <w:t>,</w:t>
      </w:r>
    </w:p>
    <w:p>
      <w:pPr>
        <w:pStyle w:val="EndnoteText"/>
      </w:pPr>
      <w:r>
        <w:t xml:space="preserve">287 Ga. 641, 642, 697 S.E.2d 770, 772  (2010); </w:t>
      </w:r>
      <w:r>
        <w:rPr>
          <w:i/>
        </w:rPr>
        <w:t>see also Daubert v. Merrell Dow Pharmaceuticals, Inc.</w:t>
      </w:r>
      <w:r>
        <w:t xml:space="preserve">, 509 U.S. 579, 593–694 (1993). </w:t>
      </w:r>
    </w:p>
  </w:endnote>
  <w:endnote w:id="918">
    <w:p>
      <w:pPr>
        <w:pStyle w:val="EndnoteText"/>
      </w:pPr>
      <w:r>
        <w:rPr>
          <w:rStyle w:val="EndnoteReference"/>
        </w:rPr>
        <w:endnoteRef/>
      </w:r>
      <w:r>
        <w:t xml:space="preserve"> </w:t>
      </w:r>
      <w:r>
        <w:rPr>
          <w:i/>
        </w:rPr>
        <w:t>See</w:t>
      </w:r>
      <w:r>
        <w:t xml:space="preserve"> </w:t>
      </w:r>
      <w:r>
        <w:rPr>
          <w:i/>
        </w:rPr>
        <w:t>In re Paoli R.R. Yard PCB Litigation</w:t>
      </w:r>
      <w:r>
        <w:t>, 35 F.3d 717 (3</w:t>
      </w:r>
      <w:r>
        <w:rPr>
          <w:vertAlign w:val="superscript"/>
        </w:rPr>
        <w:t>rd</w:t>
      </w:r>
      <w:r>
        <w:t xml:space="preserve"> Cir. 1994); </w:t>
      </w:r>
      <w:r>
        <w:rPr>
          <w:i/>
        </w:rPr>
        <w:t>see also Mason v. The Home Depot U.S.A., Inc.</w:t>
      </w:r>
      <w:r>
        <w:t xml:space="preserve">, 283 Ga. 271, 658 S.E.2d 603 (1980). </w:t>
      </w:r>
    </w:p>
  </w:endnote>
  <w:endnote w:id="919">
    <w:p>
      <w:pPr>
        <w:pStyle w:val="EndnoteText"/>
      </w:pPr>
      <w:r>
        <w:rPr>
          <w:rStyle w:val="EndnoteReference"/>
        </w:rPr>
        <w:endnoteRef/>
      </w:r>
      <w:r>
        <w:t xml:space="preserve"> </w:t>
      </w:r>
      <w:r>
        <w:rPr>
          <w:i/>
        </w:rPr>
        <w:t>J &amp; V Development, Inc. v. Athens-Clarke County</w:t>
      </w:r>
      <w:r>
        <w:t xml:space="preserve">, 387 F.Supp.2d 1214 (M.D. Ga. 2005). </w:t>
      </w:r>
    </w:p>
  </w:endnote>
  <w:endnote w:id="920">
    <w:p>
      <w:pPr>
        <w:pStyle w:val="EndnoteText"/>
      </w:pPr>
      <w:r>
        <w:rPr>
          <w:rStyle w:val="EndnoteReference"/>
        </w:rPr>
        <w:endnoteRef/>
      </w:r>
      <w:r>
        <w:t xml:space="preserve">  </w:t>
      </w:r>
      <w:r>
        <w:rPr>
          <w:i/>
        </w:rPr>
        <w:t>See</w:t>
      </w:r>
      <w:r>
        <w:t xml:space="preserve"> </w:t>
      </w:r>
      <w:r>
        <w:rPr>
          <w:i/>
        </w:rPr>
        <w:t>Benkendorf v. Advanced Cardiac Specialists Chartered</w:t>
      </w:r>
      <w:r>
        <w:t xml:space="preserve">, 228 Ariz. 528, 269 P.3d 704 (2012); </w:t>
      </w:r>
      <w:r>
        <w:rPr>
          <w:i/>
        </w:rPr>
        <w:t>Williams v. Eight Judicial Dist. Court of State, ex rel. County of Clark</w:t>
      </w:r>
      <w:r>
        <w:t>, 262 P.3d 360 (2011).</w:t>
      </w:r>
    </w:p>
  </w:endnote>
  <w:endnote w:id="921">
    <w:p>
      <w:pPr>
        <w:pStyle w:val="EndnoteText"/>
      </w:pPr>
      <w:r>
        <w:rPr>
          <w:rStyle w:val="EndnoteReference"/>
        </w:rPr>
        <w:endnoteRef/>
      </w:r>
      <w:r>
        <w:t xml:space="preserve"> </w:t>
      </w:r>
      <w:r>
        <w:rPr>
          <w:i/>
        </w:rPr>
        <w:t>S.E.C. v. Mannion</w:t>
      </w:r>
      <w:r>
        <w:t xml:space="preserve">, No. 1:10–cv–3374–WSD, 2013 WL 1291621, at * 8 (March 25, 2013). </w:t>
      </w:r>
    </w:p>
  </w:endnote>
  <w:endnote w:id="922">
    <w:p>
      <w:pPr>
        <w:pStyle w:val="EndnoteText"/>
      </w:pPr>
      <w:r>
        <w:rPr>
          <w:rStyle w:val="EndnoteReference"/>
        </w:rPr>
        <w:endnoteRef/>
      </w:r>
      <w:r>
        <w:t xml:space="preserve"> </w:t>
      </w:r>
      <w:r>
        <w:rPr>
          <w:i/>
        </w:rPr>
        <w:t>Daubert v. Merrell Dow Pharmaceuticals, Inc.</w:t>
      </w:r>
      <w:r>
        <w:t>, 509 U.S. 579, 591 (1993).</w:t>
      </w:r>
    </w:p>
  </w:endnote>
  <w:endnote w:id="923">
    <w:p>
      <w:pPr>
        <w:pStyle w:val="EndnoteText"/>
      </w:pPr>
      <w:r>
        <w:rPr>
          <w:rStyle w:val="EndnoteReference"/>
        </w:rPr>
        <w:endnoteRef/>
      </w:r>
      <w:r>
        <w:t xml:space="preserve"> </w:t>
      </w:r>
      <w:r>
        <w:rPr>
          <w:i/>
        </w:rPr>
        <w:t>McDowell v. Brown</w:t>
      </w:r>
      <w:r>
        <w:t xml:space="preserve">, 392 F.3d 1283, 1298 (11th Cir. 2004). </w:t>
      </w:r>
    </w:p>
  </w:endnote>
  <w:endnote w:id="924">
    <w:p>
      <w:pPr>
        <w:pStyle w:val="EndnoteText"/>
      </w:pPr>
      <w:r>
        <w:rPr>
          <w:rStyle w:val="EndnoteReference"/>
        </w:rPr>
        <w:endnoteRef/>
      </w:r>
      <w:r>
        <w:t xml:space="preserve"> </w:t>
      </w:r>
      <w:r>
        <w:rPr>
          <w:i/>
        </w:rPr>
        <w:t>Daubert</w:t>
      </w:r>
      <w:r>
        <w:t>, 509 U.S. at 591.</w:t>
      </w:r>
    </w:p>
  </w:endnote>
  <w:endnote w:id="925">
    <w:p>
      <w:pPr>
        <w:pStyle w:val="EndnoteText"/>
      </w:pPr>
      <w:r>
        <w:rPr>
          <w:rStyle w:val="EndnoteReference"/>
        </w:rPr>
        <w:endnoteRef/>
      </w:r>
      <w:r>
        <w:t xml:space="preserve"> </w:t>
      </w:r>
      <w:r>
        <w:rPr>
          <w:i/>
        </w:rPr>
        <w:t>See</w:t>
      </w:r>
      <w:r>
        <w:t xml:space="preserve"> </w:t>
      </w:r>
      <w:r>
        <w:rPr>
          <w:i/>
        </w:rPr>
        <w:t>Hunter v. Ura</w:t>
      </w:r>
      <w:r>
        <w:t xml:space="preserve">, 163 S.W.3d 686 (Tenn. Sup. Ct. 2005) (suggesting that Fed. R. Evid. 702 requires that defense causation testimony does not assist the trier of fact if it is not stated to a reasonable degree of medical certainty); </w:t>
      </w:r>
      <w:r>
        <w:rPr>
          <w:i/>
        </w:rPr>
        <w:t>Roach v. Dixie Gas Co.</w:t>
      </w:r>
      <w:r>
        <w:t xml:space="preserve">, 371 S.W.3d 127 (Tenn. Ct. App. 2011). </w:t>
      </w:r>
    </w:p>
  </w:endnote>
  <w:endnote w:id="926">
    <w:p>
      <w:pPr>
        <w:pStyle w:val="EndnoteText"/>
      </w:pPr>
      <w:r>
        <w:rPr>
          <w:rStyle w:val="EndnoteReference"/>
        </w:rPr>
        <w:endnoteRef/>
      </w:r>
      <w:r>
        <w:t xml:space="preserve"> </w:t>
      </w:r>
      <w:r>
        <w:rPr>
          <w:i/>
        </w:rPr>
        <w:t>See, e.g.</w:t>
      </w:r>
      <w:r>
        <w:t xml:space="preserve">, </w:t>
      </w:r>
      <w:r>
        <w:rPr>
          <w:i/>
        </w:rPr>
        <w:t>Anthony v. Chambless</w:t>
      </w:r>
      <w:r>
        <w:t>, 231 Ga. App. 657, 500 S.E.2d 402 (1998)</w:t>
      </w:r>
      <w:r>
        <w:rPr>
          <w:color w:val="000000"/>
          <w:shd w:val="clear" w:color="auto" w:fill="FFFFFF"/>
        </w:rPr>
        <w:t xml:space="preserve"> (causation testimony "must be more than a mere chance or speculation").</w:t>
      </w:r>
    </w:p>
  </w:endnote>
  <w:endnote w:id="927">
    <w:p>
      <w:pPr>
        <w:pStyle w:val="EndnoteText"/>
      </w:pPr>
      <w:r>
        <w:rPr>
          <w:rStyle w:val="EndnoteReference"/>
          <w:rFonts w:ascii="Century Schoolbook" w:hAnsi="Century Schoolbook"/>
        </w:rPr>
        <w:endnoteRef/>
      </w:r>
      <w:r>
        <w:t xml:space="preserve"> </w:t>
      </w:r>
      <w:r>
        <w:rPr>
          <w:i/>
        </w:rPr>
        <w:t>See</w:t>
      </w:r>
      <w:r>
        <w:t xml:space="preserve"> </w:t>
      </w:r>
      <w:r>
        <w:rPr>
          <w:i/>
        </w:rPr>
        <w:t>Wheat v. Sofamor</w:t>
      </w:r>
      <w:r>
        <w:t>, 46 F. Supp. 2d 1351 (N.D. Ga. 1999).</w:t>
      </w:r>
    </w:p>
  </w:endnote>
  <w:endnote w:id="928">
    <w:p>
      <w:pPr>
        <w:pStyle w:val="EndnoteText"/>
      </w:pPr>
      <w:r>
        <w:rPr>
          <w:rStyle w:val="EndnoteReference"/>
        </w:rPr>
        <w:endnoteRef/>
      </w:r>
      <w:r>
        <w:t xml:space="preserve"> </w:t>
      </w:r>
      <w:r>
        <w:rPr>
          <w:i/>
        </w:rPr>
        <w:t>Reference Manual on Scientific Evidence</w:t>
      </w:r>
      <w:r>
        <w:t xml:space="preserve"> 20-21 (3</w:t>
      </w:r>
      <w:r>
        <w:rPr>
          <w:vertAlign w:val="superscript"/>
        </w:rPr>
        <w:t>rd</w:t>
      </w:r>
      <w:r>
        <w:t xml:space="preserve"> Ed. 2011).  </w:t>
      </w:r>
    </w:p>
  </w:endnote>
  <w:endnote w:id="929">
    <w:p>
      <w:pPr>
        <w:pStyle w:val="EndnoteText"/>
      </w:pPr>
      <w:r>
        <w:rPr>
          <w:rStyle w:val="EndnoteReference"/>
        </w:rPr>
        <w:endnoteRef/>
      </w:r>
      <w:r>
        <w:t xml:space="preserve"> </w:t>
      </w:r>
      <w:r>
        <w:rPr>
          <w:i/>
        </w:rPr>
        <w:t>See</w:t>
      </w:r>
      <w:r>
        <w:t xml:space="preserve"> </w:t>
      </w:r>
      <w:r>
        <w:rPr>
          <w:i/>
        </w:rPr>
        <w:t>Wilder v. Eberhart</w:t>
      </w:r>
      <w:r>
        <w:t>, 977 F.2d 673 (1</w:t>
      </w:r>
      <w:r>
        <w:rPr>
          <w:vertAlign w:val="superscript"/>
        </w:rPr>
        <w:t>st</w:t>
      </w:r>
      <w:r>
        <w:t xml:space="preserve"> Cir. 1992).</w:t>
      </w:r>
    </w:p>
  </w:endnote>
  <w:endnote w:id="930">
    <w:p>
      <w:pPr>
        <w:pStyle w:val="EndnoteText"/>
      </w:pPr>
      <w:r>
        <w:rPr>
          <w:rStyle w:val="EndnoteReference"/>
        </w:rPr>
        <w:endnoteRef/>
      </w:r>
      <w:r>
        <w:rPr>
          <w:i/>
        </w:rPr>
        <w:t xml:space="preserve"> See</w:t>
      </w:r>
      <w:r>
        <w:t xml:space="preserve"> </w:t>
      </w:r>
      <w:r>
        <w:rPr>
          <w:i/>
        </w:rPr>
        <w:t>Erica Beecher-Monas, Evaluating Scientific Evidence:  An Interdisciplinary Framework for Intellectual Due Process</w:t>
      </w:r>
      <w:r>
        <w:t xml:space="preserve"> 83 (2007).</w:t>
      </w:r>
    </w:p>
  </w:endnote>
  <w:endnote w:id="931">
    <w:p>
      <w:pPr>
        <w:pStyle w:val="EndnoteText"/>
      </w:pPr>
      <w:r>
        <w:rPr>
          <w:rStyle w:val="EndnoteReference"/>
        </w:rPr>
        <w:endnoteRef/>
      </w:r>
      <w:r>
        <w:t xml:space="preserve"> Black’s Law Dictionary 50 (8</w:t>
      </w:r>
      <w:r>
        <w:rPr>
          <w:vertAlign w:val="superscript"/>
        </w:rPr>
        <w:t>th</w:t>
      </w:r>
      <w:r>
        <w:t xml:space="preserve"> Ed.). </w:t>
      </w:r>
    </w:p>
  </w:endnote>
  <w:endnote w:id="932">
    <w:p>
      <w:pPr>
        <w:pStyle w:val="EndnoteText"/>
      </w:pPr>
      <w:r>
        <w:rPr>
          <w:rStyle w:val="EndnoteReference"/>
        </w:rPr>
        <w:endnoteRef/>
      </w:r>
      <w:r>
        <w:t xml:space="preserve"> </w:t>
      </w:r>
      <w:r>
        <w:rPr>
          <w:i/>
        </w:rPr>
        <w:t>See Whitton v. State</w:t>
      </w:r>
      <w:r>
        <w:t xml:space="preserve">, 178 Ga. App. 862, 344 S.E.2d 703 (1986) ("appellate counsel has confused the issue of sufficiency of the evidence of conspiracy with admissibility of evidence of the co-conspirators. Each of these questions must be considered separately."); </w:t>
      </w:r>
      <w:r>
        <w:rPr>
          <w:i/>
        </w:rPr>
        <w:t>Agnor’s Georgia Evidence</w:t>
      </w:r>
      <w:r>
        <w:t xml:space="preserve"> 447 (2012–2013).  </w:t>
      </w:r>
    </w:p>
  </w:endnote>
  <w:endnote w:id="933">
    <w:p>
      <w:pPr>
        <w:pStyle w:val="EndnoteText"/>
      </w:pPr>
      <w:r>
        <w:rPr>
          <w:rStyle w:val="EndnoteReference"/>
        </w:rPr>
        <w:endnoteRef/>
      </w:r>
      <w:r>
        <w:t xml:space="preserve"> </w:t>
      </w:r>
      <w:r>
        <w:rPr>
          <w:i/>
        </w:rPr>
        <w:t>In re: Joint Eastern &amp; Southern Dist. Asbestos Litigation</w:t>
      </w:r>
      <w:r>
        <w:t xml:space="preserve">, 52 F.3d 1124, 1132 (2nd Cir. 1995). </w:t>
      </w:r>
    </w:p>
  </w:endnote>
  <w:endnote w:id="934">
    <w:p>
      <w:pPr>
        <w:pStyle w:val="EndnoteText"/>
      </w:pPr>
      <w:r>
        <w:rPr>
          <w:rStyle w:val="EndnoteReference"/>
        </w:rPr>
        <w:endnoteRef/>
      </w:r>
      <w:r>
        <w:t xml:space="preserve"> Georgia Courts, for example, have suggested that one expert’s opinion that would otherwise be insufficient to establish causation, in and of itself, may be combined with other expert opinion or evidence to meet the plaintiff’s burden of persuasion. </w:t>
      </w:r>
      <w:r>
        <w:rPr>
          <w:i/>
        </w:rPr>
        <w:t>See Knight v. Roberts</w:t>
      </w:r>
      <w:r>
        <w:t xml:space="preserve">, 316 Ga. App. 599, 730 S.E.2d 78 (2012); </w:t>
      </w:r>
      <w:r>
        <w:rPr>
          <w:i/>
        </w:rPr>
        <w:t>Walker v. Giles</w:t>
      </w:r>
      <w:r>
        <w:t xml:space="preserve">, 276 Ga.  App. 632, 624 S.E.2d 191 (2005).  </w:t>
      </w:r>
    </w:p>
  </w:endnote>
  <w:endnote w:id="935">
    <w:p>
      <w:pPr>
        <w:pStyle w:val="EndnoteText"/>
      </w:pPr>
      <w:r>
        <w:rPr>
          <w:rStyle w:val="EndnoteReference"/>
        </w:rPr>
        <w:endnoteRef/>
      </w:r>
      <w:r>
        <w:t xml:space="preserve"> </w:t>
      </w:r>
      <w:r>
        <w:rPr>
          <w:i/>
        </w:rPr>
        <w:t>In Re Swine Flu Immunization Products Liability Litigation</w:t>
      </w:r>
      <w:r>
        <w:t xml:space="preserve">, 533 F. Supp. 567 (D.C. Colo 1980) (disapproved on other grounds </w:t>
      </w:r>
      <w:r>
        <w:rPr>
          <w:i/>
        </w:rPr>
        <w:t>Unthank v United States</w:t>
      </w:r>
      <w:r>
        <w:t xml:space="preserve">, 732 F.2d 1517 (10th Cir. 1984). </w:t>
      </w:r>
    </w:p>
  </w:endnote>
  <w:endnote w:id="936">
    <w:p>
      <w:pPr>
        <w:pStyle w:val="EndnoteText"/>
      </w:pPr>
      <w:r>
        <w:rPr>
          <w:rStyle w:val="EndnoteReference"/>
        </w:rPr>
        <w:endnoteRef/>
      </w:r>
      <w:r>
        <w:t xml:space="preserve"> </w:t>
      </w:r>
      <w:r>
        <w:rPr>
          <w:i/>
        </w:rPr>
        <w:t>Erica Beecher-Monas, Evaluating Scientific Evidence:  An Interdisciplinary Framework for Intellectual Due Process</w:t>
      </w:r>
      <w:r>
        <w:t xml:space="preserve"> 84 (2007).</w:t>
      </w:r>
    </w:p>
  </w:endnote>
  <w:endnote w:id="937">
    <w:p>
      <w:pPr>
        <w:pStyle w:val="EndnoteText"/>
      </w:pPr>
      <w:r>
        <w:rPr>
          <w:rStyle w:val="EndnoteReference"/>
        </w:rPr>
        <w:endnoteRef/>
      </w:r>
      <w:r>
        <w:t xml:space="preserve"> </w:t>
      </w:r>
      <w:r>
        <w:rPr>
          <w:i/>
        </w:rPr>
        <w:t>Id.</w:t>
      </w:r>
      <w:r>
        <w:t xml:space="preserve"> at 83; </w:t>
      </w:r>
      <w:r>
        <w:rPr>
          <w:i/>
        </w:rPr>
        <w:t>Reference Manual on Scientific Evidence</w:t>
      </w:r>
      <w:r>
        <w:t xml:space="preserve"> 20-21 (3rd Ed. 2011).</w:t>
      </w:r>
    </w:p>
  </w:endnote>
  <w:endnote w:id="938">
    <w:p>
      <w:pPr>
        <w:pStyle w:val="EndnoteText"/>
      </w:pPr>
      <w:r>
        <w:rPr>
          <w:rStyle w:val="EndnoteReference"/>
        </w:rPr>
        <w:endnoteRef/>
      </w:r>
      <w:r>
        <w:rPr>
          <w:i/>
        </w:rPr>
        <w:t xml:space="preserve"> See</w:t>
      </w:r>
      <w:r>
        <w:t xml:space="preserve"> </w:t>
      </w:r>
      <w:r>
        <w:rPr>
          <w:i/>
        </w:rPr>
        <w:t>Daubert v. Merrell Dow Pharmaceuticals, Inc.</w:t>
      </w:r>
      <w:r>
        <w:t>, 43 F.3d 1311, 1319 (9</w:t>
      </w:r>
      <w:r>
        <w:rPr>
          <w:vertAlign w:val="superscript"/>
        </w:rPr>
        <w:t>th</w:t>
      </w:r>
      <w:r>
        <w:t xml:space="preserve"> Cir. 1995). </w:t>
      </w:r>
    </w:p>
  </w:endnote>
  <w:endnote w:id="939">
    <w:p>
      <w:pPr>
        <w:pStyle w:val="EndnoteText"/>
      </w:pPr>
      <w:r>
        <w:rPr>
          <w:rStyle w:val="EndnoteReference"/>
        </w:rPr>
        <w:endnoteRef/>
      </w:r>
      <w:r>
        <w:t xml:space="preserve"> 314 Ga. App. 764, 726 S.E.2d 81 (2012). </w:t>
      </w:r>
    </w:p>
  </w:endnote>
  <w:endnote w:id="940">
    <w:p>
      <w:pPr>
        <w:pStyle w:val="EndnoteText"/>
      </w:pPr>
      <w:r>
        <w:rPr>
          <w:rStyle w:val="EndnoteReference"/>
        </w:rPr>
        <w:endnoteRef/>
      </w:r>
      <w:r>
        <w:t xml:space="preserve"> </w:t>
      </w:r>
      <w:r>
        <w:rPr>
          <w:i/>
        </w:rPr>
        <w:t>Id</w:t>
      </w:r>
      <w:r>
        <w:t>.</w:t>
      </w:r>
    </w:p>
  </w:endnote>
  <w:endnote w:id="941">
    <w:p>
      <w:pPr>
        <w:pStyle w:val="EndnoteText"/>
      </w:pPr>
      <w:r>
        <w:rPr>
          <w:rStyle w:val="EndnoteReference"/>
        </w:rPr>
        <w:endnoteRef/>
      </w:r>
      <w:r>
        <w:t xml:space="preserve"> </w:t>
      </w:r>
      <w:r>
        <w:rPr>
          <w:i/>
        </w:rPr>
        <w:t>Id.</w:t>
      </w:r>
      <w:r>
        <w:t xml:space="preserve"> </w:t>
      </w:r>
    </w:p>
  </w:endnote>
  <w:endnote w:id="942">
    <w:p>
      <w:pPr>
        <w:pStyle w:val="EndnoteText"/>
      </w:pPr>
      <w:r>
        <w:rPr>
          <w:rStyle w:val="EndnoteReference"/>
        </w:rPr>
        <w:endnoteRef/>
      </w:r>
      <w:r>
        <w:t xml:space="preserve"> </w:t>
      </w:r>
      <w:r>
        <w:rPr>
          <w:i/>
        </w:rPr>
        <w:t>U.S. v. Alabama Power Co.</w:t>
      </w:r>
      <w:r>
        <w:t>, 730 F.3d 1278 (11</w:t>
      </w:r>
      <w:r>
        <w:rPr>
          <w:vertAlign w:val="superscript"/>
        </w:rPr>
        <w:t>th</w:t>
      </w:r>
      <w:r>
        <w:t xml:space="preserve"> Cir. 2013). </w:t>
      </w:r>
    </w:p>
  </w:endnote>
  <w:endnote w:id="943">
    <w:p>
      <w:pPr>
        <w:pStyle w:val="EndnoteText"/>
      </w:pPr>
      <w:r>
        <w:rPr>
          <w:rStyle w:val="EndnoteReference"/>
        </w:rPr>
        <w:endnoteRef/>
      </w:r>
      <w:r>
        <w:t xml:space="preserve"> Georgia case law follows several of the principles set forth in the Restatement (Third) of Torts, Products Liability, and courts might look to that treatise for guidance, but Georgia has not expressly adopted Sections 10 (post-sale failure to warn), 11 (failure to recall) or 13 (successor’s post-sale failure to warn) of the Restatement (Third).  </w:t>
      </w:r>
      <w:r>
        <w:rPr>
          <w:i/>
        </w:rPr>
        <w:t>See</w:t>
      </w:r>
      <w:r>
        <w:t xml:space="preserve"> </w:t>
      </w:r>
      <w:r>
        <w:rPr>
          <w:i/>
        </w:rPr>
        <w:t>Ford Motor Co. v. Reese</w:t>
      </w:r>
      <w:r>
        <w:t xml:space="preserve">, 300 Ga. App. 82, 86, 684 S.E.2d 279, 284 (2009) (citing for support </w:t>
      </w:r>
      <w:r>
        <w:rPr>
          <w:bCs/>
        </w:rPr>
        <w:t>Restatement</w:t>
      </w:r>
      <w:r>
        <w:t xml:space="preserve"> (Third) of Torts, Products Liability § 11 as not recognizing a common law claim for negligent failure to recall except in limited circumstances).</w:t>
      </w:r>
    </w:p>
  </w:endnote>
  <w:endnote w:id="944">
    <w:p>
      <w:pPr>
        <w:pStyle w:val="EndnoteText"/>
      </w:pPr>
      <w:r>
        <w:rPr>
          <w:rStyle w:val="EndnoteReference"/>
        </w:rPr>
        <w:endnoteRef/>
      </w:r>
      <w:r>
        <w:t xml:space="preserve"> </w:t>
      </w:r>
      <w:r>
        <w:rPr>
          <w:i/>
        </w:rPr>
        <w:t>See Reese</w:t>
      </w:r>
      <w:r>
        <w:t xml:space="preserve">, 300 Ga. App. at 85, 684 S.E.2d at 284; </w:t>
      </w:r>
      <w:r>
        <w:rPr>
          <w:i/>
        </w:rPr>
        <w:t>Smith v. Ontario Sewing Mach. Co., Ltd.</w:t>
      </w:r>
      <w:r>
        <w:t xml:space="preserve">, 249 Ga. App. 364, 367, 548 S.E.2d 89, 94 (2001) (physical precedent).  </w:t>
      </w:r>
    </w:p>
  </w:endnote>
  <w:endnote w:id="945">
    <w:p>
      <w:pPr>
        <w:pStyle w:val="EndnoteText"/>
      </w:pPr>
      <w:r>
        <w:rPr>
          <w:rStyle w:val="EndnoteReference"/>
        </w:rPr>
        <w:endnoteRef/>
      </w:r>
      <w:r>
        <w:t xml:space="preserve"> </w:t>
      </w:r>
      <w:r>
        <w:rPr>
          <w:i/>
        </w:rPr>
        <w:t>Ontario Sewing Mach. Co.</w:t>
      </w:r>
      <w:r>
        <w:t xml:space="preserve">, 249 Ga. App. at 368, 548 S.E.2d at 95 (citing </w:t>
      </w:r>
      <w:r>
        <w:rPr>
          <w:i/>
          <w:iCs/>
        </w:rPr>
        <w:t>Chrysler Corp. v. Batten,</w:t>
      </w:r>
      <w:r>
        <w:t xml:space="preserve"> 264 Ga. 723, 724, 450 S.E.2d 208, 211 (1994); </w:t>
      </w:r>
      <w:r>
        <w:rPr>
          <w:i/>
          <w:iCs/>
        </w:rPr>
        <w:t>Love v. Whirlpool Corp.,</w:t>
      </w:r>
      <w:r>
        <w:t xml:space="preserve"> 264 Ga. 701, 704, 449 S.E.2d 602, 606 (1994); </w:t>
      </w:r>
      <w:r>
        <w:rPr>
          <w:i/>
          <w:iCs/>
        </w:rPr>
        <w:t>Mack Trucks v. Conkle,</w:t>
      </w:r>
      <w:r>
        <w:t xml:space="preserve"> 263 Ga. 539, 544, 436 S.E.2d 635, 640 (1993); </w:t>
      </w:r>
      <w:r>
        <w:rPr>
          <w:i/>
          <w:iCs/>
        </w:rPr>
        <w:t>DeLoach v. Rovema Corp.,</w:t>
      </w:r>
      <w:r>
        <w:t xml:space="preserve"> 241 Ga. App. 802, 804, 527 S.E.2d 882, 883 (2000); </w:t>
      </w:r>
      <w:r>
        <w:rPr>
          <w:i/>
          <w:iCs/>
        </w:rPr>
        <w:t>Bishop v. Farhat,</w:t>
      </w:r>
      <w:r>
        <w:t xml:space="preserve"> 227 Ga. App. 201, 206, 489 S.E.2d 323, 328 (1997)).</w:t>
      </w:r>
    </w:p>
  </w:endnote>
  <w:endnote w:id="946">
    <w:p>
      <w:pPr>
        <w:pStyle w:val="EndnoteText"/>
      </w:pPr>
      <w:r>
        <w:rPr>
          <w:rStyle w:val="EndnoteReference"/>
        </w:rPr>
        <w:endnoteRef/>
      </w:r>
      <w:r>
        <w:t xml:space="preserve"> </w:t>
      </w:r>
      <w:r>
        <w:rPr>
          <w:i/>
        </w:rPr>
        <w:t>See</w:t>
      </w:r>
      <w:r>
        <w:t xml:space="preserve"> </w:t>
      </w:r>
      <w:r>
        <w:rPr>
          <w:i/>
        </w:rPr>
        <w:t>Chrysler Corp. v. Batten</w:t>
      </w:r>
      <w:r>
        <w:t>, 264 Ga. 723, 724, 450 S.E.2d 208, 211 (1994) (“[T]he duty to warn arises whenever the manufacturer knows or reasonably should know of the danger arising from the use of its product.”).</w:t>
      </w:r>
    </w:p>
  </w:endnote>
  <w:endnote w:id="947">
    <w:p>
      <w:pPr>
        <w:pStyle w:val="EndnoteText"/>
      </w:pPr>
      <w:r>
        <w:rPr>
          <w:rStyle w:val="EndnoteReference"/>
        </w:rPr>
        <w:endnoteRef/>
      </w:r>
      <w:r>
        <w:t xml:space="preserve"> </w:t>
      </w:r>
      <w:r>
        <w:rPr>
          <w:i/>
        </w:rPr>
        <w:t>See Batten</w:t>
      </w:r>
      <w:r>
        <w:t xml:space="preserve">, 264 Ga. at 727, 450 S.E.2d at 213.  </w:t>
      </w:r>
    </w:p>
  </w:endnote>
  <w:endnote w:id="948">
    <w:p>
      <w:pPr>
        <w:pStyle w:val="EndnoteText"/>
      </w:pPr>
      <w:r>
        <w:rPr>
          <w:rStyle w:val="EndnoteReference"/>
        </w:rPr>
        <w:endnoteRef/>
      </w:r>
      <w:r>
        <w:t xml:space="preserve"> </w:t>
      </w:r>
      <w:r>
        <w:rPr>
          <w:i/>
        </w:rPr>
        <w:t>See</w:t>
      </w:r>
      <w:r>
        <w:t xml:space="preserve"> </w:t>
      </w:r>
      <w:r>
        <w:rPr>
          <w:i/>
        </w:rPr>
        <w:t>Johnson v. Ford Motor Co.</w:t>
      </w:r>
      <w:r>
        <w:t xml:space="preserve">, 281 Ga. App. 166, 173, 637 S.E.2d 202, 207 (2006); </w:t>
      </w:r>
      <w:r>
        <w:rPr>
          <w:i/>
        </w:rPr>
        <w:t>Hunter v. Werner Co.</w:t>
      </w:r>
      <w:r>
        <w:t xml:space="preserve">, 258 Ga. App. 379, 383, 574 S.E.2d 426, 431 (2002).  O.C.G.A. § 51-1-11(b)(2) and (c) bar product liability actions based on strict liability and negligence after ten years from the date of the first sale of the product that causes the alleged injury.  Negligent failure to warn claims, however, are expressly excluded from Georgia's ten-year statute of repose.  </w:t>
      </w:r>
      <w:r>
        <w:rPr>
          <w:i/>
        </w:rPr>
        <w:t>See Batten</w:t>
      </w:r>
      <w:r>
        <w:t xml:space="preserve">, 264 Ga. at 727, 450 S.E.2d at 213; O.C.G.A. § 51-1-11(c).  The statutory language recognizes the possibility that a manufacturer might not discover a danger or defect in its product, triggering its duty to warn, until after the statute of repose runs, and allows a plaintiff to bring a post-sale failure to warn claim after the statute expires.  </w:t>
      </w:r>
      <w:r>
        <w:rPr>
          <w:i/>
        </w:rPr>
        <w:t>See Batten</w:t>
      </w:r>
      <w:r>
        <w:t xml:space="preserve">, 264 Ga. at 727, 450 S.E.2d at 213; </w:t>
      </w:r>
      <w:r>
        <w:rPr>
          <w:i/>
        </w:rPr>
        <w:t>Hunter</w:t>
      </w:r>
      <w:r>
        <w:t>, 258 Ga. App. at 383-84, 574 S.E.2d at 431.</w:t>
      </w:r>
    </w:p>
  </w:endnote>
  <w:endnote w:id="949">
    <w:p>
      <w:pPr>
        <w:pStyle w:val="EndnoteText"/>
      </w:pPr>
      <w:r>
        <w:rPr>
          <w:rStyle w:val="EndnoteReference"/>
        </w:rPr>
        <w:endnoteRef/>
      </w:r>
      <w:r>
        <w:t xml:space="preserve"> </w:t>
      </w:r>
      <w:r>
        <w:rPr>
          <w:i/>
        </w:rPr>
        <w:t>See</w:t>
      </w:r>
      <w:r>
        <w:t xml:space="preserve"> </w:t>
      </w:r>
      <w:r>
        <w:rPr>
          <w:i/>
        </w:rPr>
        <w:t>Ontario Sewing Mach. Co.</w:t>
      </w:r>
      <w:r>
        <w:t xml:space="preserve">, 249 Ga. App. at 368, 548 S.E.2d at 95.  </w:t>
      </w:r>
    </w:p>
  </w:endnote>
  <w:endnote w:id="950">
    <w:p>
      <w:pPr>
        <w:pStyle w:val="EndnoteText"/>
      </w:pPr>
      <w:r>
        <w:rPr>
          <w:rStyle w:val="EndnoteReference"/>
        </w:rPr>
        <w:endnoteRef/>
      </w:r>
      <w:r>
        <w:t xml:space="preserve"> </w:t>
      </w:r>
      <w:r>
        <w:rPr>
          <w:i/>
        </w:rPr>
        <w:t>Hunter v. Werner Co.</w:t>
      </w:r>
      <w:r>
        <w:t>, 258 Ga. App. 379, 574 S.E.2d 426 (2002).</w:t>
      </w:r>
    </w:p>
  </w:endnote>
  <w:endnote w:id="951">
    <w:p>
      <w:pPr>
        <w:pStyle w:val="EndnoteText"/>
      </w:pPr>
      <w:r>
        <w:rPr>
          <w:rStyle w:val="EndnoteReference"/>
        </w:rPr>
        <w:endnoteRef/>
      </w:r>
      <w:r>
        <w:t xml:space="preserve"> </w:t>
      </w:r>
      <w:r>
        <w:rPr>
          <w:i/>
        </w:rPr>
        <w:t>See id.</w:t>
      </w:r>
      <w:r>
        <w:t xml:space="preserve"> at 379, 574 S.E.2d at 428.  </w:t>
      </w:r>
    </w:p>
  </w:endnote>
  <w:endnote w:id="952">
    <w:p>
      <w:pPr>
        <w:pStyle w:val="EndnoteText"/>
      </w:pPr>
      <w:r>
        <w:rPr>
          <w:rStyle w:val="EndnoteReference"/>
        </w:rPr>
        <w:endnoteRef/>
      </w:r>
      <w:r>
        <w:t xml:space="preserve"> </w:t>
      </w:r>
      <w:r>
        <w:rPr>
          <w:i/>
        </w:rPr>
        <w:t>See id.</w:t>
      </w:r>
      <w:r>
        <w:t xml:space="preserve"> at 380, 574 S.E.2d at 428.  </w:t>
      </w:r>
    </w:p>
  </w:endnote>
  <w:endnote w:id="953">
    <w:p>
      <w:pPr>
        <w:pStyle w:val="EndnoteText"/>
      </w:pPr>
      <w:r>
        <w:rPr>
          <w:rStyle w:val="EndnoteReference"/>
        </w:rPr>
        <w:endnoteRef/>
      </w:r>
      <w:r>
        <w:t xml:space="preserve"> </w:t>
      </w:r>
      <w:r>
        <w:rPr>
          <w:i/>
        </w:rPr>
        <w:t>See id.</w:t>
      </w:r>
      <w:r>
        <w:t xml:space="preserve"> at 385, 574 S.E.2d at 432.  </w:t>
      </w:r>
    </w:p>
  </w:endnote>
  <w:endnote w:id="954">
    <w:p>
      <w:pPr>
        <w:pStyle w:val="EndnoteText"/>
      </w:pPr>
      <w:r>
        <w:rPr>
          <w:rStyle w:val="EndnoteReference"/>
        </w:rPr>
        <w:endnoteRef/>
      </w:r>
      <w:r>
        <w:t xml:space="preserve"> </w:t>
      </w:r>
      <w:r>
        <w:rPr>
          <w:i/>
        </w:rPr>
        <w:t>See id.</w:t>
      </w:r>
      <w:r>
        <w:t xml:space="preserve">, 574 S.E.2d at 432.  </w:t>
      </w:r>
    </w:p>
  </w:endnote>
  <w:endnote w:id="955">
    <w:p>
      <w:pPr>
        <w:pStyle w:val="EndnoteText"/>
      </w:pPr>
      <w:r>
        <w:rPr>
          <w:rStyle w:val="EndnoteReference"/>
        </w:rPr>
        <w:endnoteRef/>
      </w:r>
      <w:r>
        <w:t xml:space="preserve"> </w:t>
      </w:r>
      <w:r>
        <w:rPr>
          <w:i/>
        </w:rPr>
        <w:t>See id.</w:t>
      </w:r>
      <w:r>
        <w:t xml:space="preserve">, 574 S.E.2d at 432.  </w:t>
      </w:r>
    </w:p>
  </w:endnote>
  <w:endnote w:id="956">
    <w:p>
      <w:pPr>
        <w:pStyle w:val="EndnoteText"/>
      </w:pPr>
      <w:r>
        <w:rPr>
          <w:rStyle w:val="EndnoteReference"/>
        </w:rPr>
        <w:endnoteRef/>
      </w:r>
      <w:r>
        <w:t xml:space="preserve"> </w:t>
      </w:r>
      <w:r>
        <w:rPr>
          <w:i/>
        </w:rPr>
        <w:t>See id.</w:t>
      </w:r>
      <w:r>
        <w:t xml:space="preserve">, 574 S.E.2d at 432.  </w:t>
      </w:r>
    </w:p>
  </w:endnote>
  <w:endnote w:id="957">
    <w:p>
      <w:pPr>
        <w:pStyle w:val="EndnoteText"/>
      </w:pPr>
      <w:r>
        <w:rPr>
          <w:rStyle w:val="EndnoteReference"/>
        </w:rPr>
        <w:endnoteRef/>
      </w:r>
      <w:r>
        <w:t xml:space="preserve"> </w:t>
      </w:r>
      <w:r>
        <w:rPr>
          <w:i/>
        </w:rPr>
        <w:t>Watkins v. Ford Motor Co.</w:t>
      </w:r>
      <w:r>
        <w:t>, 190 F.3d 1213 (11th Cir. 1999).</w:t>
      </w:r>
    </w:p>
  </w:endnote>
  <w:endnote w:id="958">
    <w:p>
      <w:pPr>
        <w:pStyle w:val="EndnoteText"/>
      </w:pPr>
      <w:r>
        <w:rPr>
          <w:rStyle w:val="EndnoteReference"/>
        </w:rPr>
        <w:endnoteRef/>
      </w:r>
      <w:r>
        <w:t xml:space="preserve"> </w:t>
      </w:r>
      <w:r>
        <w:rPr>
          <w:i/>
        </w:rPr>
        <w:t>See</w:t>
      </w:r>
      <w:r>
        <w:t xml:space="preserve"> </w:t>
      </w:r>
      <w:r>
        <w:rPr>
          <w:i/>
        </w:rPr>
        <w:t>id.</w:t>
      </w:r>
      <w:r>
        <w:t xml:space="preserve"> at 1219.  </w:t>
      </w:r>
    </w:p>
  </w:endnote>
  <w:endnote w:id="959">
    <w:p>
      <w:pPr>
        <w:pStyle w:val="EndnoteText"/>
      </w:pPr>
      <w:r>
        <w:rPr>
          <w:rStyle w:val="EndnoteReference"/>
        </w:rPr>
        <w:endnoteRef/>
      </w:r>
      <w:r>
        <w:t xml:space="preserve"> </w:t>
      </w:r>
      <w:r>
        <w:rPr>
          <w:i/>
        </w:rPr>
        <w:t>See id.</w:t>
      </w:r>
      <w:r>
        <w:t xml:space="preserve">  </w:t>
      </w:r>
    </w:p>
  </w:endnote>
  <w:endnote w:id="960">
    <w:p>
      <w:pPr>
        <w:pStyle w:val="EndnoteText"/>
      </w:pPr>
      <w:r>
        <w:rPr>
          <w:rStyle w:val="EndnoteReference"/>
        </w:rPr>
        <w:endnoteRef/>
      </w:r>
      <w:r>
        <w:t xml:space="preserve"> </w:t>
      </w:r>
      <w:r>
        <w:rPr>
          <w:i/>
        </w:rPr>
        <w:t xml:space="preserve">See id.  </w:t>
      </w:r>
    </w:p>
  </w:endnote>
  <w:endnote w:id="961">
    <w:p>
      <w:pPr>
        <w:pStyle w:val="EndnoteText"/>
      </w:pPr>
      <w:r>
        <w:rPr>
          <w:rStyle w:val="EndnoteReference"/>
        </w:rPr>
        <w:endnoteRef/>
      </w:r>
      <w:r>
        <w:t xml:space="preserve"> </w:t>
      </w:r>
      <w:r>
        <w:rPr>
          <w:i/>
        </w:rPr>
        <w:t>See id.</w:t>
      </w:r>
      <w:r>
        <w:t xml:space="preserve">  </w:t>
      </w:r>
    </w:p>
  </w:endnote>
  <w:endnote w:id="962">
    <w:p>
      <w:pPr>
        <w:pStyle w:val="EndnoteText"/>
      </w:pPr>
      <w:r>
        <w:rPr>
          <w:rStyle w:val="EndnoteReference"/>
        </w:rPr>
        <w:endnoteRef/>
      </w:r>
      <w:r>
        <w:t xml:space="preserve"> </w:t>
      </w:r>
      <w:r>
        <w:rPr>
          <w:smallCaps/>
        </w:rPr>
        <w:t>Timothy E. Travers &amp; Robert D. Hursh, American Law of Products Liability</w:t>
      </w:r>
      <w:r>
        <w:t xml:space="preserve"> § 32:75 (3d ed. 1987) (citing </w:t>
      </w:r>
      <w:r>
        <w:rPr>
          <w:i/>
        </w:rPr>
        <w:t>Carrizales v. Rheem Mfg. Co., Inc.</w:t>
      </w:r>
      <w:r>
        <w:t xml:space="preserve">, 226 Ill. App. 3d 20, 168 Ill. Dec. 169, 589 N.E.2d 569 (1st Dist. 1991)); </w:t>
      </w:r>
      <w:r>
        <w:rPr>
          <w:i/>
        </w:rPr>
        <w:t>see also</w:t>
      </w:r>
      <w:r>
        <w:t xml:space="preserve"> </w:t>
      </w:r>
      <w:r>
        <w:rPr>
          <w:i/>
        </w:rPr>
        <w:t>Wilson v. United States Elevator Corp.</w:t>
      </w:r>
      <w:r>
        <w:t xml:space="preserve">, 972 P.2d 235 (Ariz. Ct. App. 1998) (holding a manufacturer of elevator had no continuing duty to notify known purchasers of technological advancements in door-closing mechanisms).  </w:t>
      </w:r>
    </w:p>
  </w:endnote>
  <w:endnote w:id="963">
    <w:p>
      <w:pPr>
        <w:pStyle w:val="EndnoteText"/>
      </w:pPr>
      <w:r>
        <w:rPr>
          <w:rStyle w:val="EndnoteReference"/>
        </w:rPr>
        <w:endnoteRef/>
      </w:r>
      <w:r>
        <w:t xml:space="preserve"> </w:t>
      </w:r>
      <w:r>
        <w:rPr>
          <w:i/>
        </w:rPr>
        <w:t>See</w:t>
      </w:r>
      <w:r>
        <w:t xml:space="preserve"> Douglas R. Richmond, </w:t>
      </w:r>
      <w:r>
        <w:rPr>
          <w:i/>
        </w:rPr>
        <w:t>Expanding Products Liability: Manufacturers' Post-Sale Duties to Warn, Retrofit, and Recall</w:t>
      </w:r>
      <w:r>
        <w:t xml:space="preserve">, 36 </w:t>
      </w:r>
      <w:r>
        <w:rPr>
          <w:smallCaps/>
        </w:rPr>
        <w:t>Idaho L. Rev.</w:t>
      </w:r>
      <w:r>
        <w:t xml:space="preserve"> 7, 22 (1999) (citing </w:t>
      </w:r>
      <w:r>
        <w:rPr>
          <w:i/>
        </w:rPr>
        <w:t>Kozlowski v. John E. Smith's Sons Co.</w:t>
      </w:r>
      <w:r>
        <w:t xml:space="preserve">, 275 N.W.2d 915, 923-24 (Wis. 1979)); Edward J. Higgins, </w:t>
      </w:r>
      <w:r>
        <w:rPr>
          <w:i/>
        </w:rPr>
        <w:t>Gone but Not Forgotten: Manufacturers' Post-Sale Duties to Warn or Recall</w:t>
      </w:r>
      <w:r>
        <w:t>, M</w:t>
      </w:r>
      <w:r>
        <w:rPr>
          <w:smallCaps/>
        </w:rPr>
        <w:t>ich</w:t>
      </w:r>
      <w:r>
        <w:t xml:space="preserve">. </w:t>
      </w:r>
      <w:r>
        <w:rPr>
          <w:smallCaps/>
        </w:rPr>
        <w:t>B.</w:t>
      </w:r>
      <w:r>
        <w:t xml:space="preserve">J., June 1999, at 570, 572.  </w:t>
      </w:r>
    </w:p>
  </w:endnote>
  <w:endnote w:id="964">
    <w:p>
      <w:pPr>
        <w:pStyle w:val="EndnoteText"/>
      </w:pPr>
      <w:r>
        <w:rPr>
          <w:rStyle w:val="EndnoteReference"/>
        </w:rPr>
        <w:endnoteRef/>
      </w:r>
      <w:r>
        <w:t xml:space="preserve"> </w:t>
      </w:r>
      <w:r>
        <w:rPr>
          <w:i/>
        </w:rPr>
        <w:t>See</w:t>
      </w:r>
      <w:r>
        <w:t xml:space="preserve"> </w:t>
      </w:r>
      <w:r>
        <w:rPr>
          <w:i/>
        </w:rPr>
        <w:t>White v. W.G.M. Safety Corp.</w:t>
      </w:r>
      <w:r>
        <w:t xml:space="preserve">, 707 F. Supp. 544, 546-47 (S.D. Ga. 1988), </w:t>
      </w:r>
      <w:r>
        <w:rPr>
          <w:i/>
        </w:rPr>
        <w:t>aff'd</w:t>
      </w:r>
      <w:r>
        <w:t xml:space="preserve">, 891 F.2d 906 (11th Cir. 1989).  </w:t>
      </w:r>
    </w:p>
  </w:endnote>
  <w:endnote w:id="965">
    <w:p>
      <w:pPr>
        <w:pStyle w:val="EndnoteText"/>
      </w:pPr>
      <w:r>
        <w:rPr>
          <w:rStyle w:val="EndnoteReference"/>
        </w:rPr>
        <w:endnoteRef/>
      </w:r>
      <w:r>
        <w:t xml:space="preserve"> </w:t>
      </w:r>
      <w:r>
        <w:rPr>
          <w:i/>
        </w:rPr>
        <w:t>Id.</w:t>
      </w:r>
      <w:r>
        <w:t xml:space="preserve">  </w:t>
      </w:r>
    </w:p>
  </w:endnote>
  <w:endnote w:id="966">
    <w:p>
      <w:pPr>
        <w:pStyle w:val="EndnoteText"/>
      </w:pPr>
      <w:r>
        <w:rPr>
          <w:rStyle w:val="EndnoteReference"/>
        </w:rPr>
        <w:endnoteRef/>
      </w:r>
      <w:r>
        <w:t xml:space="preserve"> </w:t>
      </w:r>
      <w:r>
        <w:rPr>
          <w:i/>
        </w:rPr>
        <w:t>Id.</w:t>
      </w:r>
      <w:r>
        <w:t xml:space="preserve"> at 545.  </w:t>
      </w:r>
    </w:p>
  </w:endnote>
  <w:endnote w:id="967">
    <w:p>
      <w:pPr>
        <w:pStyle w:val="EndnoteText"/>
      </w:pPr>
      <w:r>
        <w:rPr>
          <w:rStyle w:val="EndnoteReference"/>
        </w:rPr>
        <w:endnoteRef/>
      </w:r>
      <w:r>
        <w:t xml:space="preserve"> </w:t>
      </w:r>
      <w:r>
        <w:rPr>
          <w:i/>
        </w:rPr>
        <w:t>Id.</w:t>
      </w:r>
      <w:r>
        <w:t xml:space="preserve">  </w:t>
      </w:r>
    </w:p>
  </w:endnote>
  <w:endnote w:id="968">
    <w:p>
      <w:pPr>
        <w:pStyle w:val="EndnoteText"/>
      </w:pPr>
      <w:r>
        <w:rPr>
          <w:rStyle w:val="EndnoteReference"/>
        </w:rPr>
        <w:endnoteRef/>
      </w:r>
      <w:r>
        <w:t xml:space="preserve"> </w:t>
      </w:r>
      <w:r>
        <w:rPr>
          <w:i/>
        </w:rPr>
        <w:t>Id</w:t>
      </w:r>
      <w:r>
        <w:t xml:space="preserve">. at 545-46.  </w:t>
      </w:r>
    </w:p>
  </w:endnote>
  <w:endnote w:id="969">
    <w:p>
      <w:pPr>
        <w:pStyle w:val="EndnoteText"/>
      </w:pPr>
      <w:r>
        <w:rPr>
          <w:rStyle w:val="EndnoteReference"/>
        </w:rPr>
        <w:endnoteRef/>
      </w:r>
      <w:r>
        <w:t xml:space="preserve"> </w:t>
      </w:r>
      <w:r>
        <w:rPr>
          <w:i/>
        </w:rPr>
        <w:t>Id.</w:t>
      </w:r>
      <w:r>
        <w:t xml:space="preserve"> at 547.  </w:t>
      </w:r>
    </w:p>
  </w:endnote>
  <w:endnote w:id="970">
    <w:p>
      <w:pPr>
        <w:pStyle w:val="EndnoteText"/>
      </w:pPr>
      <w:r>
        <w:rPr>
          <w:rStyle w:val="EndnoteReference"/>
        </w:rPr>
        <w:endnoteRef/>
      </w:r>
      <w:r>
        <w:t xml:space="preserve"> </w:t>
      </w:r>
      <w:r>
        <w:rPr>
          <w:i/>
        </w:rPr>
        <w:t>See</w:t>
      </w:r>
      <w:r>
        <w:t xml:space="preserve"> </w:t>
      </w:r>
      <w:r>
        <w:rPr>
          <w:i/>
        </w:rPr>
        <w:t>DeLoach v. Rovema Corp.</w:t>
      </w:r>
      <w:r>
        <w:t xml:space="preserve">, 241 Ga. App. 802, 804–05, 527 S.E.2d 882, 883–84 (2000) (warning that case law “should not be read as erecting a post-sale duty to warn on the part of either a product seller or its successor”); </w:t>
      </w:r>
      <w:r>
        <w:rPr>
          <w:i/>
        </w:rPr>
        <w:t>Bishop v. Farhat</w:t>
      </w:r>
      <w:r>
        <w:t xml:space="preserve">, 227 Ga. App. 201, 206, 489 S.E.2d 323, 328 (1997) (stating distributor “could be held liable for negligent failure to warn only if, at the time of the sale, it had ‘actual or constructive knowledge’ that its product created a danger for the consumer”).  </w:t>
      </w:r>
    </w:p>
  </w:endnote>
  <w:endnote w:id="971">
    <w:p>
      <w:pPr>
        <w:pStyle w:val="EndnoteText"/>
      </w:pPr>
      <w:r>
        <w:rPr>
          <w:rStyle w:val="EndnoteReference"/>
        </w:rPr>
        <w:endnoteRef/>
      </w:r>
      <w:r>
        <w:t xml:space="preserve"> </w:t>
      </w:r>
      <w:r>
        <w:rPr>
          <w:i/>
        </w:rPr>
        <w:t>Corbin v. Farmex, Inc.</w:t>
      </w:r>
      <w:r>
        <w:t xml:space="preserve">, 227 Ga. App. 620, 490 S.E.2d 395 (1997), </w:t>
      </w:r>
      <w:r>
        <w:rPr>
          <w:i/>
        </w:rPr>
        <w:t>rev'd on other grounds</w:t>
      </w:r>
      <w:r>
        <w:t>, 269 Ga. 548, 501 S.E.2d 802 (1998).</w:t>
      </w:r>
    </w:p>
  </w:endnote>
  <w:endnote w:id="972">
    <w:p>
      <w:pPr>
        <w:pStyle w:val="EndnoteText"/>
      </w:pPr>
      <w:r>
        <w:rPr>
          <w:rStyle w:val="EndnoteReference"/>
        </w:rPr>
        <w:endnoteRef/>
      </w:r>
      <w:r>
        <w:t xml:space="preserve"> </w:t>
      </w:r>
      <w:r>
        <w:rPr>
          <w:i/>
        </w:rPr>
        <w:t>Id.</w:t>
      </w:r>
      <w:r>
        <w:t xml:space="preserve"> at 620, 490 S.E.2d at 397.</w:t>
      </w:r>
    </w:p>
  </w:endnote>
  <w:endnote w:id="973">
    <w:p>
      <w:pPr>
        <w:pStyle w:val="EndnoteText"/>
      </w:pPr>
      <w:r>
        <w:rPr>
          <w:rStyle w:val="EndnoteReference"/>
        </w:rPr>
        <w:endnoteRef/>
      </w:r>
      <w:r>
        <w:t xml:space="preserve"> </w:t>
      </w:r>
      <w:r>
        <w:rPr>
          <w:i/>
        </w:rPr>
        <w:t>Id.</w:t>
      </w:r>
      <w:r>
        <w:t>, 490 S.E.2d at 397.</w:t>
      </w:r>
    </w:p>
  </w:endnote>
  <w:endnote w:id="974">
    <w:p>
      <w:pPr>
        <w:pStyle w:val="EndnoteText"/>
      </w:pPr>
      <w:r>
        <w:rPr>
          <w:rStyle w:val="EndnoteReference"/>
        </w:rPr>
        <w:endnoteRef/>
      </w:r>
      <w:r>
        <w:t xml:space="preserve"> </w:t>
      </w:r>
      <w:r>
        <w:rPr>
          <w:i/>
        </w:rPr>
        <w:t>Id.</w:t>
      </w:r>
      <w:r>
        <w:t xml:space="preserve"> at 623, 490 S.E.2d at 399.</w:t>
      </w:r>
    </w:p>
  </w:endnote>
  <w:endnote w:id="975">
    <w:p>
      <w:pPr>
        <w:pStyle w:val="EndnoteText"/>
      </w:pPr>
      <w:r>
        <w:rPr>
          <w:rStyle w:val="EndnoteReference"/>
        </w:rPr>
        <w:endnoteRef/>
      </w:r>
      <w:r>
        <w:t xml:space="preserve"> </w:t>
      </w:r>
      <w:r>
        <w:rPr>
          <w:i/>
        </w:rPr>
        <w:t>Id.</w:t>
      </w:r>
      <w:r>
        <w:t xml:space="preserve">, 490 S.E.2d at 399.  </w:t>
      </w:r>
    </w:p>
  </w:endnote>
  <w:endnote w:id="976">
    <w:p>
      <w:pPr>
        <w:pStyle w:val="EndnoteText"/>
      </w:pPr>
      <w:r>
        <w:rPr>
          <w:rStyle w:val="EndnoteReference"/>
        </w:rPr>
        <w:endnoteRef/>
      </w:r>
      <w:r>
        <w:t xml:space="preserve"> </w:t>
      </w:r>
      <w:r>
        <w:rPr>
          <w:i/>
        </w:rPr>
        <w:t>Id.</w:t>
      </w:r>
      <w:r>
        <w:t xml:space="preserve">, 490 S.E.2d at 399.  </w:t>
      </w:r>
    </w:p>
  </w:endnote>
  <w:endnote w:id="977">
    <w:p>
      <w:pPr>
        <w:pStyle w:val="EndnoteText"/>
      </w:pPr>
      <w:r>
        <w:rPr>
          <w:rStyle w:val="EndnoteReference"/>
        </w:rPr>
        <w:endnoteRef/>
      </w:r>
      <w:r>
        <w:t xml:space="preserve"> </w:t>
      </w:r>
      <w:r>
        <w:rPr>
          <w:i/>
        </w:rPr>
        <w:t>Boyce v. Gregory Poole Equip. Co.</w:t>
      </w:r>
      <w:r>
        <w:t>, 269 Ga. App. 891, 605 S.E.2d 384 (2004).</w:t>
      </w:r>
    </w:p>
  </w:endnote>
  <w:endnote w:id="978">
    <w:p>
      <w:pPr>
        <w:pStyle w:val="EndnoteText"/>
      </w:pPr>
      <w:r>
        <w:rPr>
          <w:rStyle w:val="EndnoteReference"/>
        </w:rPr>
        <w:endnoteRef/>
      </w:r>
      <w:r>
        <w:t xml:space="preserve"> </w:t>
      </w:r>
      <w:r>
        <w:rPr>
          <w:i/>
        </w:rPr>
        <w:t>Id.</w:t>
      </w:r>
      <w:r>
        <w:t xml:space="preserve"> at 891, 605 S.E.2d at 386.  </w:t>
      </w:r>
    </w:p>
  </w:endnote>
  <w:endnote w:id="979">
    <w:p>
      <w:pPr>
        <w:pStyle w:val="EndnoteText"/>
      </w:pPr>
      <w:r>
        <w:rPr>
          <w:rStyle w:val="EndnoteReference"/>
        </w:rPr>
        <w:endnoteRef/>
      </w:r>
      <w:r>
        <w:t xml:space="preserve"> </w:t>
      </w:r>
      <w:r>
        <w:rPr>
          <w:i/>
        </w:rPr>
        <w:t>Id.</w:t>
      </w:r>
      <w:r>
        <w:t xml:space="preserve"> at 892, 605 S.E.2d at 387.  </w:t>
      </w:r>
    </w:p>
  </w:endnote>
  <w:endnote w:id="980">
    <w:p>
      <w:pPr>
        <w:pStyle w:val="EndnoteText"/>
      </w:pPr>
      <w:r>
        <w:rPr>
          <w:rStyle w:val="EndnoteReference"/>
        </w:rPr>
        <w:endnoteRef/>
      </w:r>
      <w:r>
        <w:t xml:space="preserve"> </w:t>
      </w:r>
      <w:r>
        <w:rPr>
          <w:i/>
        </w:rPr>
        <w:t>Id.</w:t>
      </w:r>
      <w:r>
        <w:t xml:space="preserve">, 605 S.E.2d at 387.    </w:t>
      </w:r>
    </w:p>
  </w:endnote>
  <w:endnote w:id="981">
    <w:p>
      <w:pPr>
        <w:pStyle w:val="EndnoteText"/>
      </w:pPr>
      <w:r>
        <w:rPr>
          <w:rStyle w:val="EndnoteReference"/>
        </w:rPr>
        <w:endnoteRef/>
      </w:r>
      <w:r>
        <w:t xml:space="preserve"> </w:t>
      </w:r>
      <w:r>
        <w:rPr>
          <w:i/>
        </w:rPr>
        <w:t>Id.</w:t>
      </w:r>
      <w:r>
        <w:t xml:space="preserve">, 605 S.E.2d at 387.    </w:t>
      </w:r>
    </w:p>
  </w:endnote>
  <w:endnote w:id="982">
    <w:p>
      <w:pPr>
        <w:pStyle w:val="EndnoteText"/>
      </w:pPr>
      <w:r>
        <w:rPr>
          <w:rStyle w:val="EndnoteReference"/>
        </w:rPr>
        <w:endnoteRef/>
      </w:r>
      <w:r>
        <w:t xml:space="preserve"> </w:t>
      </w:r>
      <w:r>
        <w:rPr>
          <w:i/>
        </w:rPr>
        <w:t>Id.</w:t>
      </w:r>
      <w:r>
        <w:t xml:space="preserve"> at 892-93, 605 S.E.2d at 387.  </w:t>
      </w:r>
    </w:p>
  </w:endnote>
  <w:endnote w:id="983">
    <w:p>
      <w:pPr>
        <w:pStyle w:val="EndnoteText"/>
      </w:pPr>
      <w:r>
        <w:rPr>
          <w:rStyle w:val="EndnoteReference"/>
        </w:rPr>
        <w:endnoteRef/>
      </w:r>
      <w:r>
        <w:t xml:space="preserve"> </w:t>
      </w:r>
      <w:r>
        <w:rPr>
          <w:i/>
        </w:rPr>
        <w:t>Id.</w:t>
      </w:r>
      <w:r>
        <w:t xml:space="preserve"> at 894, 605 S.E.2d at 388.  </w:t>
      </w:r>
    </w:p>
  </w:endnote>
  <w:endnote w:id="984">
    <w:p>
      <w:pPr>
        <w:pStyle w:val="EndnoteText"/>
      </w:pPr>
      <w:r>
        <w:rPr>
          <w:rStyle w:val="EndnoteReference"/>
        </w:rPr>
        <w:endnoteRef/>
      </w:r>
      <w:r>
        <w:t xml:space="preserve"> </w:t>
      </w:r>
      <w:r>
        <w:rPr>
          <w:i/>
        </w:rPr>
        <w:t>Id.</w:t>
      </w:r>
      <w:r>
        <w:t xml:space="preserve">, 605 S.E.2d at 388.    </w:t>
      </w:r>
    </w:p>
  </w:endnote>
  <w:endnote w:id="985">
    <w:p>
      <w:pPr>
        <w:pStyle w:val="EndnoteText"/>
      </w:pPr>
      <w:r>
        <w:rPr>
          <w:rStyle w:val="EndnoteReference"/>
        </w:rPr>
        <w:endnoteRef/>
      </w:r>
      <w:r>
        <w:t xml:space="preserve"> </w:t>
      </w:r>
      <w:r>
        <w:rPr>
          <w:i/>
        </w:rPr>
        <w:t>Id.</w:t>
      </w:r>
      <w:r>
        <w:t xml:space="preserve"> at 897, 605 S.E.2d at 390.  </w:t>
      </w:r>
    </w:p>
  </w:endnote>
  <w:endnote w:id="986">
    <w:p>
      <w:pPr>
        <w:pStyle w:val="EndnoteText"/>
      </w:pPr>
      <w:r>
        <w:rPr>
          <w:rStyle w:val="EndnoteReference"/>
        </w:rPr>
        <w:endnoteRef/>
      </w:r>
      <w:r>
        <w:t xml:space="preserve"> </w:t>
      </w:r>
      <w:r>
        <w:rPr>
          <w:i/>
        </w:rPr>
        <w:t>See</w:t>
      </w:r>
      <w:r>
        <w:t xml:space="preserve"> </w:t>
      </w:r>
      <w:r>
        <w:rPr>
          <w:i/>
        </w:rPr>
        <w:t>DeLoach v. Rovema Corp.</w:t>
      </w:r>
      <w:r>
        <w:t xml:space="preserve">, 241 Ga. App. 802, 803, 527 S.E.2d 882, 883 (2000). </w:t>
      </w:r>
    </w:p>
  </w:endnote>
  <w:endnote w:id="987">
    <w:p>
      <w:pPr>
        <w:pStyle w:val="EndnoteText"/>
      </w:pPr>
      <w:r>
        <w:rPr>
          <w:rStyle w:val="EndnoteReference"/>
        </w:rPr>
        <w:endnoteRef/>
      </w:r>
      <w:r>
        <w:t xml:space="preserve"> </w:t>
      </w:r>
      <w:r>
        <w:rPr>
          <w:i/>
        </w:rPr>
        <w:t>Silver v. BAD BOY ENTERPRISES LLC</w:t>
      </w:r>
      <w:r>
        <w:t>, 907 F. Supp. 2d 1351 (M.D. Ga. 2012).</w:t>
      </w:r>
    </w:p>
  </w:endnote>
  <w:endnote w:id="988">
    <w:p>
      <w:pPr>
        <w:pStyle w:val="EndnoteText"/>
      </w:pPr>
      <w:r>
        <w:rPr>
          <w:rStyle w:val="EndnoteReference"/>
        </w:rPr>
        <w:endnoteRef/>
      </w:r>
      <w:r>
        <w:t xml:space="preserve"> </w:t>
      </w:r>
      <w:r>
        <w:rPr>
          <w:i/>
        </w:rPr>
        <w:t>Id.</w:t>
      </w:r>
      <w:r>
        <w:t xml:space="preserve"> at 1358-59.  </w:t>
      </w:r>
    </w:p>
  </w:endnote>
  <w:endnote w:id="989">
    <w:p>
      <w:pPr>
        <w:pStyle w:val="EndnoteText"/>
      </w:pPr>
      <w:r>
        <w:rPr>
          <w:rStyle w:val="EndnoteReference"/>
        </w:rPr>
        <w:endnoteRef/>
      </w:r>
      <w:r>
        <w:t xml:space="preserve"> </w:t>
      </w:r>
      <w:r>
        <w:rPr>
          <w:i/>
        </w:rPr>
        <w:t>Id.</w:t>
      </w:r>
      <w:r>
        <w:t xml:space="preserve"> at 1358.</w:t>
      </w:r>
    </w:p>
  </w:endnote>
  <w:endnote w:id="990">
    <w:p>
      <w:pPr>
        <w:pStyle w:val="EndnoteText"/>
      </w:pPr>
      <w:r>
        <w:rPr>
          <w:rStyle w:val="EndnoteReference"/>
        </w:rPr>
        <w:endnoteRef/>
      </w:r>
      <w:r>
        <w:t xml:space="preserve"> </w:t>
      </w:r>
      <w:r>
        <w:rPr>
          <w:i/>
        </w:rPr>
        <w:t>Id.</w:t>
      </w:r>
      <w:r>
        <w:t xml:space="preserve">, </w:t>
      </w:r>
      <w:r>
        <w:rPr>
          <w:i/>
        </w:rPr>
        <w:t>Patton v. Hutchinson Wil-Rich Mfg. Co.</w:t>
      </w:r>
      <w:r>
        <w:t xml:space="preserve">, 253 Kan. 741, 761-62, 861 P.2d 1299, 1314-15 (1993).  </w:t>
      </w:r>
    </w:p>
  </w:endnote>
  <w:endnote w:id="991">
    <w:p>
      <w:pPr>
        <w:pStyle w:val="EndnoteText"/>
      </w:pPr>
      <w:r>
        <w:rPr>
          <w:rStyle w:val="EndnoteReference"/>
        </w:rPr>
        <w:endnoteRef/>
      </w:r>
      <w:r>
        <w:t xml:space="preserve"> </w:t>
      </w:r>
      <w:r>
        <w:rPr>
          <w:i/>
        </w:rPr>
        <w:t>Liriano v. Hobart Corp.</w:t>
      </w:r>
      <w:r>
        <w:t>, 92 N.Y.2d 232, 240, 700 N.E.2d 303, 307 (1998) (citing</w:t>
      </w:r>
      <w:r>
        <w:rPr>
          <w:i/>
          <w:iCs/>
        </w:rPr>
        <w:t xml:space="preserve"> Kriz v. Schum,</w:t>
      </w:r>
      <w:r>
        <w:t xml:space="preserve"> 75 N.Y.2d 25, 35-36 (1989) (upholding plaintiff's claim based on a post-sale failure to warn); </w:t>
      </w:r>
      <w:r>
        <w:rPr>
          <w:i/>
          <w:iCs/>
        </w:rPr>
        <w:t>Haran v. Union Carbide Corp.,</w:t>
      </w:r>
      <w:r>
        <w:t xml:space="preserve"> 68 N.Y.2d 710, 712 (1986) (no notice to manufacturer of a danger or defect in the product); </w:t>
      </w:r>
      <w:r>
        <w:rPr>
          <w:i/>
          <w:iCs/>
        </w:rPr>
        <w:t>Cover v. Cohen,</w:t>
      </w:r>
      <w:r>
        <w:t xml:space="preserve"> 61 N.Y.2d 261, 274–77 (1984) (technical service bulletin issued by manufacturer and sent to vendor 13 months after delivery relevant and admissible)).</w:t>
      </w:r>
    </w:p>
  </w:endnote>
  <w:endnote w:id="992">
    <w:p>
      <w:pPr>
        <w:pStyle w:val="EndnoteText"/>
      </w:pPr>
      <w:r>
        <w:rPr>
          <w:rStyle w:val="EndnoteReference"/>
        </w:rPr>
        <w:endnoteRef/>
      </w:r>
      <w:r>
        <w:t xml:space="preserve"> </w:t>
      </w:r>
      <w:r>
        <w:rPr>
          <w:i/>
        </w:rPr>
        <w:t>See, e.g., Unified School Dist. No. 490, Butler County v. Celotex Corp.</w:t>
      </w:r>
      <w:r>
        <w:t xml:space="preserve">, 6 Kan. App. 2d 346, 629 P.2d 196 (1981) (evidence of other product-related failures occurring after sale in question is admissible to show manufacturer’s knowledge of defects that gives rise to duty to warn); </w:t>
      </w:r>
      <w:r>
        <w:rPr>
          <w:i/>
        </w:rPr>
        <w:t>see also</w:t>
      </w:r>
      <w:r>
        <w:t xml:space="preserve"> </w:t>
      </w:r>
      <w:r>
        <w:rPr>
          <w:i/>
        </w:rPr>
        <w:t>Hodder v. Goodyear Tire &amp; Rubber Co</w:t>
      </w:r>
      <w:r>
        <w:t xml:space="preserve">., 426 N.W.2d 826 (Minn. 1988) (continuing post-sale duty to warn existed where manufacturer knew of 134 incidents with serious injury or death as result); </w:t>
      </w:r>
      <w:r>
        <w:rPr>
          <w:i/>
        </w:rPr>
        <w:t>Cover v. Cohen</w:t>
      </w:r>
      <w:r>
        <w:t>, 61 N.Y.2d 261, 473 N.Y.S.2d 378 (1984) (post-sale duty to warn appears to be function of degree of danger problem involves and number of instances reported).</w:t>
      </w:r>
    </w:p>
  </w:endnote>
  <w:endnote w:id="993">
    <w:p>
      <w:pPr>
        <w:pStyle w:val="EndnoteText"/>
      </w:pPr>
      <w:r>
        <w:rPr>
          <w:rStyle w:val="EndnoteReference"/>
        </w:rPr>
        <w:endnoteRef/>
      </w:r>
      <w:r>
        <w:t xml:space="preserve"> </w:t>
      </w:r>
      <w:r>
        <w:rPr>
          <w:i/>
        </w:rPr>
        <w:t>Esparza v. Skyreach Equip., Inc.</w:t>
      </w:r>
      <w:r>
        <w:t>, 103 Wash. App. 916, 15 P.3d 188 (2000).</w:t>
      </w:r>
    </w:p>
  </w:endnote>
  <w:endnote w:id="994">
    <w:p>
      <w:pPr>
        <w:pStyle w:val="EndnoteText"/>
      </w:pPr>
      <w:r>
        <w:rPr>
          <w:rStyle w:val="EndnoteReference"/>
        </w:rPr>
        <w:endnoteRef/>
      </w:r>
      <w:r>
        <w:t xml:space="preserve"> </w:t>
      </w:r>
      <w:r>
        <w:rPr>
          <w:i/>
        </w:rPr>
        <w:t>Id.</w:t>
      </w:r>
      <w:r>
        <w:t xml:space="preserve"> at 935-36, 15 P.3d at 199.</w:t>
      </w:r>
    </w:p>
  </w:endnote>
  <w:endnote w:id="995">
    <w:p>
      <w:pPr>
        <w:pStyle w:val="EndnoteText"/>
      </w:pPr>
      <w:r>
        <w:rPr>
          <w:rStyle w:val="EndnoteReference"/>
        </w:rPr>
        <w:endnoteRef/>
      </w:r>
      <w:r>
        <w:t xml:space="preserve"> </w:t>
      </w:r>
      <w:r>
        <w:rPr>
          <w:i/>
        </w:rPr>
        <w:t>Lovick v. Wil-Rich</w:t>
      </w:r>
      <w:r>
        <w:t>, 588 N.W.2d 688 (Iowa 1999).</w:t>
      </w:r>
    </w:p>
  </w:endnote>
  <w:endnote w:id="996">
    <w:p>
      <w:pPr>
        <w:pStyle w:val="EndnoteText"/>
      </w:pPr>
      <w:r>
        <w:rPr>
          <w:rStyle w:val="EndnoteReference"/>
        </w:rPr>
        <w:endnoteRef/>
      </w:r>
      <w:r>
        <w:t xml:space="preserve"> </w:t>
      </w:r>
      <w:r>
        <w:rPr>
          <w:i/>
        </w:rPr>
        <w:t>Id.</w:t>
      </w:r>
      <w:r>
        <w:t xml:space="preserve"> at 695-96.</w:t>
      </w:r>
    </w:p>
  </w:endnote>
  <w:endnote w:id="997">
    <w:p>
      <w:pPr>
        <w:pStyle w:val="EndnoteText"/>
      </w:pPr>
      <w:r>
        <w:rPr>
          <w:rStyle w:val="EndnoteReference"/>
        </w:rPr>
        <w:endnoteRef/>
      </w:r>
      <w:r>
        <w:t xml:space="preserve"> </w:t>
      </w:r>
      <w:r>
        <w:rPr>
          <w:i/>
        </w:rPr>
        <w:t xml:space="preserve">See Hollingsworth &amp; Vose Co. v. Connor, </w:t>
      </w:r>
      <w:r>
        <w:t xml:space="preserve">136 Md. App. 91, 121, 764 A.2d 318, 334 (2000); </w:t>
      </w:r>
      <w:r>
        <w:rPr>
          <w:i/>
        </w:rPr>
        <w:t>see also Crowston v. Goodyear Tire &amp; Rubber Co</w:t>
      </w:r>
      <w:r>
        <w:t>., 521 N.W.2d 401, 407-08 (N.D. 1994) (“[S]imply because a product is mass produced and widely distributed does not totally absolve a manufacturer of a post-sale duty to warn”).</w:t>
      </w:r>
    </w:p>
  </w:endnote>
  <w:endnote w:id="998">
    <w:p>
      <w:pPr>
        <w:pStyle w:val="EndnoteText"/>
      </w:pPr>
      <w:r>
        <w:rPr>
          <w:rStyle w:val="EndnoteReference"/>
        </w:rPr>
        <w:endnoteRef/>
      </w:r>
      <w:r>
        <w:t xml:space="preserve"> </w:t>
      </w:r>
      <w:r>
        <w:rPr>
          <w:i/>
        </w:rPr>
        <w:t>Novak v. Navistar Intern. Transp. Co.</w:t>
      </w:r>
      <w:r>
        <w:t>, 46 F.3d 844 (8th Cir. 1995).</w:t>
      </w:r>
    </w:p>
  </w:endnote>
  <w:endnote w:id="999">
    <w:p>
      <w:pPr>
        <w:pStyle w:val="EndnoteText"/>
      </w:pPr>
      <w:r>
        <w:rPr>
          <w:rStyle w:val="EndnoteReference"/>
        </w:rPr>
        <w:endnoteRef/>
      </w:r>
      <w:r>
        <w:t xml:space="preserve"> </w:t>
      </w:r>
      <w:r>
        <w:rPr>
          <w:i/>
        </w:rPr>
        <w:t xml:space="preserve">Id. </w:t>
      </w:r>
      <w:r>
        <w:t>at 850.</w:t>
      </w:r>
    </w:p>
  </w:endnote>
  <w:endnote w:id="1000">
    <w:p>
      <w:pPr>
        <w:pStyle w:val="EndnoteText"/>
      </w:pPr>
      <w:r>
        <w:rPr>
          <w:rStyle w:val="EndnoteReference"/>
        </w:rPr>
        <w:endnoteRef/>
      </w:r>
      <w:r>
        <w:t xml:space="preserve"> </w:t>
      </w:r>
      <w:r>
        <w:rPr>
          <w:i/>
        </w:rPr>
        <w:t>See</w:t>
      </w:r>
      <w:r>
        <w:t xml:space="preserve"> </w:t>
      </w:r>
      <w:r>
        <w:rPr>
          <w:smallCaps/>
        </w:rPr>
        <w:t>Restatement (Third) of Torts, Products Liability</w:t>
      </w:r>
      <w:r>
        <w:t xml:space="preserve"> § 10(b).  </w:t>
      </w:r>
    </w:p>
  </w:endnote>
  <w:endnote w:id="1001">
    <w:p>
      <w:pPr>
        <w:pStyle w:val="EndnoteText"/>
      </w:pPr>
      <w:r>
        <w:rPr>
          <w:rStyle w:val="EndnoteReference"/>
        </w:rPr>
        <w:endnoteRef/>
      </w:r>
      <w:r>
        <w:t xml:space="preserve"> </w:t>
      </w:r>
      <w:r>
        <w:rPr>
          <w:i/>
        </w:rPr>
        <w:t>See Quist v. Sunbeam Prods., Inc</w:t>
      </w:r>
      <w:r>
        <w:t xml:space="preserve">., No. 08–5261, 2010 WL 1665254, *5 (D. Minn. Apr. 22, 2010) (“[I]t would be unreasonable to expect” that a manufacturer of products like heating pads that are mass-produced and widely distributed “could adequately trace the owners of their products, who often purchase anonymously, without registration from pharmacies and discount stores”); </w:t>
      </w:r>
      <w:r>
        <w:rPr>
          <w:i/>
        </w:rPr>
        <w:t>Habecker v. Clark Equip. Co</w:t>
      </w:r>
      <w:r>
        <w:t xml:space="preserve">., 797 F. Supp. 381, 388 (M.D. Pa. 1992) (forklifts are common equipment found in any business that has a loading dock or a warehouse; it would be unreasonable to extend to manufacturers of such “common business appliances” a duty to give post-sale warnings of product improvements); </w:t>
      </w:r>
      <w:r>
        <w:rPr>
          <w:i/>
        </w:rPr>
        <w:t>Carrizales v. Rheem Mfg. Co</w:t>
      </w:r>
      <w:r>
        <w:t>., 226 Ill. App. 3d 20, 589 N.E.2d 569 (1991) (refusing to find manufacturer had duty to warn of water heaters’ tendency to catch fire).</w:t>
      </w:r>
    </w:p>
  </w:endnote>
  <w:endnote w:id="1002">
    <w:p>
      <w:pPr>
        <w:pStyle w:val="EndnoteText"/>
      </w:pPr>
      <w:r>
        <w:rPr>
          <w:rStyle w:val="EndnoteReference"/>
        </w:rPr>
        <w:endnoteRef/>
      </w:r>
      <w:r>
        <w:t xml:space="preserve"> </w:t>
      </w:r>
      <w:r>
        <w:rPr>
          <w:i/>
        </w:rPr>
        <w:t>Hollingsworth v. Connor</w:t>
      </w:r>
      <w:r>
        <w:t>, 136 Md. App. 91, 764 A.2d 318 (2000).</w:t>
      </w:r>
    </w:p>
  </w:endnote>
  <w:endnote w:id="1003">
    <w:p>
      <w:pPr>
        <w:pStyle w:val="EndnoteText"/>
      </w:pPr>
      <w:r>
        <w:rPr>
          <w:rStyle w:val="EndnoteReference"/>
        </w:rPr>
        <w:endnoteRef/>
      </w:r>
      <w:r>
        <w:t xml:space="preserve"> </w:t>
      </w:r>
      <w:r>
        <w:rPr>
          <w:i/>
        </w:rPr>
        <w:t>Id.</w:t>
      </w:r>
      <w:r>
        <w:t xml:space="preserve"> at 120-21, 764 A.2d at 334.  </w:t>
      </w:r>
    </w:p>
  </w:endnote>
  <w:endnote w:id="1004">
    <w:p>
      <w:pPr>
        <w:pStyle w:val="EndnoteText"/>
      </w:pPr>
      <w:r>
        <w:rPr>
          <w:rStyle w:val="EndnoteReference"/>
        </w:rPr>
        <w:endnoteRef/>
      </w:r>
      <w:r>
        <w:t xml:space="preserve"> </w:t>
      </w:r>
      <w:r>
        <w:rPr>
          <w:smallCaps/>
        </w:rPr>
        <w:t>Restatement (Third) of Torts, Products Liability</w:t>
      </w:r>
      <w:r>
        <w:t xml:space="preserve"> § 10, cmt. g (“When direct communication is not feasible, it may be necessary to utilize the public media to disseminate information regarding risks of substantial harm.”).  </w:t>
      </w:r>
    </w:p>
  </w:endnote>
  <w:endnote w:id="1005">
    <w:p>
      <w:pPr>
        <w:pStyle w:val="EndnoteText"/>
      </w:pPr>
      <w:r>
        <w:rPr>
          <w:rStyle w:val="EndnoteReference"/>
        </w:rPr>
        <w:endnoteRef/>
      </w:r>
      <w:r>
        <w:t xml:space="preserve"> </w:t>
      </w:r>
      <w:r>
        <w:rPr>
          <w:i/>
        </w:rPr>
        <w:t>Dixon v. Jacobsen Mfg. Co.</w:t>
      </w:r>
      <w:r>
        <w:t>, 270 N.J. Super. 569, 637 A.2d 915 (App. Div. 1994).</w:t>
      </w:r>
    </w:p>
  </w:endnote>
  <w:endnote w:id="1006">
    <w:p>
      <w:pPr>
        <w:pStyle w:val="EndnoteText"/>
      </w:pPr>
      <w:r>
        <w:rPr>
          <w:rStyle w:val="EndnoteReference"/>
        </w:rPr>
        <w:endnoteRef/>
      </w:r>
      <w:r>
        <w:t xml:space="preserve"> </w:t>
      </w:r>
      <w:r>
        <w:rPr>
          <w:i/>
        </w:rPr>
        <w:t>Id.</w:t>
      </w:r>
      <w:r>
        <w:t xml:space="preserve"> at 586, 637 A.2d at 923.</w:t>
      </w:r>
    </w:p>
  </w:endnote>
  <w:endnote w:id="1007">
    <w:p>
      <w:pPr>
        <w:pStyle w:val="EndnoteText"/>
      </w:pPr>
      <w:r>
        <w:rPr>
          <w:rStyle w:val="EndnoteReference"/>
          <w:sz w:val="16"/>
          <w:szCs w:val="16"/>
        </w:rPr>
        <w:endnoteRef/>
      </w:r>
      <w:r>
        <w:t xml:space="preserve"> </w:t>
      </w:r>
      <w:r>
        <w:rPr>
          <w:i/>
        </w:rPr>
        <w:t>Jones v. Bowie Indus., Inc.</w:t>
      </w:r>
      <w:r>
        <w:t>, 282 P.3d 316, 336 (Alaska 2012).</w:t>
      </w:r>
    </w:p>
  </w:endnote>
  <w:endnote w:id="1008">
    <w:p>
      <w:pPr>
        <w:pStyle w:val="EndnoteText"/>
      </w:pPr>
      <w:r>
        <w:rPr>
          <w:rStyle w:val="EndnoteReference"/>
          <w:sz w:val="16"/>
          <w:szCs w:val="16"/>
        </w:rPr>
        <w:endnoteRef/>
      </w:r>
      <w:r>
        <w:t xml:space="preserve"> </w:t>
      </w:r>
      <w:r>
        <w:rPr>
          <w:i/>
        </w:rPr>
        <w:t>Walton v. Avco Corp.</w:t>
      </w:r>
      <w:r>
        <w:t>, 530 Pa. 568, 610 A.2d 454 (1992).</w:t>
      </w:r>
    </w:p>
  </w:endnote>
  <w:endnote w:id="1009">
    <w:p>
      <w:pPr>
        <w:pStyle w:val="EndnoteText"/>
      </w:pPr>
      <w:r>
        <w:rPr>
          <w:rStyle w:val="EndnoteReference"/>
          <w:sz w:val="16"/>
          <w:szCs w:val="16"/>
        </w:rPr>
        <w:endnoteRef/>
      </w:r>
      <w:r>
        <w:t xml:space="preserve"> </w:t>
      </w:r>
      <w:r>
        <w:rPr>
          <w:i/>
        </w:rPr>
        <w:t>Patton v. Hutchinson Wil-Rich Mfg. Co.</w:t>
      </w:r>
      <w:r>
        <w:t>, 253 Kan. 741, 861 P.2d 1299 (1993).</w:t>
      </w:r>
    </w:p>
  </w:endnote>
  <w:endnote w:id="1010">
    <w:p>
      <w:pPr>
        <w:pStyle w:val="EndnoteText"/>
      </w:pPr>
      <w:r>
        <w:rPr>
          <w:rStyle w:val="EndnoteReference"/>
          <w:sz w:val="16"/>
          <w:szCs w:val="16"/>
        </w:rPr>
        <w:endnoteRef/>
      </w:r>
      <w:r>
        <w:t xml:space="preserve"> </w:t>
      </w:r>
      <w:r>
        <w:rPr>
          <w:i/>
        </w:rPr>
        <w:t xml:space="preserve">Id. </w:t>
      </w:r>
      <w:r>
        <w:t>at 749, 861 P.2d at 1307.</w:t>
      </w:r>
    </w:p>
  </w:endnote>
  <w:endnote w:id="1011">
    <w:p>
      <w:pPr>
        <w:pStyle w:val="EndnoteText"/>
      </w:pPr>
      <w:r>
        <w:rPr>
          <w:rStyle w:val="EndnoteReference"/>
          <w:sz w:val="16"/>
          <w:szCs w:val="16"/>
        </w:rPr>
        <w:endnoteRef/>
      </w:r>
      <w:r>
        <w:t xml:space="preserve"> </w:t>
      </w:r>
      <w:r>
        <w:rPr>
          <w:i/>
        </w:rPr>
        <w:t>See</w:t>
      </w:r>
      <w:r>
        <w:t xml:space="preserve"> Restatement (Third) of Torts, Products Liability § 10, cmt. d.</w:t>
      </w:r>
    </w:p>
  </w:endnote>
  <w:endnote w:id="1012">
    <w:p>
      <w:pPr>
        <w:pStyle w:val="EndnoteText"/>
      </w:pPr>
      <w:r>
        <w:rPr>
          <w:rStyle w:val="EndnoteReference"/>
          <w:sz w:val="16"/>
          <w:szCs w:val="16"/>
        </w:rPr>
        <w:endnoteRef/>
      </w:r>
      <w:r>
        <w:t xml:space="preserve"> </w:t>
      </w:r>
      <w:r>
        <w:rPr>
          <w:i/>
        </w:rPr>
        <w:t>Jones v. Bowie Indus., Inc.</w:t>
      </w:r>
      <w:r>
        <w:t>, 282 P.3d 316 (Alaska 2012).</w:t>
      </w:r>
    </w:p>
  </w:endnote>
  <w:endnote w:id="1013">
    <w:p>
      <w:pPr>
        <w:pStyle w:val="EndnoteText"/>
      </w:pPr>
      <w:r>
        <w:rPr>
          <w:rStyle w:val="EndnoteReference"/>
          <w:sz w:val="16"/>
          <w:szCs w:val="16"/>
        </w:rPr>
        <w:endnoteRef/>
      </w:r>
      <w:r>
        <w:t xml:space="preserve"> </w:t>
      </w:r>
      <w:r>
        <w:rPr>
          <w:i/>
        </w:rPr>
        <w:t xml:space="preserve">Id. </w:t>
      </w:r>
      <w:r>
        <w:t xml:space="preserve">at 335; </w:t>
      </w:r>
      <w:r>
        <w:rPr>
          <w:i/>
        </w:rPr>
        <w:t>see also</w:t>
      </w:r>
      <w:r>
        <w:t xml:space="preserve"> </w:t>
      </w:r>
      <w:r>
        <w:rPr>
          <w:i/>
        </w:rPr>
        <w:t>Rekab, Inc. v. Frank Hrubetz &amp; Co., Inc</w:t>
      </w:r>
      <w:r>
        <w:t>., 261 Md. 141, 274 A.D.2d 107 (Md. App. 1971) (duty to warn arose where only 3 items sold, but where there was very high degree of danger to life).</w:t>
      </w:r>
    </w:p>
  </w:endnote>
  <w:endnote w:id="1014">
    <w:p>
      <w:pPr>
        <w:pStyle w:val="EndnoteText"/>
      </w:pPr>
      <w:r>
        <w:rPr>
          <w:rStyle w:val="EndnoteReference"/>
          <w:sz w:val="16"/>
          <w:szCs w:val="16"/>
        </w:rPr>
        <w:endnoteRef/>
      </w:r>
      <w:r>
        <w:t xml:space="preserve"> </w:t>
      </w:r>
      <w:r>
        <w:rPr>
          <w:i/>
        </w:rPr>
        <w:t>See Kelley v. Hedwin Corp</w:t>
      </w:r>
      <w:r>
        <w:t xml:space="preserve">., 308 Ga. App. 509, 707 S.E.2d 895 (2011); </w:t>
      </w:r>
      <w:r>
        <w:rPr>
          <w:i/>
        </w:rPr>
        <w:t>Vickery v. Waste Mgmt. of Ga., Inc</w:t>
      </w:r>
      <w:r>
        <w:t xml:space="preserve">., 249 Ga. App. 659, 549 S.E.2d 482 (2001); </w:t>
      </w:r>
      <w:r>
        <w:rPr>
          <w:i/>
        </w:rPr>
        <w:t>Fluidmaster, Inc. v. Severinsen</w:t>
      </w:r>
      <w:r>
        <w:t xml:space="preserve">, 238 Ga. App. 755, 520 S.E.2d 253 (1999).  </w:t>
      </w:r>
    </w:p>
  </w:endnote>
  <w:endnote w:id="1015">
    <w:p>
      <w:pPr>
        <w:pStyle w:val="EndnoteText"/>
      </w:pPr>
      <w:r>
        <w:rPr>
          <w:rStyle w:val="EndnoteReference"/>
          <w:sz w:val="16"/>
          <w:szCs w:val="16"/>
        </w:rPr>
        <w:endnoteRef/>
      </w:r>
      <w:r>
        <w:t xml:space="preserve"> </w:t>
      </w:r>
      <w:r>
        <w:rPr>
          <w:i/>
        </w:rPr>
        <w:t>See Boyce v. Gregory Poole Equip. Co</w:t>
      </w:r>
      <w:r>
        <w:t xml:space="preserve">., 269 Ga. App. 891, 605 S.E.2d 384 (2004); </w:t>
      </w:r>
      <w:r>
        <w:rPr>
          <w:i/>
        </w:rPr>
        <w:t>Moore v. ECI Mgmt.</w:t>
      </w:r>
      <w:r>
        <w:t xml:space="preserve">, 246 Ga. App. 601, 542 S.E.2d 115 (2000).  </w:t>
      </w:r>
    </w:p>
  </w:endnote>
  <w:endnote w:id="1016">
    <w:p>
      <w:pPr>
        <w:pStyle w:val="EndnoteText"/>
      </w:pPr>
      <w:r>
        <w:rPr>
          <w:rStyle w:val="EndnoteReference"/>
          <w:sz w:val="16"/>
          <w:szCs w:val="16"/>
        </w:rPr>
        <w:endnoteRef/>
      </w:r>
      <w:r>
        <w:t xml:space="preserve"> </w:t>
      </w:r>
      <w:r>
        <w:rPr>
          <w:i/>
        </w:rPr>
        <w:t>Liriano v. Hobart Co.</w:t>
      </w:r>
      <w:r>
        <w:t>, 92 N.Y.2d 232 (1998).</w:t>
      </w:r>
    </w:p>
  </w:endnote>
  <w:endnote w:id="1017">
    <w:p>
      <w:pPr>
        <w:pStyle w:val="EndnoteText"/>
      </w:pPr>
      <w:r>
        <w:rPr>
          <w:rStyle w:val="EndnoteReference"/>
          <w:sz w:val="16"/>
          <w:szCs w:val="16"/>
        </w:rPr>
        <w:endnoteRef/>
      </w:r>
      <w:r>
        <w:t xml:space="preserve"> </w:t>
      </w:r>
      <w:r>
        <w:rPr>
          <w:i/>
        </w:rPr>
        <w:t xml:space="preserve">Id. </w:t>
      </w:r>
      <w:r>
        <w:t>at 241.</w:t>
      </w:r>
    </w:p>
  </w:endnote>
  <w:endnote w:id="1018">
    <w:p>
      <w:pPr>
        <w:pStyle w:val="EndnoteText"/>
      </w:pPr>
      <w:r>
        <w:rPr>
          <w:rStyle w:val="EndnoteReference"/>
          <w:sz w:val="16"/>
          <w:szCs w:val="16"/>
        </w:rPr>
        <w:endnoteRef/>
      </w:r>
      <w:r>
        <w:t xml:space="preserve"> </w:t>
      </w:r>
      <w:r>
        <w:rPr>
          <w:i/>
        </w:rPr>
        <w:t>Habecker v. Clark Equip. Co.</w:t>
      </w:r>
      <w:r>
        <w:t>, 797 F. Supp. 381 (M.D. Pa. 1992).</w:t>
      </w:r>
    </w:p>
  </w:endnote>
  <w:endnote w:id="1019">
    <w:p>
      <w:pPr>
        <w:pStyle w:val="EndnoteText"/>
      </w:pPr>
      <w:r>
        <w:rPr>
          <w:rStyle w:val="EndnoteReference"/>
          <w:sz w:val="16"/>
          <w:szCs w:val="16"/>
        </w:rPr>
        <w:endnoteRef/>
      </w:r>
      <w:r>
        <w:t xml:space="preserve"> </w:t>
      </w:r>
      <w:r>
        <w:rPr>
          <w:i/>
        </w:rPr>
        <w:t>Id.</w:t>
      </w:r>
      <w:r>
        <w:t xml:space="preserve"> at 387-88.  </w:t>
      </w:r>
    </w:p>
  </w:endnote>
  <w:endnote w:id="1020">
    <w:p>
      <w:pPr>
        <w:pStyle w:val="EndnoteText"/>
      </w:pPr>
      <w:r>
        <w:rPr>
          <w:rStyle w:val="EndnoteReference"/>
          <w:sz w:val="16"/>
          <w:szCs w:val="16"/>
        </w:rPr>
        <w:endnoteRef/>
      </w:r>
      <w:r>
        <w:t xml:space="preserve"> </w:t>
      </w:r>
      <w:r>
        <w:rPr>
          <w:i/>
        </w:rPr>
        <w:t>Stovall v. DaimlerChrysler Motors Corp.</w:t>
      </w:r>
      <w:r>
        <w:t xml:space="preserve">, 270 Ga. App. 791, 792-93, 608 S.E.2d 245, 247 (2004) (citations and punctuation omitted).  </w:t>
      </w:r>
    </w:p>
  </w:endnote>
  <w:endnote w:id="1021">
    <w:p>
      <w:pPr>
        <w:pStyle w:val="EndnoteText"/>
      </w:pPr>
      <w:r>
        <w:rPr>
          <w:rStyle w:val="EndnoteReference"/>
          <w:sz w:val="16"/>
          <w:szCs w:val="16"/>
        </w:rPr>
        <w:endnoteRef/>
      </w:r>
      <w:r>
        <w:t xml:space="preserve"> </w:t>
      </w:r>
      <w:r>
        <w:rPr>
          <w:i/>
        </w:rPr>
        <w:t>Ford Motor Co. v. Reese</w:t>
      </w:r>
      <w:r>
        <w:t xml:space="preserve">, 300 Ga. App. 82, 89-90, 684 S.E.2d 279, 286 (2009).  </w:t>
      </w:r>
    </w:p>
  </w:endnote>
  <w:endnote w:id="1022">
    <w:p>
      <w:pPr>
        <w:pStyle w:val="EndnoteText"/>
      </w:pPr>
      <w:r>
        <w:rPr>
          <w:rStyle w:val="EndnoteReference"/>
          <w:sz w:val="16"/>
          <w:szCs w:val="16"/>
        </w:rPr>
        <w:endnoteRef/>
      </w:r>
      <w:r>
        <w:t xml:space="preserve"> </w:t>
      </w:r>
      <w:r>
        <w:rPr>
          <w:i/>
        </w:rPr>
        <w:t>Ford Motor Co. v. Reese</w:t>
      </w:r>
      <w:r>
        <w:t>, 300 Ga. App. 82, 684 S.E.2d 279 (2009).</w:t>
      </w:r>
    </w:p>
  </w:endnote>
  <w:endnote w:id="1023">
    <w:p>
      <w:pPr>
        <w:pStyle w:val="EndnoteText"/>
      </w:pPr>
      <w:r>
        <w:rPr>
          <w:rStyle w:val="EndnoteReference"/>
          <w:sz w:val="16"/>
          <w:szCs w:val="16"/>
        </w:rPr>
        <w:endnoteRef/>
      </w:r>
      <w:r>
        <w:t xml:space="preserve"> </w:t>
      </w:r>
      <w:r>
        <w:rPr>
          <w:i/>
        </w:rPr>
        <w:t xml:space="preserve">Id. </w:t>
      </w:r>
      <w:r>
        <w:t xml:space="preserve">at 90, 684 S.E.2d at 287.  </w:t>
      </w:r>
    </w:p>
  </w:endnote>
  <w:endnote w:id="1024">
    <w:p>
      <w:pPr>
        <w:pStyle w:val="EndnoteText"/>
      </w:pPr>
      <w:r>
        <w:rPr>
          <w:rStyle w:val="EndnoteReference"/>
          <w:sz w:val="16"/>
          <w:szCs w:val="16"/>
        </w:rPr>
        <w:endnoteRef/>
      </w:r>
      <w:r>
        <w:t xml:space="preserve"> </w:t>
      </w:r>
      <w:r>
        <w:rPr>
          <w:i/>
        </w:rPr>
        <w:t>Id.</w:t>
      </w:r>
      <w:r>
        <w:t xml:space="preserve">, 684 S.E.2d at 287.    </w:t>
      </w:r>
    </w:p>
  </w:endnote>
  <w:endnote w:id="1025">
    <w:p>
      <w:pPr>
        <w:pStyle w:val="EndnoteText"/>
      </w:pPr>
      <w:r>
        <w:rPr>
          <w:rStyle w:val="EndnoteReference"/>
          <w:sz w:val="16"/>
          <w:szCs w:val="16"/>
        </w:rPr>
        <w:endnoteRef/>
      </w:r>
      <w:r>
        <w:t xml:space="preserve"> </w:t>
      </w:r>
      <w:r>
        <w:rPr>
          <w:i/>
        </w:rPr>
        <w:t>See Kempf v. Zotos Corp.</w:t>
      </w:r>
      <w:r>
        <w:t xml:space="preserve">, 24 N.Y.S.2d 485, 486 (2d Dept. 1941) (involving hair perming solution).  </w:t>
      </w:r>
    </w:p>
  </w:endnote>
  <w:endnote w:id="1026">
    <w:p>
      <w:pPr>
        <w:pStyle w:val="EndnoteText"/>
      </w:pPr>
      <w:r>
        <w:rPr>
          <w:rStyle w:val="EndnoteReference"/>
          <w:sz w:val="16"/>
          <w:szCs w:val="16"/>
        </w:rPr>
        <w:endnoteRef/>
      </w:r>
      <w:r>
        <w:rPr>
          <w:sz w:val="16"/>
          <w:szCs w:val="16"/>
        </w:rPr>
        <w:t xml:space="preserve"> </w:t>
      </w:r>
      <w:r>
        <w:rPr>
          <w:i/>
        </w:rPr>
        <w:t>See Emerson Elec. Co. v. Garcia</w:t>
      </w:r>
      <w:r>
        <w:t xml:space="preserve">, 623 So. 2d 523 (Fla. DCA 3d Dist. 1993); Nash v Stanley Magic Door, 863 S.W.2d 677 (Mo. App. 1993); </w:t>
      </w:r>
      <w:r>
        <w:rPr>
          <w:i/>
        </w:rPr>
        <w:t>Rosen v. Salem Truck Leasing, Inc</w:t>
      </w:r>
      <w:r>
        <w:t>., 108 A.D.2d 907, 485 N.Y.S.2d 793 (2d Dept. 1985).</w:t>
      </w:r>
    </w:p>
  </w:endnote>
  <w:endnote w:id="1027">
    <w:p>
      <w:pPr>
        <w:pStyle w:val="EndnoteText"/>
      </w:pPr>
      <w:r>
        <w:rPr>
          <w:rStyle w:val="EndnoteReference"/>
          <w:sz w:val="16"/>
          <w:szCs w:val="16"/>
        </w:rPr>
        <w:endnoteRef/>
      </w:r>
      <w:r>
        <w:rPr>
          <w:sz w:val="16"/>
          <w:szCs w:val="16"/>
        </w:rPr>
        <w:t xml:space="preserve"> </w:t>
      </w:r>
      <w:r>
        <w:rPr>
          <w:i/>
        </w:rPr>
        <w:t>See</w:t>
      </w:r>
      <w:r>
        <w:t xml:space="preserve">, e.g., </w:t>
      </w:r>
      <w:r>
        <w:rPr>
          <w:i/>
        </w:rPr>
        <w:t>Dixon v. Jacobsen Mfg. Co.</w:t>
      </w:r>
      <w:r>
        <w:t xml:space="preserve">, 637 A.2d 915, 924-25 (N.J. Super. Ct. App. Div. 1994).  </w:t>
      </w:r>
    </w:p>
  </w:endnote>
  <w:endnote w:id="1028">
    <w:p>
      <w:pPr>
        <w:pStyle w:val="EndnoteText"/>
      </w:pPr>
      <w:r>
        <w:rPr>
          <w:rStyle w:val="EndnoteReference"/>
          <w:sz w:val="16"/>
          <w:szCs w:val="16"/>
        </w:rPr>
        <w:endnoteRef/>
      </w:r>
      <w:r>
        <w:rPr>
          <w:sz w:val="16"/>
          <w:szCs w:val="16"/>
        </w:rPr>
        <w:t xml:space="preserve"> </w:t>
      </w:r>
      <w:r>
        <w:rPr>
          <w:i/>
        </w:rPr>
        <w:t>General Motors Corp. v. Moseley</w:t>
      </w:r>
      <w:r>
        <w:t xml:space="preserve">, 213 Ga. App. 875, 881, 447 S.E.2d 302, 309 (1994), abrogated on other grounds by </w:t>
      </w:r>
      <w:r>
        <w:rPr>
          <w:i/>
        </w:rPr>
        <w:t>Webster v. Boyett</w:t>
      </w:r>
      <w:r>
        <w:t>, 269 Ga. 191, 496 S.E.2d 459 (1998).</w:t>
      </w:r>
    </w:p>
  </w:endnote>
  <w:endnote w:id="1029">
    <w:p>
      <w:pPr>
        <w:pStyle w:val="EndnoteText"/>
      </w:pPr>
      <w:r>
        <w:rPr>
          <w:rStyle w:val="EndnoteReference"/>
          <w:sz w:val="16"/>
          <w:szCs w:val="16"/>
        </w:rPr>
        <w:endnoteRef/>
      </w:r>
      <w:r>
        <w:rPr>
          <w:sz w:val="16"/>
          <w:szCs w:val="16"/>
        </w:rPr>
        <w:t xml:space="preserve"> </w:t>
      </w:r>
      <w:r>
        <w:rPr>
          <w:i/>
        </w:rPr>
        <w:t>Lawhon v. Ayres Corp.</w:t>
      </w:r>
      <w:r>
        <w:t>, 67 Ark. App. 66, 72, 992 S.W.2d 162, 166 (1999) (subsequent service bulletin excluded where only purpose was to show culpability of defendant).</w:t>
      </w:r>
    </w:p>
  </w:endnote>
  <w:endnote w:id="1030">
    <w:p>
      <w:pPr>
        <w:pStyle w:val="EndnoteText"/>
      </w:pPr>
      <w:r>
        <w:rPr>
          <w:rStyle w:val="EndnoteReference"/>
          <w:sz w:val="16"/>
          <w:szCs w:val="16"/>
        </w:rPr>
        <w:endnoteRef/>
      </w:r>
      <w:r>
        <w:rPr>
          <w:sz w:val="16"/>
          <w:szCs w:val="16"/>
        </w:rPr>
        <w:t xml:space="preserve"> </w:t>
      </w:r>
      <w:r>
        <w:rPr>
          <w:i/>
        </w:rPr>
        <w:t>Rose v. Figgie Intern., Inc</w:t>
      </w:r>
      <w:r>
        <w:t>., 229 Ga. App. 848, 854, 495 S.E.2d 77, 84 (1997).</w:t>
      </w:r>
    </w:p>
  </w:endnote>
  <w:endnote w:id="1031">
    <w:p>
      <w:pPr>
        <w:pStyle w:val="EndnoteText"/>
      </w:pPr>
      <w:r>
        <w:rPr>
          <w:rStyle w:val="EndnoteReference"/>
          <w:sz w:val="16"/>
          <w:szCs w:val="16"/>
        </w:rPr>
        <w:endnoteRef/>
      </w:r>
      <w:r>
        <w:rPr>
          <w:sz w:val="16"/>
          <w:szCs w:val="16"/>
        </w:rPr>
        <w:t xml:space="preserve"> </w:t>
      </w:r>
      <w:r>
        <w:rPr>
          <w:i/>
        </w:rPr>
        <w:t>See Henson v. Georgia-Pacific Corp</w:t>
      </w:r>
      <w:r>
        <w:t xml:space="preserve">., 289 Ga. App. 777, 781, 658 S.E.2d 391, 396 (2008); </w:t>
      </w:r>
      <w:r>
        <w:rPr>
          <w:i/>
        </w:rPr>
        <w:t>Department of Transp. v. Cannady</w:t>
      </w:r>
      <w:r>
        <w:t xml:space="preserve">, 270 Ga. 427, 428, 511 S.E.2d 173, 174 (1999); </w:t>
      </w:r>
      <w:r>
        <w:rPr>
          <w:i/>
        </w:rPr>
        <w:t>General Motors Corp. v. Moseley</w:t>
      </w:r>
      <w:r>
        <w:t>, 213 Ga. App. 875, 881, 447 S.E.2d 302, 309 (1994).</w:t>
      </w:r>
    </w:p>
  </w:endnote>
  <w:endnote w:id="1032">
    <w:p>
      <w:pPr>
        <w:pStyle w:val="EndnoteText"/>
      </w:pPr>
      <w:r>
        <w:rPr>
          <w:rStyle w:val="EndnoteReference"/>
          <w:sz w:val="16"/>
          <w:szCs w:val="16"/>
        </w:rPr>
        <w:endnoteRef/>
      </w:r>
      <w:r>
        <w:rPr>
          <w:sz w:val="16"/>
          <w:szCs w:val="16"/>
        </w:rPr>
        <w:t xml:space="preserve"> </w:t>
      </w:r>
      <w:r>
        <w:rPr>
          <w:i/>
        </w:rPr>
        <w:t>Chastain v. Fuqua Indus.</w:t>
      </w:r>
      <w:r>
        <w:t>, 156 Ga. App. 719, 722, 275 S.E.2d 679, 682 (1980).</w:t>
      </w:r>
    </w:p>
  </w:endnote>
  <w:endnote w:id="1033">
    <w:p>
      <w:pPr>
        <w:pStyle w:val="EndnoteText"/>
      </w:pPr>
      <w:r>
        <w:rPr>
          <w:rStyle w:val="EndnoteReference"/>
          <w:sz w:val="16"/>
          <w:szCs w:val="16"/>
        </w:rPr>
        <w:endnoteRef/>
      </w:r>
      <w:r>
        <w:rPr>
          <w:sz w:val="16"/>
          <w:szCs w:val="16"/>
        </w:rPr>
        <w:t xml:space="preserve"> </w:t>
      </w:r>
      <w:r>
        <w:rPr>
          <w:i/>
        </w:rPr>
        <w:t>See</w:t>
      </w:r>
      <w:r>
        <w:t xml:space="preserve"> O.C.G.A. § 24-4-407; </w:t>
      </w:r>
      <w:r>
        <w:rPr>
          <w:i/>
        </w:rPr>
        <w:t>Wittenberg v. 450 Capitol Assoc</w:t>
      </w:r>
      <w:r>
        <w:t>., 207 Ga. App. 260, 262, 427 S.E.2d 547, 550 (1993).</w:t>
      </w:r>
    </w:p>
  </w:endnote>
  <w:endnote w:id="1034">
    <w:p>
      <w:pPr>
        <w:pStyle w:val="EndnoteText"/>
      </w:pPr>
      <w:r>
        <w:rPr>
          <w:rStyle w:val="EndnoteReference"/>
          <w:sz w:val="16"/>
          <w:szCs w:val="16"/>
        </w:rPr>
        <w:endnoteRef/>
      </w:r>
      <w:r>
        <w:rPr>
          <w:sz w:val="16"/>
          <w:szCs w:val="16"/>
        </w:rPr>
        <w:t xml:space="preserve"> </w:t>
      </w:r>
      <w:r>
        <w:rPr>
          <w:i/>
        </w:rPr>
        <w:t>See General Motors Corp. v. Moseley</w:t>
      </w:r>
      <w:r>
        <w:t>, 213 Ga. App. 875, 882, 447 S.E.2d 302, 310 (1994).</w:t>
      </w:r>
      <w:r>
        <w:rPr>
          <w:sz w:val="16"/>
          <w:szCs w:val="16"/>
        </w:rPr>
        <w:t xml:space="preserve">  </w:t>
      </w:r>
    </w:p>
  </w:endnote>
  <w:endnote w:id="1035">
    <w:p>
      <w:pPr>
        <w:pStyle w:val="EndnoteText"/>
      </w:pPr>
      <w:r>
        <w:rPr>
          <w:rStyle w:val="EndnoteReference"/>
          <w:sz w:val="16"/>
          <w:szCs w:val="16"/>
        </w:rPr>
        <w:endnoteRef/>
      </w:r>
      <w:r>
        <w:rPr>
          <w:sz w:val="16"/>
          <w:szCs w:val="16"/>
        </w:rPr>
        <w:t xml:space="preserve"> </w:t>
      </w:r>
      <w:r>
        <w:rPr>
          <w:i/>
        </w:rPr>
        <w:t>See John Crane, Inc. v. Jones</w:t>
      </w:r>
      <w:r>
        <w:t xml:space="preserve">, 262 Ga. App. 531, 536 n.23, 586 S.E.2d 26, 31 n.23 (2003) </w:t>
      </w:r>
      <w:r>
        <w:rPr>
          <w:i/>
        </w:rPr>
        <w:t>aff'd,</w:t>
      </w:r>
      <w:r>
        <w:t xml:space="preserve"> 278 Ga. 747, 604 S.E.2d 822 (2004).</w:t>
      </w:r>
    </w:p>
  </w:endnote>
  <w:endnote w:id="1036">
    <w:p>
      <w:pPr>
        <w:pStyle w:val="EndnoteText"/>
      </w:pPr>
      <w:r>
        <w:rPr>
          <w:rStyle w:val="EndnoteReference"/>
          <w:sz w:val="16"/>
          <w:szCs w:val="16"/>
        </w:rPr>
        <w:endnoteRef/>
      </w:r>
      <w:r>
        <w:rPr>
          <w:sz w:val="16"/>
          <w:szCs w:val="16"/>
        </w:rPr>
        <w:t xml:space="preserve"> </w:t>
      </w:r>
      <w:r>
        <w:rPr>
          <w:i/>
        </w:rPr>
        <w:t>Rose v. Figgie Intern., Inc.</w:t>
      </w:r>
      <w:r>
        <w:t>, 229 Ga. App. 848, 495 S.E.2d 77 (1997).</w:t>
      </w:r>
    </w:p>
  </w:endnote>
  <w:endnote w:id="1037">
    <w:p>
      <w:pPr>
        <w:pStyle w:val="EndnoteText"/>
      </w:pPr>
      <w:r>
        <w:rPr>
          <w:rStyle w:val="EndnoteReference"/>
          <w:sz w:val="16"/>
          <w:szCs w:val="16"/>
        </w:rPr>
        <w:endnoteRef/>
      </w:r>
      <w:r>
        <w:rPr>
          <w:sz w:val="16"/>
          <w:szCs w:val="16"/>
        </w:rPr>
        <w:t xml:space="preserve"> </w:t>
      </w:r>
      <w:r>
        <w:t>I</w:t>
      </w:r>
      <w:r>
        <w:rPr>
          <w:i/>
        </w:rPr>
        <w:t xml:space="preserve">d. </w:t>
      </w:r>
      <w:r>
        <w:t xml:space="preserve">at 854, 495 S.E.2d at 84.  </w:t>
      </w:r>
    </w:p>
  </w:endnote>
  <w:endnote w:id="1038">
    <w:p>
      <w:pPr>
        <w:pStyle w:val="EndnoteText"/>
      </w:pPr>
      <w:r>
        <w:rPr>
          <w:rStyle w:val="EndnoteReference"/>
          <w:sz w:val="16"/>
          <w:szCs w:val="16"/>
        </w:rPr>
        <w:endnoteRef/>
      </w:r>
      <w:r>
        <w:rPr>
          <w:sz w:val="16"/>
          <w:szCs w:val="16"/>
        </w:rPr>
        <w:t xml:space="preserve"> </w:t>
      </w:r>
      <w:r>
        <w:rPr>
          <w:i/>
        </w:rPr>
        <w:t>Cadwell v. General Motors Corp.</w:t>
      </w:r>
      <w:r>
        <w:t>, No. 5:04-CV-72(WDO), 2006 WL 208858 (M.D. Ga. Jan. 25, 2006).</w:t>
      </w:r>
    </w:p>
  </w:endnote>
  <w:endnote w:id="1039">
    <w:p>
      <w:pPr>
        <w:pStyle w:val="EndnoteText"/>
      </w:pPr>
      <w:r>
        <w:rPr>
          <w:rStyle w:val="EndnoteReference"/>
          <w:sz w:val="16"/>
          <w:szCs w:val="16"/>
        </w:rPr>
        <w:endnoteRef/>
      </w:r>
      <w:r>
        <w:rPr>
          <w:sz w:val="16"/>
          <w:szCs w:val="16"/>
        </w:rPr>
        <w:t xml:space="preserve"> </w:t>
      </w:r>
      <w:r>
        <w:rPr>
          <w:i/>
        </w:rPr>
        <w:t>See</w:t>
      </w:r>
      <w:r>
        <w:t xml:space="preserve"> 2006 WL 208858 at *3 (emphasis in original).  </w:t>
      </w:r>
    </w:p>
  </w:endnote>
  <w:endnote w:id="1040">
    <w:p>
      <w:pPr>
        <w:pStyle w:val="EndnoteText"/>
      </w:pPr>
      <w:r>
        <w:rPr>
          <w:rStyle w:val="EndnoteReference"/>
          <w:sz w:val="16"/>
          <w:szCs w:val="16"/>
        </w:rPr>
        <w:endnoteRef/>
      </w:r>
      <w:r>
        <w:rPr>
          <w:sz w:val="16"/>
          <w:szCs w:val="16"/>
        </w:rPr>
        <w:t xml:space="preserve"> </w:t>
      </w:r>
      <w:r>
        <w:rPr>
          <w:i/>
        </w:rPr>
        <w:t>See id</w:t>
      </w:r>
      <w:r>
        <w:t xml:space="preserve">.; </w:t>
      </w:r>
      <w:r>
        <w:rPr>
          <w:i/>
        </w:rPr>
        <w:t>see also</w:t>
      </w:r>
      <w:r>
        <w:t xml:space="preserve"> </w:t>
      </w:r>
      <w:r>
        <w:rPr>
          <w:i/>
        </w:rPr>
        <w:t>Uniroyal Goodrich Tire Co. v. Ford</w:t>
      </w:r>
      <w:r>
        <w:t>, 218 Ga. App. 248, 258-59, 461 S.E.2d 877, 887 (1995) (recall not admitted because concerned a different tire).</w:t>
      </w:r>
    </w:p>
  </w:endnote>
  <w:endnote w:id="1041">
    <w:p>
      <w:pPr>
        <w:pStyle w:val="EndnoteText"/>
      </w:pPr>
      <w:r>
        <w:rPr>
          <w:rStyle w:val="EndnoteReference"/>
          <w:sz w:val="16"/>
          <w:szCs w:val="16"/>
        </w:rPr>
        <w:endnoteRef/>
      </w:r>
      <w:r>
        <w:rPr>
          <w:sz w:val="16"/>
          <w:szCs w:val="16"/>
        </w:rPr>
        <w:t xml:space="preserve"> </w:t>
      </w:r>
      <w:r>
        <w:rPr>
          <w:i/>
        </w:rPr>
        <w:t>Ford Motor Co. v. Reese</w:t>
      </w:r>
      <w:r>
        <w:t xml:space="preserve">, 300 Ga. App. 82, 85, 684 S.E.2d 279, 283-84 (2009) (internal citations and footnote omitted).  </w:t>
      </w:r>
    </w:p>
  </w:endnote>
  <w:endnote w:id="1042">
    <w:p>
      <w:pPr>
        <w:pStyle w:val="EndnoteText"/>
      </w:pPr>
      <w:r>
        <w:rPr>
          <w:rStyle w:val="EndnoteReference"/>
          <w:sz w:val="16"/>
          <w:szCs w:val="16"/>
        </w:rPr>
        <w:endnoteRef/>
      </w:r>
      <w:r>
        <w:rPr>
          <w:sz w:val="16"/>
          <w:szCs w:val="16"/>
        </w:rPr>
        <w:t xml:space="preserve"> </w:t>
      </w:r>
      <w:r>
        <w:rPr>
          <w:i/>
        </w:rPr>
        <w:t>Id.</w:t>
      </w:r>
      <w:r>
        <w:t>, 684 S.E.2d at 284.</w:t>
      </w:r>
      <w:r>
        <w:rPr>
          <w:sz w:val="16"/>
          <w:szCs w:val="16"/>
        </w:rPr>
        <w:t xml:space="preserve"> </w:t>
      </w:r>
    </w:p>
  </w:endnote>
  <w:endnote w:id="1043">
    <w:p>
      <w:pPr>
        <w:pStyle w:val="EndnoteText"/>
      </w:pPr>
      <w:r>
        <w:rPr>
          <w:rStyle w:val="EndnoteReference"/>
          <w:sz w:val="16"/>
          <w:szCs w:val="16"/>
        </w:rPr>
        <w:endnoteRef/>
      </w:r>
      <w:r>
        <w:rPr>
          <w:sz w:val="16"/>
          <w:szCs w:val="16"/>
        </w:rPr>
        <w:t xml:space="preserve"> </w:t>
      </w:r>
      <w:r>
        <w:rPr>
          <w:i/>
        </w:rPr>
        <w:t>Id.</w:t>
      </w:r>
      <w:r>
        <w:t>, 684 S.E.2d at 284 (citation and punctuation omitted.)</w:t>
      </w:r>
    </w:p>
  </w:endnote>
  <w:endnote w:id="1044">
    <w:p>
      <w:pPr>
        <w:pStyle w:val="EndnoteText"/>
      </w:pPr>
      <w:r>
        <w:rPr>
          <w:rStyle w:val="EndnoteReference"/>
          <w:sz w:val="16"/>
          <w:szCs w:val="16"/>
        </w:rPr>
        <w:endnoteRef/>
      </w:r>
      <w:r>
        <w:rPr>
          <w:sz w:val="16"/>
          <w:szCs w:val="16"/>
        </w:rPr>
        <w:t xml:space="preserve"> </w:t>
      </w:r>
      <w:r>
        <w:rPr>
          <w:i/>
        </w:rPr>
        <w:t>Id.</w:t>
      </w:r>
      <w:r>
        <w:t xml:space="preserve"> at 85 n.2, 684 S.E.2d at 283 n.2 (citing </w:t>
      </w:r>
      <w:r>
        <w:rPr>
          <w:i/>
        </w:rPr>
        <w:t>Ontario Sewing Mach. Co., Ltd. v. Smith</w:t>
      </w:r>
      <w:r>
        <w:t xml:space="preserve">, 275 Ga. 683, 686 n.8, 572 S.E.2d 533, 535 n.8 (2002); </w:t>
      </w:r>
      <w:r>
        <w:rPr>
          <w:i/>
        </w:rPr>
        <w:t>Blossman Gas Co. v. Williams</w:t>
      </w:r>
      <w:r>
        <w:t xml:space="preserve">, 189 Ga. App. 195, 198, 375 S.E.2d 117, 120 (1988); </w:t>
      </w:r>
      <w:r>
        <w:rPr>
          <w:smallCaps/>
        </w:rPr>
        <w:t>Restatement (Third) of Torts, Products Liability</w:t>
      </w:r>
      <w:r>
        <w:t xml:space="preserve"> § 11(a)(2)).  </w:t>
      </w:r>
    </w:p>
  </w:endnote>
  <w:endnote w:id="1045">
    <w:p>
      <w:pPr>
        <w:pStyle w:val="EndnoteText"/>
      </w:pPr>
      <w:r>
        <w:rPr>
          <w:rStyle w:val="EndnoteReference"/>
          <w:sz w:val="16"/>
          <w:szCs w:val="16"/>
        </w:rPr>
        <w:endnoteRef/>
      </w:r>
      <w:r>
        <w:rPr>
          <w:sz w:val="16"/>
          <w:szCs w:val="16"/>
        </w:rPr>
        <w:t xml:space="preserve"> </w:t>
      </w:r>
      <w:r>
        <w:rPr>
          <w:i/>
        </w:rPr>
        <w:t>Silver v. BAD BOY ENTERPRISES LLC</w:t>
      </w:r>
      <w:r>
        <w:t>, 907 F. Supp. 2d 1351 (M.D. Ga. 2012).</w:t>
      </w:r>
    </w:p>
  </w:endnote>
  <w:endnote w:id="1046">
    <w:p>
      <w:pPr>
        <w:pStyle w:val="EndnoteText"/>
      </w:pPr>
      <w:r>
        <w:rPr>
          <w:rStyle w:val="EndnoteReference"/>
          <w:sz w:val="16"/>
          <w:szCs w:val="16"/>
        </w:rPr>
        <w:endnoteRef/>
      </w:r>
      <w:r>
        <w:rPr>
          <w:sz w:val="16"/>
          <w:szCs w:val="16"/>
        </w:rPr>
        <w:t xml:space="preserve"> </w:t>
      </w:r>
      <w:r>
        <w:rPr>
          <w:i/>
        </w:rPr>
        <w:t xml:space="preserve">Id. </w:t>
      </w:r>
      <w:r>
        <w:t xml:space="preserve">at 1353.  </w:t>
      </w:r>
    </w:p>
  </w:endnote>
  <w:endnote w:id="1047">
    <w:p>
      <w:pPr>
        <w:pStyle w:val="EndnoteText"/>
      </w:pPr>
      <w:r>
        <w:rPr>
          <w:rStyle w:val="EndnoteReference"/>
          <w:sz w:val="16"/>
          <w:szCs w:val="16"/>
        </w:rPr>
        <w:endnoteRef/>
      </w:r>
      <w:r>
        <w:rPr>
          <w:sz w:val="16"/>
          <w:szCs w:val="16"/>
        </w:rPr>
        <w:t xml:space="preserve"> </w:t>
      </w:r>
      <w:r>
        <w:rPr>
          <w:i/>
        </w:rPr>
        <w:t>Id.</w:t>
      </w:r>
      <w:r>
        <w:t xml:space="preserve"> at 1354-55.  </w:t>
      </w:r>
    </w:p>
  </w:endnote>
  <w:endnote w:id="1048">
    <w:p>
      <w:pPr>
        <w:pStyle w:val="EndnoteText"/>
      </w:pPr>
      <w:r>
        <w:rPr>
          <w:rStyle w:val="EndnoteReference"/>
          <w:sz w:val="16"/>
          <w:szCs w:val="16"/>
        </w:rPr>
        <w:endnoteRef/>
      </w:r>
      <w:r>
        <w:rPr>
          <w:sz w:val="16"/>
          <w:szCs w:val="16"/>
        </w:rPr>
        <w:t xml:space="preserve"> </w:t>
      </w:r>
      <w:r>
        <w:rPr>
          <w:i/>
        </w:rPr>
        <w:t>Id.</w:t>
      </w:r>
      <w:r>
        <w:t xml:space="preserve"> at 1355.  </w:t>
      </w:r>
    </w:p>
  </w:endnote>
  <w:endnote w:id="1049">
    <w:p>
      <w:pPr>
        <w:pStyle w:val="EndnoteText"/>
      </w:pPr>
      <w:r>
        <w:rPr>
          <w:rStyle w:val="EndnoteReference"/>
          <w:sz w:val="16"/>
          <w:szCs w:val="16"/>
        </w:rPr>
        <w:endnoteRef/>
      </w:r>
      <w:r>
        <w:rPr>
          <w:sz w:val="16"/>
          <w:szCs w:val="16"/>
        </w:rPr>
        <w:t xml:space="preserve"> </w:t>
      </w:r>
      <w:r>
        <w:rPr>
          <w:i/>
        </w:rPr>
        <w:t>Id.</w:t>
      </w:r>
      <w:r>
        <w:t xml:space="preserve"> at 1357.  </w:t>
      </w:r>
    </w:p>
  </w:endnote>
  <w:endnote w:id="1050">
    <w:p>
      <w:pPr>
        <w:pStyle w:val="EndnoteText"/>
      </w:pPr>
      <w:r>
        <w:rPr>
          <w:rStyle w:val="EndnoteReference"/>
          <w:sz w:val="16"/>
          <w:szCs w:val="16"/>
        </w:rPr>
        <w:endnoteRef/>
      </w:r>
      <w:r>
        <w:rPr>
          <w:sz w:val="16"/>
          <w:szCs w:val="16"/>
        </w:rPr>
        <w:t xml:space="preserve"> </w:t>
      </w:r>
      <w:r>
        <w:rPr>
          <w:i/>
        </w:rPr>
        <w:t>See</w:t>
      </w:r>
      <w:r>
        <w:t xml:space="preserve"> </w:t>
      </w:r>
      <w:r>
        <w:rPr>
          <w:i/>
        </w:rPr>
        <w:t>Ford Motor Co. v. Reese</w:t>
      </w:r>
      <w:r>
        <w:t xml:space="preserve">, 300 Ga. App. 82, 85, 684 S.E.2d 279, 284-85 (2009) (citing </w:t>
      </w:r>
      <w:r>
        <w:rPr>
          <w:smallCaps/>
        </w:rPr>
        <w:t xml:space="preserve">Restatement (Third) of Torts, Products Liability </w:t>
      </w:r>
      <w:r>
        <w:t>§ 11(a)(1)).</w:t>
      </w:r>
      <w:r>
        <w:rPr>
          <w:sz w:val="16"/>
          <w:szCs w:val="16"/>
        </w:rPr>
        <w:t xml:space="preserve">  </w:t>
      </w:r>
    </w:p>
  </w:endnote>
  <w:endnote w:id="1051">
    <w:p>
      <w:pPr>
        <w:pStyle w:val="EndnoteText"/>
      </w:pPr>
      <w:r>
        <w:rPr>
          <w:rStyle w:val="EndnoteReference"/>
        </w:rPr>
        <w:endnoteRef/>
      </w:r>
      <w:r>
        <w:t xml:space="preserve"> </w:t>
      </w:r>
      <w:r>
        <w:rPr>
          <w:smallCaps/>
        </w:rPr>
        <w:t>Restatement (Third) of Torts, Products Liability §</w:t>
      </w:r>
      <w:r>
        <w:t xml:space="preserve">11, cmt. a.  </w:t>
      </w:r>
    </w:p>
  </w:endnote>
  <w:endnote w:id="1052">
    <w:p>
      <w:pPr>
        <w:pStyle w:val="EndnoteText"/>
      </w:pPr>
      <w:r>
        <w:rPr>
          <w:rStyle w:val="EndnoteReference"/>
          <w:sz w:val="16"/>
          <w:szCs w:val="16"/>
        </w:rPr>
        <w:endnoteRef/>
      </w:r>
      <w:r>
        <w:rPr>
          <w:sz w:val="16"/>
          <w:szCs w:val="16"/>
        </w:rPr>
        <w:t xml:space="preserve"> </w:t>
      </w:r>
      <w:r>
        <w:rPr>
          <w:i/>
        </w:rPr>
        <w:t>Gregory v. Cincinnati Inc.</w:t>
      </w:r>
      <w:r>
        <w:t>, 450 Mich. 1, 22-23, 538 N.W.2d 325, 334 (1995) (internal punctuation and citation omitted).</w:t>
      </w:r>
      <w:r>
        <w:rPr>
          <w:sz w:val="16"/>
          <w:szCs w:val="16"/>
        </w:rPr>
        <w:t xml:space="preserve">  </w:t>
      </w:r>
    </w:p>
  </w:endnote>
  <w:endnote w:id="1053">
    <w:p>
      <w:pPr>
        <w:pStyle w:val="EndnoteText"/>
      </w:pPr>
      <w:r>
        <w:rPr>
          <w:rStyle w:val="EndnoteReference"/>
          <w:sz w:val="16"/>
          <w:szCs w:val="16"/>
        </w:rPr>
        <w:endnoteRef/>
      </w:r>
      <w:r>
        <w:rPr>
          <w:sz w:val="16"/>
          <w:szCs w:val="16"/>
        </w:rPr>
        <w:t xml:space="preserve"> </w:t>
      </w:r>
      <w:r>
        <w:rPr>
          <w:i/>
        </w:rPr>
        <w:t>Id.</w:t>
      </w:r>
      <w:r>
        <w:t xml:space="preserve"> at 23-24 &amp; n.32, 538 N.W.2d at 334 &amp; n.32 (citing Consumer Product Safety Act, 15 U.S.C. § 2064 (Consumer Product Safety Commission); National Traffic and Motor Vehicle Safety Act, 15 U.S.C. § 1414 (now repealed) (Secretary of Transportation); The Food, Drug, and Cosmetic Act, 21 U.S.C. 360ll (Secretary of Health and Human Services); 21 U.S.C. § 360h (Secretary of Health and Human Services).  </w:t>
      </w:r>
    </w:p>
  </w:endnote>
  <w:endnote w:id="1054">
    <w:p>
      <w:pPr>
        <w:pStyle w:val="EndnoteText"/>
      </w:pPr>
      <w:r>
        <w:rPr>
          <w:rStyle w:val="EndnoteReference"/>
          <w:sz w:val="16"/>
          <w:szCs w:val="16"/>
        </w:rPr>
        <w:endnoteRef/>
      </w:r>
      <w:r>
        <w:rPr>
          <w:sz w:val="16"/>
          <w:szCs w:val="16"/>
        </w:rPr>
        <w:t xml:space="preserve"> </w:t>
      </w:r>
      <w:r>
        <w:rPr>
          <w:i/>
        </w:rPr>
        <w:t>See Id.</w:t>
      </w:r>
      <w:r>
        <w:t xml:space="preserve"> at 24-25, 538 N.W.2d at 334-35; </w:t>
      </w:r>
      <w:r>
        <w:rPr>
          <w:i/>
        </w:rPr>
        <w:t>Bell Helicopter Co. v Bradshaw</w:t>
      </w:r>
      <w:r>
        <w:t xml:space="preserve">, 594 S.W.2d 519, 531-32 (Tex. Ct. App. 1979).  Georgia law is consistent with the </w:t>
      </w:r>
      <w:r>
        <w:rPr>
          <w:smallCaps/>
        </w:rPr>
        <w:t>Restatement (Third) of Torts, Products Liability</w:t>
      </w:r>
      <w:r>
        <w:t xml:space="preserve"> § 11. </w:t>
      </w:r>
    </w:p>
  </w:endnote>
  <w:endnote w:id="1055">
    <w:p>
      <w:pPr>
        <w:pStyle w:val="EndnoteText"/>
      </w:pPr>
      <w:r>
        <w:rPr>
          <w:rStyle w:val="EndnoteReference"/>
          <w:sz w:val="16"/>
          <w:szCs w:val="16"/>
        </w:rPr>
        <w:endnoteRef/>
      </w:r>
      <w:r>
        <w:rPr>
          <w:sz w:val="16"/>
          <w:szCs w:val="16"/>
        </w:rPr>
        <w:t xml:space="preserve"> </w:t>
      </w:r>
      <w:r>
        <w:rPr>
          <w:i/>
        </w:rPr>
        <w:t>Ford Motor Co. v. Reese</w:t>
      </w:r>
      <w:r>
        <w:t xml:space="preserve">, 300 Ga. App. 82, 87, 684 S.E.2d 279, 285 (2009) (quoting Victor Schwartz, </w:t>
      </w:r>
      <w:r>
        <w:rPr>
          <w:i/>
        </w:rPr>
        <w:t>The Post-Sale Duty to Warn: Two Unfortunate Forks in the Road to a Reasonable Doctrine</w:t>
      </w:r>
      <w:r>
        <w:t>, 58 N.Y.U. L. R</w:t>
      </w:r>
      <w:r>
        <w:rPr>
          <w:smallCaps/>
        </w:rPr>
        <w:t>ev</w:t>
      </w:r>
      <w:r>
        <w:t xml:space="preserve">. 892, 901 (1983)).  </w:t>
      </w:r>
    </w:p>
  </w:endnote>
  <w:endnote w:id="1056">
    <w:p>
      <w:pPr>
        <w:pStyle w:val="EndnoteText"/>
      </w:pPr>
      <w:r>
        <w:rPr>
          <w:rStyle w:val="EndnoteReference"/>
          <w:sz w:val="16"/>
          <w:szCs w:val="16"/>
        </w:rPr>
        <w:endnoteRef/>
      </w:r>
      <w:r>
        <w:rPr>
          <w:sz w:val="16"/>
          <w:szCs w:val="16"/>
        </w:rPr>
        <w:t xml:space="preserve"> </w:t>
      </w:r>
      <w:r>
        <w:rPr>
          <w:i/>
        </w:rPr>
        <w:t>See</w:t>
      </w:r>
      <w:r>
        <w:t xml:space="preserve"> </w:t>
      </w:r>
      <w:r>
        <w:rPr>
          <w:i/>
        </w:rPr>
        <w:t>DeLoach v. Rovema Corp.</w:t>
      </w:r>
      <w:r>
        <w:t xml:space="preserve">, 241 Ga. App. 802, 804, 527 S.E.2d 882, 883 (2000); </w:t>
      </w:r>
      <w:r>
        <w:rPr>
          <w:i/>
        </w:rPr>
        <w:t>Blossman Gas Co. v. Williams</w:t>
      </w:r>
      <w:r>
        <w:t>, 189 Ga. App. 195, 198, 375 S.E.2d 117, 120 (1988).</w:t>
      </w:r>
      <w:r>
        <w:rPr>
          <w:sz w:val="16"/>
          <w:szCs w:val="16"/>
        </w:rPr>
        <w:t xml:space="preserve">  </w:t>
      </w:r>
    </w:p>
  </w:endnote>
  <w:endnote w:id="1057">
    <w:p>
      <w:pPr>
        <w:pStyle w:val="EndnoteText"/>
      </w:pPr>
      <w:r>
        <w:rPr>
          <w:rStyle w:val="EndnoteReference"/>
          <w:sz w:val="16"/>
          <w:szCs w:val="16"/>
        </w:rPr>
        <w:endnoteRef/>
      </w:r>
      <w:r>
        <w:rPr>
          <w:sz w:val="16"/>
          <w:szCs w:val="16"/>
        </w:rPr>
        <w:t xml:space="preserve"> </w:t>
      </w:r>
      <w:r>
        <w:rPr>
          <w:i/>
        </w:rPr>
        <w:t>See</w:t>
      </w:r>
      <w:r>
        <w:t xml:space="preserve"> </w:t>
      </w:r>
      <w:r>
        <w:rPr>
          <w:i/>
        </w:rPr>
        <w:t>DeLoach</w:t>
      </w:r>
      <w:r>
        <w:t xml:space="preserve">, 241 Ga. App. at 804, 527 S.E.2d at 883; </w:t>
      </w:r>
      <w:r>
        <w:rPr>
          <w:i/>
        </w:rPr>
        <w:t>Bishop v. Farhat</w:t>
      </w:r>
      <w:r>
        <w:t>, 227 Ga. App. 201, 206, 489 S.E.2d 323, 328 (1997).</w:t>
      </w:r>
    </w:p>
  </w:endnote>
  <w:endnote w:id="1058">
    <w:p>
      <w:pPr>
        <w:pStyle w:val="EndnoteText"/>
      </w:pPr>
      <w:r>
        <w:rPr>
          <w:rStyle w:val="EndnoteReference"/>
          <w:sz w:val="16"/>
          <w:szCs w:val="16"/>
        </w:rPr>
        <w:endnoteRef/>
      </w:r>
      <w:r>
        <w:rPr>
          <w:sz w:val="16"/>
          <w:szCs w:val="16"/>
        </w:rPr>
        <w:t xml:space="preserve"> </w:t>
      </w:r>
      <w:r>
        <w:rPr>
          <w:i/>
        </w:rPr>
        <w:t>See</w:t>
      </w:r>
      <w:r>
        <w:t xml:space="preserve"> </w:t>
      </w:r>
      <w:r>
        <w:rPr>
          <w:i/>
        </w:rPr>
        <w:t>Blossman Gas Co.</w:t>
      </w:r>
      <w:r>
        <w:t xml:space="preserve">, 189 Ga. App. at 199, 375 S.E.2d at 121.  </w:t>
      </w:r>
    </w:p>
  </w:endnote>
  <w:endnote w:id="1059">
    <w:p>
      <w:pPr>
        <w:pStyle w:val="EndnoteText"/>
      </w:pPr>
      <w:r>
        <w:rPr>
          <w:rStyle w:val="EndnoteReference"/>
          <w:sz w:val="16"/>
          <w:szCs w:val="16"/>
        </w:rPr>
        <w:endnoteRef/>
      </w:r>
      <w:r>
        <w:rPr>
          <w:sz w:val="16"/>
          <w:szCs w:val="16"/>
        </w:rPr>
        <w:t xml:space="preserve"> </w:t>
      </w:r>
      <w:r>
        <w:t>I</w:t>
      </w:r>
      <w:r>
        <w:rPr>
          <w:i/>
        </w:rPr>
        <w:t>d.</w:t>
      </w:r>
      <w:r>
        <w:t xml:space="preserve"> at 196, 375 S.E.2d at 118.  </w:t>
      </w:r>
    </w:p>
  </w:endnote>
  <w:endnote w:id="1060">
    <w:p>
      <w:pPr>
        <w:pStyle w:val="EndnoteText"/>
      </w:pPr>
      <w:r>
        <w:rPr>
          <w:rStyle w:val="EndnoteReference"/>
          <w:sz w:val="16"/>
          <w:szCs w:val="16"/>
        </w:rPr>
        <w:endnoteRef/>
      </w:r>
      <w:r>
        <w:rPr>
          <w:sz w:val="16"/>
          <w:szCs w:val="16"/>
        </w:rPr>
        <w:t xml:space="preserve"> </w:t>
      </w:r>
      <w:r>
        <w:rPr>
          <w:i/>
        </w:rPr>
        <w:t>Id.</w:t>
      </w:r>
      <w:r>
        <w:t xml:space="preserve">, 375 S.E.2d at 119.    </w:t>
      </w:r>
    </w:p>
  </w:endnote>
  <w:endnote w:id="1061">
    <w:p>
      <w:pPr>
        <w:pStyle w:val="EndnoteText"/>
      </w:pPr>
      <w:r>
        <w:rPr>
          <w:rStyle w:val="EndnoteReference"/>
          <w:sz w:val="16"/>
          <w:szCs w:val="16"/>
        </w:rPr>
        <w:endnoteRef/>
      </w:r>
      <w:r>
        <w:rPr>
          <w:sz w:val="16"/>
          <w:szCs w:val="16"/>
        </w:rPr>
        <w:t xml:space="preserve"> </w:t>
      </w:r>
      <w:r>
        <w:rPr>
          <w:i/>
        </w:rPr>
        <w:t>Id.</w:t>
      </w:r>
      <w:r>
        <w:t xml:space="preserve">, 375 S.E.2d at 119.     </w:t>
      </w:r>
    </w:p>
  </w:endnote>
  <w:endnote w:id="1062">
    <w:p>
      <w:pPr>
        <w:pStyle w:val="EndnoteText"/>
      </w:pPr>
      <w:r>
        <w:rPr>
          <w:rStyle w:val="EndnoteReference"/>
          <w:sz w:val="16"/>
          <w:szCs w:val="16"/>
        </w:rPr>
        <w:endnoteRef/>
      </w:r>
      <w:r>
        <w:rPr>
          <w:sz w:val="16"/>
          <w:szCs w:val="16"/>
        </w:rPr>
        <w:t xml:space="preserve"> </w:t>
      </w:r>
      <w:r>
        <w:rPr>
          <w:i/>
        </w:rPr>
        <w:t>Id.</w:t>
      </w:r>
      <w:r>
        <w:t xml:space="preserve"> at 197, 375 S.E.2d at 119.   </w:t>
      </w:r>
    </w:p>
  </w:endnote>
  <w:endnote w:id="1063">
    <w:p>
      <w:pPr>
        <w:pStyle w:val="EndnoteText"/>
      </w:pPr>
      <w:r>
        <w:rPr>
          <w:rStyle w:val="EndnoteReference"/>
          <w:sz w:val="16"/>
          <w:szCs w:val="16"/>
        </w:rPr>
        <w:endnoteRef/>
      </w:r>
      <w:r>
        <w:rPr>
          <w:sz w:val="16"/>
          <w:szCs w:val="16"/>
        </w:rPr>
        <w:t xml:space="preserve"> </w:t>
      </w:r>
      <w:r>
        <w:rPr>
          <w:i/>
        </w:rPr>
        <w:t>Id.</w:t>
      </w:r>
      <w:r>
        <w:t xml:space="preserve"> at 198, 375 S.E.2d at 120.  </w:t>
      </w:r>
    </w:p>
  </w:endnote>
  <w:endnote w:id="1064">
    <w:p>
      <w:pPr>
        <w:pStyle w:val="EndnoteText"/>
      </w:pPr>
      <w:r>
        <w:rPr>
          <w:rStyle w:val="EndnoteReference"/>
          <w:sz w:val="16"/>
          <w:szCs w:val="16"/>
        </w:rPr>
        <w:endnoteRef/>
      </w:r>
      <w:r>
        <w:rPr>
          <w:sz w:val="16"/>
          <w:szCs w:val="16"/>
        </w:rPr>
        <w:t xml:space="preserve"> </w:t>
      </w:r>
      <w:r>
        <w:rPr>
          <w:i/>
        </w:rPr>
        <w:t>See Liebherr-Am., Inc. v. McCollum</w:t>
      </w:r>
      <w:r>
        <w:t>, 43 So. 3d 65, 68 (Fla. Dist. Ct. App. 2010) (reversing jury's apportionment of ten percent of liability for longshoreman's death to seller/servicer of mobile crane that ran over her two years after sale for lack of evidence seller/servicer was on notice of alleged failure of crane’s warning horn; any duty to warn was that of either allegedly negligent crane operator or owner of property on which accident occurred).</w:t>
      </w:r>
    </w:p>
  </w:endnote>
  <w:endnote w:id="1065">
    <w:p>
      <w:pPr>
        <w:pStyle w:val="EndnoteText"/>
      </w:pPr>
      <w:r>
        <w:rPr>
          <w:rStyle w:val="EndnoteReference"/>
          <w:sz w:val="16"/>
          <w:szCs w:val="16"/>
        </w:rPr>
        <w:endnoteRef/>
      </w:r>
      <w:r>
        <w:rPr>
          <w:sz w:val="16"/>
          <w:szCs w:val="16"/>
        </w:rPr>
        <w:t xml:space="preserve"> </w:t>
      </w:r>
      <w:r>
        <w:rPr>
          <w:i/>
        </w:rPr>
        <w:t>See</w:t>
      </w:r>
      <w:r>
        <w:t xml:space="preserve"> </w:t>
      </w:r>
      <w:r>
        <w:rPr>
          <w:i/>
        </w:rPr>
        <w:t>Cavalier Convenience v. Sarvis</w:t>
      </w:r>
      <w:r>
        <w:t xml:space="preserve">, 305 Ga. App. 141, 145, 699 S.E.2d 104, 107 (2010); </w:t>
      </w:r>
      <w:r>
        <w:rPr>
          <w:i/>
        </w:rPr>
        <w:t>McReynolds v. Krebs</w:t>
      </w:r>
      <w:r>
        <w:t xml:space="preserve">, 307 Ga. App. 330, 333, 705 S.E.2d 214, 217 (2010).  </w:t>
      </w:r>
    </w:p>
  </w:endnote>
  <w:endnote w:id="1066">
    <w:p>
      <w:pPr>
        <w:pStyle w:val="EndnoteText"/>
      </w:pPr>
      <w:r>
        <w:rPr>
          <w:rStyle w:val="EndnoteReference"/>
          <w:sz w:val="16"/>
          <w:szCs w:val="16"/>
        </w:rPr>
        <w:endnoteRef/>
      </w:r>
      <w:r>
        <w:rPr>
          <w:sz w:val="16"/>
          <w:szCs w:val="16"/>
        </w:rPr>
        <w:t xml:space="preserve"> </w:t>
      </w:r>
      <w:r>
        <w:rPr>
          <w:i/>
        </w:rPr>
        <w:t>See</w:t>
      </w:r>
      <w:r>
        <w:t xml:space="preserve"> O.C.G.A. § 51–12–33(b) (“Damages apportioned by the trier of fact as provided in this Code section shall be the liability of each person against whom they are awarded, shall not be a joint liability among the persons liable, and shall not be subject to any right of contribution.”); </w:t>
      </w:r>
      <w:r>
        <w:rPr>
          <w:i/>
        </w:rPr>
        <w:t>McReynolds</w:t>
      </w:r>
      <w:r>
        <w:t>, 307 Ga. App. at 334, 705 S.E.2d at 217.</w:t>
      </w:r>
    </w:p>
  </w:endnote>
  <w:endnote w:id="1067">
    <w:p>
      <w:pPr>
        <w:pStyle w:val="EndnoteText"/>
      </w:pPr>
      <w:r>
        <w:rPr>
          <w:rStyle w:val="EndnoteReference"/>
          <w:sz w:val="16"/>
          <w:szCs w:val="16"/>
        </w:rPr>
        <w:endnoteRef/>
      </w:r>
      <w:r>
        <w:rPr>
          <w:sz w:val="16"/>
          <w:szCs w:val="16"/>
        </w:rPr>
        <w:t xml:space="preserve"> </w:t>
      </w:r>
      <w:r>
        <w:t xml:space="preserve">Thomas A. Eaton, </w:t>
      </w:r>
      <w:r>
        <w:rPr>
          <w:i/>
        </w:rPr>
        <w:t>Who Owes How Much? Developments in Apportionment and Joint and Several Liability Under O.C.G.A. § 51-12-33</w:t>
      </w:r>
      <w:r>
        <w:t xml:space="preserve">, 64 </w:t>
      </w:r>
      <w:r>
        <w:rPr>
          <w:smallCaps/>
        </w:rPr>
        <w:t>Mercer L. Rev</w:t>
      </w:r>
      <w:r>
        <w:t xml:space="preserve">. 15, 30 (2012).  </w:t>
      </w:r>
    </w:p>
  </w:endnote>
  <w:endnote w:id="1068">
    <w:p>
      <w:pPr>
        <w:pStyle w:val="EndnoteText"/>
      </w:pPr>
      <w:r>
        <w:rPr>
          <w:rStyle w:val="EndnoteReference"/>
          <w:sz w:val="16"/>
          <w:szCs w:val="16"/>
        </w:rPr>
        <w:endnoteRef/>
      </w:r>
      <w:r>
        <w:rPr>
          <w:sz w:val="16"/>
          <w:szCs w:val="16"/>
        </w:rPr>
        <w:t xml:space="preserve"> </w:t>
      </w:r>
      <w:r>
        <w:rPr>
          <w:i/>
        </w:rPr>
        <w:t>Id</w:t>
      </w:r>
      <w:r>
        <w:rPr>
          <w:i/>
          <w:sz w:val="16"/>
          <w:szCs w:val="16"/>
        </w:rPr>
        <w:t>.</w:t>
      </w:r>
      <w:r>
        <w:rPr>
          <w:sz w:val="16"/>
          <w:szCs w:val="16"/>
        </w:rPr>
        <w:t xml:space="preserve">  </w:t>
      </w:r>
    </w:p>
  </w:endnote>
  <w:endnote w:id="1069">
    <w:p>
      <w:pPr>
        <w:pStyle w:val="EndnoteText"/>
      </w:pPr>
      <w:r>
        <w:rPr>
          <w:rStyle w:val="EndnoteReference"/>
          <w:sz w:val="16"/>
          <w:szCs w:val="16"/>
        </w:rPr>
        <w:endnoteRef/>
      </w:r>
      <w:r>
        <w:rPr>
          <w:sz w:val="16"/>
          <w:szCs w:val="16"/>
        </w:rPr>
        <w:t xml:space="preserve"> </w:t>
      </w:r>
      <w:r>
        <w:rPr>
          <w:i/>
        </w:rPr>
        <w:t>Ontario Sewing Machine Co. Ltd. v. Smith</w:t>
      </w:r>
      <w:r>
        <w:t>, 275 Ga. 683, 686, 572 S.E.2d 533, 535 (2002).</w:t>
      </w:r>
    </w:p>
  </w:endnote>
  <w:endnote w:id="1070">
    <w:p>
      <w:pPr>
        <w:pStyle w:val="EndnoteText"/>
      </w:pPr>
      <w:r>
        <w:rPr>
          <w:rStyle w:val="EndnoteReference"/>
          <w:sz w:val="16"/>
          <w:szCs w:val="16"/>
        </w:rPr>
        <w:endnoteRef/>
      </w:r>
      <w:r>
        <w:rPr>
          <w:sz w:val="16"/>
          <w:szCs w:val="16"/>
        </w:rPr>
        <w:t xml:space="preserve"> </w:t>
      </w:r>
      <w:r>
        <w:rPr>
          <w:i/>
        </w:rPr>
        <w:t>Id.</w:t>
      </w:r>
      <w:r>
        <w:t xml:space="preserve"> at 686, 572 S.E.2d at 535.  </w:t>
      </w:r>
    </w:p>
  </w:endnote>
  <w:endnote w:id="1071">
    <w:p>
      <w:pPr>
        <w:pStyle w:val="EndnoteText"/>
      </w:pPr>
      <w:r>
        <w:rPr>
          <w:rStyle w:val="EndnoteReference"/>
          <w:sz w:val="16"/>
          <w:szCs w:val="16"/>
        </w:rPr>
        <w:endnoteRef/>
      </w:r>
      <w:r>
        <w:rPr>
          <w:sz w:val="16"/>
          <w:szCs w:val="16"/>
        </w:rPr>
        <w:t xml:space="preserve"> </w:t>
      </w:r>
      <w:r>
        <w:rPr>
          <w:i/>
        </w:rPr>
        <w:t>Id.</w:t>
      </w:r>
      <w:r>
        <w:t xml:space="preserve"> at 687, 572 S.E.2d at 536.  </w:t>
      </w:r>
    </w:p>
  </w:endnote>
  <w:endnote w:id="1072">
    <w:p>
      <w:pPr>
        <w:pStyle w:val="EndnoteText"/>
      </w:pPr>
      <w:r>
        <w:rPr>
          <w:rStyle w:val="EndnoteReference"/>
          <w:sz w:val="16"/>
          <w:szCs w:val="16"/>
        </w:rPr>
        <w:endnoteRef/>
      </w:r>
      <w:r>
        <w:rPr>
          <w:sz w:val="16"/>
          <w:szCs w:val="16"/>
        </w:rPr>
        <w:t xml:space="preserve"> </w:t>
      </w:r>
      <w:r>
        <w:rPr>
          <w:i/>
        </w:rPr>
        <w:t>Id.</w:t>
      </w:r>
      <w:r>
        <w:t>, 572 S.E.2d at 536.</w:t>
      </w:r>
    </w:p>
  </w:endnote>
  <w:endnote w:id="1073">
    <w:p>
      <w:pPr>
        <w:pStyle w:val="EndnoteText"/>
      </w:pPr>
      <w:r>
        <w:rPr>
          <w:rStyle w:val="EndnoteReference"/>
          <w:sz w:val="16"/>
          <w:szCs w:val="16"/>
        </w:rPr>
        <w:endnoteRef/>
      </w:r>
      <w:r>
        <w:rPr>
          <w:sz w:val="16"/>
          <w:szCs w:val="16"/>
        </w:rPr>
        <w:t xml:space="preserve"> </w:t>
      </w:r>
      <w:r>
        <w:rPr>
          <w:i/>
        </w:rPr>
        <w:t>See Ford Motor Co. v. Reese</w:t>
      </w:r>
      <w:r>
        <w:t xml:space="preserve">, 300 Ga. App. 82, 87, 684 S.E.2d 279, 285 (2009).  </w:t>
      </w:r>
    </w:p>
  </w:endnote>
  <w:endnote w:id="1074">
    <w:p>
      <w:pPr>
        <w:pStyle w:val="EndnoteText"/>
        <w:jc w:val="both"/>
      </w:pPr>
      <w:r>
        <w:rPr>
          <w:rStyle w:val="EndnoteReference"/>
          <w:rFonts w:ascii="Century Schoolbook" w:hAnsi="Century Schoolbook"/>
        </w:rPr>
        <w:endnoteRef/>
      </w:r>
      <w:r>
        <w:t xml:space="preserve"> </w:t>
      </w:r>
      <w:r>
        <w:rPr>
          <w:i/>
        </w:rPr>
        <w:t>Villanueva v. First Am. Title Ins. Co.</w:t>
      </w:r>
      <w:r>
        <w:t>, 292 Ga. 630, 740 S.E.2d 108 (2013).</w:t>
      </w:r>
    </w:p>
  </w:endnote>
  <w:endnote w:id="1075">
    <w:p>
      <w:pPr>
        <w:pStyle w:val="EndnoteText"/>
        <w:jc w:val="both"/>
      </w:pPr>
      <w:r>
        <w:rPr>
          <w:rStyle w:val="EndnoteReference"/>
          <w:rFonts w:ascii="Century Schoolbook" w:hAnsi="Century Schoolbook"/>
        </w:rPr>
        <w:endnoteRef/>
      </w:r>
      <w:r>
        <w:t xml:space="preserve"> O.C.G.A. § 44-12-24 states, “[e]xcept for those situations governed by Code Sections 11-2-210 and 11-9-406, a right of action is assignable if it involves, directly or indirectly, a right of property.  A right of action for personal torts, for legal malpractice, or for injuries arising from fraud to the assignor may not be assigned.”  O.C.G.A. § 44-12-24 (2013).</w:t>
      </w:r>
    </w:p>
  </w:endnote>
  <w:endnote w:id="1076">
    <w:p>
      <w:pPr>
        <w:pStyle w:val="EndnoteText"/>
        <w:jc w:val="both"/>
      </w:pPr>
      <w:r>
        <w:rPr>
          <w:rStyle w:val="EndnoteReference"/>
          <w:rFonts w:ascii="Century Schoolbook" w:hAnsi="Century Schoolbook"/>
        </w:rPr>
        <w:endnoteRef/>
      </w:r>
      <w:r>
        <w:t xml:space="preserve"> </w:t>
      </w:r>
      <w:r>
        <w:rPr>
          <w:i/>
        </w:rPr>
        <w:t>Villanueva</w:t>
      </w:r>
      <w:r>
        <w:t xml:space="preserve">, 292 Ga. at 631, 740 S.E.2d at 109.  </w:t>
      </w:r>
    </w:p>
  </w:endnote>
  <w:endnote w:id="1077">
    <w:p>
      <w:pPr>
        <w:pStyle w:val="EndnoteText"/>
        <w:jc w:val="both"/>
      </w:pPr>
      <w:r>
        <w:rPr>
          <w:rStyle w:val="EndnoteReference"/>
          <w:rFonts w:ascii="Century Schoolbook" w:hAnsi="Century Schoolbook"/>
        </w:rPr>
        <w:endnoteRef/>
      </w:r>
      <w:r>
        <w:t xml:space="preserve"> </w:t>
      </w:r>
      <w:r>
        <w:rPr>
          <w:i/>
        </w:rPr>
        <w:t>Id</w:t>
      </w:r>
      <w:r>
        <w:t>.</w:t>
      </w:r>
    </w:p>
  </w:endnote>
  <w:endnote w:id="1078">
    <w:p>
      <w:pPr>
        <w:pStyle w:val="EndnoteText"/>
        <w:jc w:val="both"/>
      </w:pPr>
      <w:r>
        <w:rPr>
          <w:rStyle w:val="EndnoteReference"/>
          <w:rFonts w:ascii="Century Schoolbook" w:hAnsi="Century Schoolbook"/>
        </w:rPr>
        <w:endnoteRef/>
      </w:r>
      <w:r>
        <w:t xml:space="preserve"> </w:t>
      </w:r>
      <w:r>
        <w:rPr>
          <w:i/>
        </w:rPr>
        <w:t>Id</w:t>
      </w:r>
      <w:r>
        <w:t>.</w:t>
      </w:r>
    </w:p>
  </w:endnote>
  <w:endnote w:id="1079">
    <w:p>
      <w:pPr>
        <w:pStyle w:val="EndnoteText"/>
        <w:jc w:val="both"/>
      </w:pPr>
      <w:r>
        <w:rPr>
          <w:rStyle w:val="EndnoteReference"/>
          <w:rFonts w:ascii="Century Schoolbook" w:hAnsi="Century Schoolbook"/>
        </w:rPr>
        <w:endnoteRef/>
      </w:r>
      <w:r>
        <w:t xml:space="preserve"> </w:t>
      </w:r>
      <w:r>
        <w:rPr>
          <w:i/>
        </w:rPr>
        <w:t>Id</w:t>
      </w:r>
      <w:r>
        <w:t xml:space="preserve">. </w:t>
      </w:r>
    </w:p>
  </w:endnote>
  <w:endnote w:id="1080">
    <w:p>
      <w:pPr>
        <w:pStyle w:val="EndnoteText"/>
        <w:jc w:val="both"/>
      </w:pPr>
      <w:r>
        <w:rPr>
          <w:rStyle w:val="EndnoteReference"/>
          <w:rFonts w:ascii="Century Schoolbook" w:hAnsi="Century Schoolbook"/>
        </w:rPr>
        <w:endnoteRef/>
      </w:r>
      <w:r>
        <w:t xml:space="preserve"> </w:t>
      </w:r>
      <w:r>
        <w:rPr>
          <w:i/>
        </w:rPr>
        <w:t>Id.</w:t>
      </w:r>
      <w:r>
        <w:t xml:space="preserve"> at 631. 740 S.E.2d at 110.</w:t>
      </w:r>
    </w:p>
  </w:endnote>
  <w:endnote w:id="1081">
    <w:p>
      <w:pPr>
        <w:pStyle w:val="EndnoteText"/>
        <w:jc w:val="both"/>
      </w:pPr>
      <w:r>
        <w:rPr>
          <w:rStyle w:val="EndnoteReference"/>
          <w:rFonts w:ascii="Century Schoolbook" w:hAnsi="Century Schoolbook"/>
        </w:rPr>
        <w:endnoteRef/>
      </w:r>
      <w:r>
        <w:t xml:space="preserve"> </w:t>
      </w:r>
      <w:r>
        <w:rPr>
          <w:i/>
        </w:rPr>
        <w:t>Id</w:t>
      </w:r>
      <w:r>
        <w:t>. at 633, 740 S.E.2d at 111.</w:t>
      </w:r>
    </w:p>
  </w:endnote>
  <w:endnote w:id="1082">
    <w:p>
      <w:pPr>
        <w:pStyle w:val="EndnoteText"/>
        <w:jc w:val="both"/>
      </w:pPr>
      <w:r>
        <w:rPr>
          <w:rStyle w:val="EndnoteReference"/>
          <w:rFonts w:ascii="Century Schoolbook" w:hAnsi="Century Schoolbook"/>
        </w:rPr>
        <w:endnoteRef/>
      </w:r>
      <w:r>
        <w:t xml:space="preserve"> </w:t>
      </w:r>
      <w:r>
        <w:rPr>
          <w:i/>
        </w:rPr>
        <w:t>Id</w:t>
      </w:r>
      <w:r>
        <w:t>. at 633, 740 S.E.2d at 110.</w:t>
      </w:r>
    </w:p>
  </w:endnote>
  <w:endnote w:id="1083">
    <w:p>
      <w:pPr>
        <w:pStyle w:val="EndnoteText"/>
        <w:jc w:val="both"/>
      </w:pPr>
      <w:r>
        <w:rPr>
          <w:rStyle w:val="EndnoteReference"/>
          <w:rFonts w:ascii="Century Schoolbook" w:hAnsi="Century Schoolbook"/>
        </w:rPr>
        <w:endnoteRef/>
      </w:r>
      <w:r>
        <w:t xml:space="preserve"> </w:t>
      </w:r>
      <w:r>
        <w:rPr>
          <w:i/>
        </w:rPr>
        <w:t>Id</w:t>
      </w:r>
      <w:r>
        <w:t>. at 632-633, 740 S.E.2d at 111.</w:t>
      </w:r>
    </w:p>
  </w:endnote>
  <w:endnote w:id="1084">
    <w:p>
      <w:pPr>
        <w:pStyle w:val="EndnoteText"/>
        <w:jc w:val="both"/>
      </w:pPr>
      <w:r>
        <w:rPr>
          <w:rStyle w:val="EndnoteReference"/>
          <w:rFonts w:ascii="Century Schoolbook" w:hAnsi="Century Schoolbook"/>
        </w:rPr>
        <w:endnoteRef/>
      </w:r>
      <w:r>
        <w:t xml:space="preserve"> </w:t>
      </w:r>
      <w:r>
        <w:rPr>
          <w:i/>
        </w:rPr>
        <w:t>Id</w:t>
      </w:r>
      <w:r>
        <w:t>. at 633-634, 740 S.E.2d at 111.</w:t>
      </w:r>
    </w:p>
  </w:endnote>
  <w:endnote w:id="1085">
    <w:p>
      <w:pPr>
        <w:pStyle w:val="EndnoteText"/>
        <w:jc w:val="both"/>
      </w:pPr>
      <w:r>
        <w:rPr>
          <w:rStyle w:val="EndnoteReference"/>
          <w:rFonts w:ascii="Century Schoolbook" w:hAnsi="Century Schoolbook"/>
        </w:rPr>
        <w:endnoteRef/>
      </w:r>
      <w:r>
        <w:t xml:space="preserve"> </w:t>
      </w:r>
      <w:r>
        <w:rPr>
          <w:i/>
        </w:rPr>
        <w:t>Id</w:t>
      </w:r>
      <w:r>
        <w:t>. at 633, 740 S.E.2d at 111.</w:t>
      </w:r>
    </w:p>
  </w:endnote>
  <w:endnote w:id="1086">
    <w:p>
      <w:pPr>
        <w:pStyle w:val="EndnoteText"/>
        <w:jc w:val="both"/>
      </w:pPr>
      <w:r>
        <w:rPr>
          <w:rStyle w:val="EndnoteReference"/>
          <w:rFonts w:ascii="Century Schoolbook" w:hAnsi="Century Schoolbook"/>
        </w:rPr>
        <w:endnoteRef/>
      </w:r>
      <w:r>
        <w:t xml:space="preserve"> </w:t>
      </w:r>
      <w:r>
        <w:rPr>
          <w:i/>
        </w:rPr>
        <w:t>Id</w:t>
      </w:r>
      <w:r>
        <w:t>. at 635, 740 S.E.2d at 112.</w:t>
      </w:r>
    </w:p>
  </w:endnote>
  <w:endnote w:id="1087">
    <w:p>
      <w:pPr>
        <w:pStyle w:val="EndnoteText"/>
        <w:jc w:val="both"/>
      </w:pPr>
      <w:r>
        <w:rPr>
          <w:rStyle w:val="EndnoteReference"/>
          <w:rFonts w:ascii="Century Schoolbook" w:hAnsi="Century Schoolbook"/>
        </w:rPr>
        <w:endnoteRef/>
      </w:r>
      <w:r>
        <w:t xml:space="preserve"> </w:t>
      </w:r>
      <w:r>
        <w:rPr>
          <w:i/>
        </w:rPr>
        <w:t>Id</w:t>
      </w:r>
      <w:r>
        <w:t xml:space="preserve">. </w:t>
      </w:r>
    </w:p>
  </w:endnote>
  <w:endnote w:id="1088">
    <w:p>
      <w:pPr>
        <w:pStyle w:val="EndnoteText"/>
        <w:jc w:val="both"/>
      </w:pPr>
      <w:r>
        <w:rPr>
          <w:rStyle w:val="EndnoteReference"/>
          <w:rFonts w:ascii="Century Schoolbook" w:hAnsi="Century Schoolbook"/>
        </w:rPr>
        <w:endnoteRef/>
      </w:r>
      <w:r>
        <w:t xml:space="preserve"> </w:t>
      </w:r>
      <w:r>
        <w:rPr>
          <w:i/>
        </w:rPr>
        <w:t>Id</w:t>
      </w:r>
      <w:r>
        <w:t>.</w:t>
      </w:r>
    </w:p>
  </w:endnote>
  <w:endnote w:id="1089">
    <w:p>
      <w:pPr>
        <w:pStyle w:val="EndnoteText"/>
        <w:jc w:val="both"/>
      </w:pPr>
      <w:r>
        <w:rPr>
          <w:rStyle w:val="EndnoteReference"/>
          <w:rFonts w:ascii="Century Schoolbook" w:hAnsi="Century Schoolbook"/>
        </w:rPr>
        <w:endnoteRef/>
      </w:r>
      <w:r>
        <w:t xml:space="preserve"> O.C.G.A. § 51-1-52(b).</w:t>
      </w:r>
    </w:p>
  </w:endnote>
  <w:endnote w:id="1090">
    <w:p>
      <w:pPr>
        <w:jc w:val="both"/>
      </w:pPr>
      <w:r>
        <w:rPr>
          <w:rStyle w:val="EndnoteReference"/>
          <w:rFonts w:ascii="Century Schoolbook" w:hAnsi="Century Schoolbook"/>
          <w:sz w:val="20"/>
          <w:szCs w:val="20"/>
        </w:rPr>
        <w:endnoteRef/>
      </w:r>
      <w:r>
        <w:rPr>
          <w:sz w:val="20"/>
          <w:szCs w:val="20"/>
        </w:rPr>
        <w:t xml:space="preserve"> Mary Ann Chirba and Alice A. Noble, </w:t>
      </w:r>
      <w:r>
        <w:rPr>
          <w:i/>
          <w:sz w:val="20"/>
          <w:szCs w:val="20"/>
        </w:rPr>
        <w:t>Medical Malpractice, the Affordable Care Act and State Provider Shield Laws:  More Myth than Necessity?</w:t>
      </w:r>
      <w:r>
        <w:rPr>
          <w:sz w:val="20"/>
          <w:szCs w:val="20"/>
        </w:rPr>
        <w:t xml:space="preserve">, </w:t>
      </w:r>
      <w:r>
        <w:rPr>
          <w:smallCaps/>
          <w:sz w:val="20"/>
          <w:szCs w:val="20"/>
        </w:rPr>
        <w:t xml:space="preserve">Bill of Health </w:t>
      </w:r>
      <w:r>
        <w:rPr>
          <w:sz w:val="20"/>
          <w:szCs w:val="20"/>
        </w:rPr>
        <w:t xml:space="preserve">(May 14, 2013).,https://blogs.law.harvard.edu/billofhealth/2013/05/14/medical-malpractice-the-affordable-care-act-and-state-provider-shield-laws-more-myth-than-necessity. </w:t>
      </w:r>
    </w:p>
  </w:endnote>
  <w:endnote w:id="1091">
    <w:p>
      <w:pPr>
        <w:pStyle w:val="EndnoteText"/>
      </w:pPr>
      <w:r>
        <w:rPr>
          <w:rStyle w:val="EndnoteReference"/>
        </w:rPr>
        <w:endnoteRef/>
      </w:r>
      <w:r>
        <w:t xml:space="preserve"> O.C.G.A. § 51-1-52(b) (2013).</w:t>
      </w:r>
    </w:p>
  </w:endnote>
  <w:endnote w:id="1092">
    <w:p>
      <w:pPr>
        <w:pStyle w:val="EndnoteText"/>
        <w:jc w:val="both"/>
      </w:pPr>
      <w:r>
        <w:rPr>
          <w:rStyle w:val="EndnoteReference"/>
          <w:rFonts w:ascii="Century Schoolbook" w:hAnsi="Century Schoolbook"/>
        </w:rPr>
        <w:endnoteRef/>
      </w:r>
      <w:r>
        <w:t xml:space="preserve"> O.C.G.A. § 51-1-29.5(c) (2013).</w:t>
      </w:r>
    </w:p>
  </w:endnote>
  <w:endnote w:id="1093">
    <w:p>
      <w:pPr>
        <w:pStyle w:val="EndnoteText"/>
        <w:jc w:val="both"/>
      </w:pPr>
      <w:r>
        <w:rPr>
          <w:rStyle w:val="EndnoteReference"/>
          <w:rFonts w:ascii="Century Schoolbook" w:hAnsi="Century Schoolbook"/>
        </w:rPr>
        <w:endnoteRef/>
      </w:r>
      <w:r>
        <w:t xml:space="preserve"> </w:t>
      </w:r>
      <w:r>
        <w:rPr>
          <w:i/>
        </w:rPr>
        <w:t>Johnson v. Omondi</w:t>
      </w:r>
      <w:r>
        <w:t>, 294 Ga. 74, 751 S.E.2d 288 (2013).</w:t>
      </w:r>
    </w:p>
  </w:endnote>
  <w:endnote w:id="1094">
    <w:p>
      <w:pPr>
        <w:pStyle w:val="EndnoteText"/>
        <w:jc w:val="both"/>
      </w:pPr>
      <w:r>
        <w:rPr>
          <w:rStyle w:val="EndnoteReference"/>
          <w:rFonts w:ascii="Century Schoolbook" w:hAnsi="Century Schoolbook"/>
        </w:rPr>
        <w:endnoteRef/>
      </w:r>
      <w:r>
        <w:t xml:space="preserve"> </w:t>
      </w:r>
      <w:r>
        <w:rPr>
          <w:i/>
        </w:rPr>
        <w:t>Id</w:t>
      </w:r>
      <w:r>
        <w:t>. at 74, 751 S.E.2d at 289.</w:t>
      </w:r>
    </w:p>
  </w:endnote>
  <w:endnote w:id="1095">
    <w:p>
      <w:pPr>
        <w:pStyle w:val="EndnoteText"/>
        <w:jc w:val="both"/>
      </w:pPr>
      <w:r>
        <w:rPr>
          <w:rStyle w:val="EndnoteReference"/>
          <w:rFonts w:ascii="Century Schoolbook" w:hAnsi="Century Schoolbook"/>
        </w:rPr>
        <w:endnoteRef/>
      </w:r>
      <w:r>
        <w:t xml:space="preserve"> </w:t>
      </w:r>
      <w:r>
        <w:rPr>
          <w:i/>
        </w:rPr>
        <w:t>Id</w:t>
      </w:r>
      <w:r>
        <w:t>. at 77, 751 S.E.2d at 291 (</w:t>
      </w:r>
      <w:r>
        <w:rPr>
          <w:i/>
        </w:rPr>
        <w:t>citing</w:t>
      </w:r>
      <w:r>
        <w:t xml:space="preserve"> </w:t>
      </w:r>
      <w:r>
        <w:rPr>
          <w:i/>
        </w:rPr>
        <w:t>Gliemmo v. Cousineau</w:t>
      </w:r>
      <w:r>
        <w:t>, 287 Ga. 7, 694 S.E.2d 75 (2010)).</w:t>
      </w:r>
    </w:p>
  </w:endnote>
  <w:endnote w:id="1096">
    <w:p>
      <w:pPr>
        <w:pStyle w:val="EndnoteText"/>
        <w:jc w:val="both"/>
      </w:pPr>
      <w:r>
        <w:rPr>
          <w:rStyle w:val="EndnoteReference"/>
          <w:rFonts w:ascii="Century Schoolbook" w:hAnsi="Century Schoolbook"/>
        </w:rPr>
        <w:endnoteRef/>
      </w:r>
      <w:r>
        <w:rPr>
          <w:i/>
        </w:rPr>
        <w:t xml:space="preserve"> Omondi</w:t>
      </w:r>
      <w:r>
        <w:t>, 294 Ga</w:t>
      </w:r>
      <w:r>
        <w:rPr>
          <w:i/>
        </w:rPr>
        <w:t xml:space="preserve"> </w:t>
      </w:r>
      <w:r>
        <w:t>at 77-78, 751 S.E.2d at 291 (</w:t>
      </w:r>
      <w:r>
        <w:rPr>
          <w:i/>
        </w:rPr>
        <w:t>quoting</w:t>
      </w:r>
      <w:r>
        <w:t xml:space="preserve"> </w:t>
      </w:r>
      <w:r>
        <w:rPr>
          <w:i/>
        </w:rPr>
        <w:t>Gliemmo</w:t>
      </w:r>
      <w:r>
        <w:t>, 287 Ga. at 12-13, 694 S.E.2d at 80).</w:t>
      </w:r>
    </w:p>
  </w:endnote>
  <w:endnote w:id="1097">
    <w:p>
      <w:pPr>
        <w:pStyle w:val="EndnoteText"/>
        <w:jc w:val="both"/>
      </w:pPr>
      <w:r>
        <w:rPr>
          <w:rStyle w:val="EndnoteReference"/>
          <w:rFonts w:ascii="Century Schoolbook" w:hAnsi="Century Schoolbook"/>
        </w:rPr>
        <w:endnoteRef/>
      </w:r>
      <w:r>
        <w:t xml:space="preserve"> </w:t>
      </w:r>
      <w:r>
        <w:rPr>
          <w:i/>
        </w:rPr>
        <w:t>Omondi</w:t>
      </w:r>
      <w:r>
        <w:t>, 294 Ga. at 79, 751 S.E.2d at 292 (</w:t>
      </w:r>
      <w:r>
        <w:rPr>
          <w:i/>
        </w:rPr>
        <w:t>quoting</w:t>
      </w:r>
      <w:r>
        <w:t xml:space="preserve"> </w:t>
      </w:r>
      <w:r>
        <w:rPr>
          <w:i/>
        </w:rPr>
        <w:t>Gliemmo</w:t>
      </w:r>
      <w:r>
        <w:t>, 287 Ga. at 12-13, 694 S.E.2d at 80).</w:t>
      </w:r>
    </w:p>
  </w:endnote>
  <w:endnote w:id="1098">
    <w:p>
      <w:pPr>
        <w:pStyle w:val="EndnoteText"/>
        <w:jc w:val="both"/>
      </w:pPr>
      <w:r>
        <w:rPr>
          <w:rStyle w:val="EndnoteReference"/>
          <w:rFonts w:ascii="Century Schoolbook" w:hAnsi="Century Schoolbook"/>
        </w:rPr>
        <w:endnoteRef/>
      </w:r>
      <w:r>
        <w:t xml:space="preserve"> </w:t>
      </w:r>
      <w:r>
        <w:rPr>
          <w:i/>
        </w:rPr>
        <w:t>Omondi</w:t>
      </w:r>
      <w:r>
        <w:t>, 294 Ga. at 78, 751 S.E.2d at 291.</w:t>
      </w:r>
    </w:p>
  </w:endnote>
  <w:endnote w:id="1099">
    <w:p>
      <w:pPr>
        <w:pStyle w:val="EndnoteText"/>
        <w:jc w:val="both"/>
      </w:pPr>
      <w:r>
        <w:rPr>
          <w:rStyle w:val="EndnoteReference"/>
          <w:rFonts w:ascii="Century Schoolbook" w:hAnsi="Century Schoolbook"/>
        </w:rPr>
        <w:endnoteRef/>
      </w:r>
      <w:r>
        <w:t xml:space="preserve"> </w:t>
      </w:r>
      <w:r>
        <w:rPr>
          <w:i/>
        </w:rPr>
        <w:t>Id</w:t>
      </w:r>
      <w:r>
        <w:t xml:space="preserve">. at 78-79, 751 S.E.2d at 292. </w:t>
      </w:r>
    </w:p>
  </w:endnote>
  <w:endnote w:id="1100">
    <w:p>
      <w:pPr>
        <w:pStyle w:val="EndnoteText"/>
        <w:jc w:val="both"/>
      </w:pPr>
      <w:r>
        <w:rPr>
          <w:rStyle w:val="EndnoteReference"/>
          <w:rFonts w:ascii="Century Schoolbook" w:hAnsi="Century Schoolbook"/>
        </w:rPr>
        <w:endnoteRef/>
      </w:r>
      <w:r>
        <w:t xml:space="preserve"> </w:t>
      </w:r>
      <w:r>
        <w:rPr>
          <w:i/>
        </w:rPr>
        <w:t>Pottinger v. Smith</w:t>
      </w:r>
      <w:r>
        <w:t>, 293 Ga. App. 626, 667 S.E.2d 659 (2008).</w:t>
      </w:r>
    </w:p>
  </w:endnote>
  <w:endnote w:id="1101">
    <w:p>
      <w:pPr>
        <w:pStyle w:val="EndnoteText"/>
        <w:jc w:val="both"/>
      </w:pPr>
      <w:r>
        <w:rPr>
          <w:rStyle w:val="EndnoteReference"/>
          <w:rFonts w:ascii="Century Schoolbook" w:hAnsi="Century Schoolbook"/>
        </w:rPr>
        <w:endnoteRef/>
      </w:r>
      <w:r>
        <w:t xml:space="preserve"> </w:t>
      </w:r>
      <w:r>
        <w:rPr>
          <w:i/>
        </w:rPr>
        <w:t>Id</w:t>
      </w:r>
      <w:r>
        <w:t>. at 628, 667 S.E.2d at 661.</w:t>
      </w:r>
    </w:p>
  </w:endnote>
  <w:endnote w:id="1102">
    <w:p>
      <w:pPr>
        <w:pStyle w:val="EndnoteText"/>
        <w:jc w:val="both"/>
      </w:pPr>
      <w:r>
        <w:rPr>
          <w:rStyle w:val="EndnoteReference"/>
          <w:rFonts w:ascii="Century Schoolbook" w:hAnsi="Century Schoolbook"/>
        </w:rPr>
        <w:endnoteRef/>
      </w:r>
      <w:r>
        <w:t xml:space="preserve"> </w:t>
      </w:r>
      <w:r>
        <w:rPr>
          <w:i/>
        </w:rPr>
        <w:t>Id</w:t>
      </w:r>
      <w:r>
        <w:t>. at 629, 667 S.E.2d at 661.</w:t>
      </w:r>
    </w:p>
  </w:endnote>
  <w:endnote w:id="1103">
    <w:p>
      <w:pPr>
        <w:pStyle w:val="EndnoteText"/>
        <w:jc w:val="both"/>
      </w:pPr>
      <w:r>
        <w:rPr>
          <w:rStyle w:val="EndnoteReference"/>
          <w:rFonts w:ascii="Century Schoolbook" w:hAnsi="Century Schoolbook"/>
        </w:rPr>
        <w:endnoteRef/>
      </w:r>
      <w:r>
        <w:t xml:space="preserve"> </w:t>
      </w:r>
      <w:r>
        <w:rPr>
          <w:i/>
        </w:rPr>
        <w:t>Id</w:t>
      </w:r>
      <w:r>
        <w:t>.</w:t>
      </w:r>
    </w:p>
  </w:endnote>
  <w:endnote w:id="1104">
    <w:p>
      <w:pPr>
        <w:pStyle w:val="EndnoteText"/>
        <w:jc w:val="both"/>
      </w:pPr>
      <w:r>
        <w:rPr>
          <w:rStyle w:val="EndnoteReference"/>
          <w:rFonts w:ascii="Century Schoolbook" w:hAnsi="Century Schoolbook"/>
        </w:rPr>
        <w:endnoteRef/>
      </w:r>
      <w:r>
        <w:t xml:space="preserve"> </w:t>
      </w:r>
      <w:r>
        <w:rPr>
          <w:i/>
        </w:rPr>
        <w:t>Omondi</w:t>
      </w:r>
      <w:r>
        <w:t>, 294 Ga. at 79, 751 S.E.2d at 292.</w:t>
      </w:r>
    </w:p>
  </w:endnote>
  <w:endnote w:id="1105">
    <w:p>
      <w:pPr>
        <w:pStyle w:val="EndnoteText"/>
        <w:jc w:val="both"/>
      </w:pPr>
      <w:r>
        <w:rPr>
          <w:rStyle w:val="EndnoteReference"/>
          <w:rFonts w:ascii="Century Schoolbook" w:hAnsi="Century Schoolbook"/>
        </w:rPr>
        <w:endnoteRef/>
      </w:r>
      <w:r>
        <w:t xml:space="preserve"> </w:t>
      </w:r>
      <w:r>
        <w:rPr>
          <w:i/>
        </w:rPr>
        <w:t>Quinney v. Phoebe Putney Mem. Hosp., Inc</w:t>
      </w:r>
      <w:r>
        <w:t>., 325 Ga. App. 112, 751 S.E.2d 874 (2013).</w:t>
      </w:r>
    </w:p>
  </w:endnote>
  <w:endnote w:id="1106">
    <w:p>
      <w:pPr>
        <w:pStyle w:val="EndnoteText"/>
      </w:pPr>
      <w:r>
        <w:rPr>
          <w:rStyle w:val="EndnoteReference"/>
          <w:rFonts w:ascii="Century Schoolbook" w:hAnsi="Century Schoolbook"/>
        </w:rPr>
        <w:endnoteRef/>
      </w:r>
      <w:r>
        <w:t xml:space="preserve"> </w:t>
      </w:r>
      <w:r>
        <w:rPr>
          <w:i/>
        </w:rPr>
        <w:t>Id</w:t>
      </w:r>
      <w:r>
        <w:t>. at 118, 751 S.E.2d at 880.</w:t>
      </w:r>
    </w:p>
  </w:endnote>
  <w:endnote w:id="1107">
    <w:p>
      <w:pPr>
        <w:pStyle w:val="EndnoteText"/>
      </w:pPr>
      <w:r>
        <w:rPr>
          <w:rStyle w:val="EndnoteReference"/>
          <w:rFonts w:ascii="Century Schoolbook" w:hAnsi="Century Schoolbook"/>
        </w:rPr>
        <w:endnoteRef/>
      </w:r>
      <w:r>
        <w:t xml:space="preserve"> </w:t>
      </w:r>
      <w:r>
        <w:rPr>
          <w:i/>
        </w:rPr>
        <w:t>Id</w:t>
      </w:r>
      <w:r>
        <w:t>. at 119-120, 751 S.E.2d at 880.</w:t>
      </w:r>
    </w:p>
  </w:endnote>
  <w:endnote w:id="1108">
    <w:p>
      <w:pPr>
        <w:pStyle w:val="EndnoteText"/>
      </w:pPr>
      <w:r>
        <w:rPr>
          <w:rStyle w:val="EndnoteReference"/>
          <w:rFonts w:ascii="Century Schoolbook" w:hAnsi="Century Schoolbook"/>
        </w:rPr>
        <w:endnoteRef/>
      </w:r>
      <w:r>
        <w:t xml:space="preserve"> </w:t>
      </w:r>
      <w:r>
        <w:rPr>
          <w:i/>
        </w:rPr>
        <w:t>Id</w:t>
      </w:r>
      <w:r>
        <w:t>. at 120, 751 S.E.2d at 881.</w:t>
      </w:r>
    </w:p>
  </w:endnote>
  <w:endnote w:id="1109">
    <w:p>
      <w:pPr>
        <w:pStyle w:val="EndnoteText"/>
        <w:jc w:val="both"/>
      </w:pPr>
      <w:r>
        <w:rPr>
          <w:rStyle w:val="EndnoteReference"/>
          <w:rFonts w:ascii="Century Schoolbook" w:hAnsi="Century Schoolbook"/>
        </w:rPr>
        <w:endnoteRef/>
      </w:r>
      <w:r>
        <w:t xml:space="preserve"> </w:t>
      </w:r>
      <w:r>
        <w:rPr>
          <w:i/>
        </w:rPr>
        <w:t>Norred v. Teaver</w:t>
      </w:r>
      <w:r>
        <w:t>, 320 Ga. App. 508, 740 S.E.2d 251 (2013).</w:t>
      </w:r>
    </w:p>
  </w:endnote>
  <w:endnote w:id="1110">
    <w:p>
      <w:pPr>
        <w:pStyle w:val="EndnoteText"/>
        <w:jc w:val="both"/>
      </w:pPr>
      <w:r>
        <w:rPr>
          <w:rStyle w:val="EndnoteReference"/>
          <w:rFonts w:ascii="Century Schoolbook" w:hAnsi="Century Schoolbook"/>
        </w:rPr>
        <w:endnoteRef/>
      </w:r>
      <w:r>
        <w:t xml:space="preserve"> </w:t>
      </w:r>
      <w:r>
        <w:rPr>
          <w:i/>
        </w:rPr>
        <w:t>Id</w:t>
      </w:r>
      <w:r>
        <w:t>. at 509-510, 740 S.E.2d at 252.</w:t>
      </w:r>
    </w:p>
  </w:endnote>
  <w:endnote w:id="1111">
    <w:p>
      <w:pPr>
        <w:pStyle w:val="EndnoteText"/>
        <w:jc w:val="both"/>
      </w:pPr>
      <w:r>
        <w:rPr>
          <w:rStyle w:val="EndnoteReference"/>
          <w:rFonts w:ascii="Century Schoolbook" w:hAnsi="Century Schoolbook"/>
        </w:rPr>
        <w:endnoteRef/>
      </w:r>
      <w:r>
        <w:t xml:space="preserve"> </w:t>
      </w:r>
      <w:r>
        <w:rPr>
          <w:i/>
        </w:rPr>
        <w:t>Id</w:t>
      </w:r>
      <w:r>
        <w:t>.</w:t>
      </w:r>
    </w:p>
  </w:endnote>
  <w:endnote w:id="1112">
    <w:p>
      <w:pPr>
        <w:pStyle w:val="EndnoteText"/>
        <w:jc w:val="both"/>
      </w:pPr>
      <w:r>
        <w:rPr>
          <w:rStyle w:val="EndnoteReference"/>
          <w:rFonts w:ascii="Century Schoolbook" w:hAnsi="Century Schoolbook"/>
        </w:rPr>
        <w:endnoteRef/>
      </w:r>
      <w:r>
        <w:t xml:space="preserve"> </w:t>
      </w:r>
      <w:r>
        <w:rPr>
          <w:i/>
        </w:rPr>
        <w:t>Id</w:t>
      </w:r>
      <w:r>
        <w:t>. at 512, 740 S.E.2d at 253.</w:t>
      </w:r>
    </w:p>
  </w:endnote>
  <w:endnote w:id="1113">
    <w:p>
      <w:pPr>
        <w:pStyle w:val="EndnoteText"/>
        <w:jc w:val="both"/>
      </w:pPr>
      <w:r>
        <w:rPr>
          <w:rStyle w:val="EndnoteReference"/>
          <w:rFonts w:ascii="Century Schoolbook" w:hAnsi="Century Schoolbook"/>
        </w:rPr>
        <w:endnoteRef/>
      </w:r>
      <w:r>
        <w:t xml:space="preserve"> </w:t>
      </w:r>
      <w:r>
        <w:rPr>
          <w:i/>
        </w:rPr>
        <w:t>Id</w:t>
      </w:r>
      <w:r>
        <w:t>. at 512, 740 S.E.2d at 253-254 (citations omitted) (emphasis added).</w:t>
      </w:r>
    </w:p>
  </w:endnote>
  <w:endnote w:id="1114">
    <w:p>
      <w:pPr>
        <w:pStyle w:val="EndnoteText"/>
        <w:jc w:val="both"/>
      </w:pPr>
      <w:r>
        <w:rPr>
          <w:rStyle w:val="EndnoteReference"/>
          <w:rFonts w:ascii="Century Schoolbook" w:hAnsi="Century Schoolbook"/>
        </w:rPr>
        <w:endnoteRef/>
      </w:r>
      <w:r>
        <w:t xml:space="preserve"> </w:t>
      </w:r>
      <w:r>
        <w:rPr>
          <w:i/>
        </w:rPr>
        <w:t>Id</w:t>
      </w:r>
      <w:r>
        <w:t>. at 513, 740 S.E.2d at 254.</w:t>
      </w:r>
    </w:p>
  </w:endnote>
  <w:endnote w:id="1115">
    <w:p>
      <w:pPr>
        <w:pStyle w:val="EndnoteText"/>
        <w:jc w:val="both"/>
      </w:pPr>
      <w:r>
        <w:rPr>
          <w:rStyle w:val="EndnoteReference"/>
          <w:rFonts w:ascii="Century Schoolbook" w:hAnsi="Century Schoolbook"/>
        </w:rPr>
        <w:endnoteRef/>
      </w:r>
      <w:r>
        <w:t xml:space="preserve"> </w:t>
      </w:r>
      <w:r>
        <w:rPr>
          <w:i/>
        </w:rPr>
        <w:t>WellStar Health Sys., Inc. v. Kemp</w:t>
      </w:r>
      <w:r>
        <w:t>, 324 Ga. App. 629, 751 S.E.2d 445 (2013).</w:t>
      </w:r>
    </w:p>
  </w:endnote>
  <w:endnote w:id="1116">
    <w:p>
      <w:pPr>
        <w:pStyle w:val="EndnoteText"/>
        <w:jc w:val="both"/>
      </w:pPr>
      <w:r>
        <w:rPr>
          <w:rStyle w:val="EndnoteReference"/>
          <w:rFonts w:ascii="Century Schoolbook" w:hAnsi="Century Schoolbook"/>
        </w:rPr>
        <w:endnoteRef/>
      </w:r>
      <w:r>
        <w:t xml:space="preserve"> </w:t>
      </w:r>
      <w:r>
        <w:rPr>
          <w:i/>
        </w:rPr>
        <w:t>Id</w:t>
      </w:r>
      <w:r>
        <w:t xml:space="preserve"> at 630, 751 S.E.2d at 448.</w:t>
      </w:r>
    </w:p>
  </w:endnote>
  <w:endnote w:id="1117">
    <w:p>
      <w:pPr>
        <w:pStyle w:val="EndnoteText"/>
        <w:jc w:val="both"/>
      </w:pPr>
      <w:r>
        <w:rPr>
          <w:rStyle w:val="EndnoteReference"/>
          <w:rFonts w:ascii="Century Schoolbook" w:hAnsi="Century Schoolbook"/>
        </w:rPr>
        <w:endnoteRef/>
      </w:r>
      <w:r>
        <w:t xml:space="preserve"> </w:t>
      </w:r>
      <w:r>
        <w:rPr>
          <w:i/>
        </w:rPr>
        <w:t>Id</w:t>
      </w:r>
      <w:r>
        <w:t>.</w:t>
      </w:r>
    </w:p>
  </w:endnote>
  <w:endnote w:id="1118">
    <w:p>
      <w:pPr>
        <w:pStyle w:val="EndnoteText"/>
        <w:jc w:val="both"/>
      </w:pPr>
      <w:r>
        <w:rPr>
          <w:rStyle w:val="EndnoteReference"/>
          <w:rFonts w:ascii="Century Schoolbook" w:hAnsi="Century Schoolbook"/>
        </w:rPr>
        <w:endnoteRef/>
      </w:r>
      <w:r>
        <w:t xml:space="preserve"> </w:t>
      </w:r>
      <w:r>
        <w:rPr>
          <w:i/>
        </w:rPr>
        <w:t>Id</w:t>
      </w:r>
      <w:r>
        <w:t>.</w:t>
      </w:r>
    </w:p>
  </w:endnote>
  <w:endnote w:id="1119">
    <w:p>
      <w:pPr>
        <w:pStyle w:val="EndnoteText"/>
        <w:jc w:val="both"/>
      </w:pPr>
      <w:r>
        <w:rPr>
          <w:rStyle w:val="EndnoteReference"/>
          <w:rFonts w:ascii="Century Schoolbook" w:hAnsi="Century Schoolbook"/>
        </w:rPr>
        <w:endnoteRef/>
      </w:r>
      <w:r>
        <w:t xml:space="preserve"> </w:t>
      </w:r>
      <w:r>
        <w:rPr>
          <w:i/>
        </w:rPr>
        <w:t>Id</w:t>
      </w:r>
      <w:r>
        <w:t>. at 630-631, 751 S.E.2d at 448.</w:t>
      </w:r>
    </w:p>
  </w:endnote>
  <w:endnote w:id="1120">
    <w:p>
      <w:pPr>
        <w:pStyle w:val="EndnoteText"/>
        <w:jc w:val="both"/>
      </w:pPr>
      <w:r>
        <w:rPr>
          <w:rStyle w:val="EndnoteReference"/>
          <w:rFonts w:ascii="Century Schoolbook" w:hAnsi="Century Schoolbook"/>
        </w:rPr>
        <w:endnoteRef/>
      </w:r>
      <w:r>
        <w:t xml:space="preserve"> </w:t>
      </w:r>
      <w:r>
        <w:rPr>
          <w:i/>
        </w:rPr>
        <w:t>Id</w:t>
      </w:r>
      <w:r>
        <w:t>. at 631, 751 S.E.2d at 449.</w:t>
      </w:r>
    </w:p>
  </w:endnote>
  <w:endnote w:id="1121">
    <w:p>
      <w:pPr>
        <w:pStyle w:val="EndnoteText"/>
        <w:jc w:val="both"/>
      </w:pPr>
      <w:r>
        <w:rPr>
          <w:rStyle w:val="EndnoteReference"/>
          <w:rFonts w:ascii="Century Schoolbook" w:hAnsi="Century Schoolbook"/>
        </w:rPr>
        <w:endnoteRef/>
      </w:r>
      <w:r>
        <w:t xml:space="preserve"> </w:t>
      </w:r>
      <w:r>
        <w:rPr>
          <w:i/>
        </w:rPr>
        <w:t>Id</w:t>
      </w:r>
      <w:r>
        <w:t>. at 631-632, 751 S.E.2d at 449.</w:t>
      </w:r>
    </w:p>
  </w:endnote>
  <w:endnote w:id="1122">
    <w:p>
      <w:pPr>
        <w:pStyle w:val="EndnoteText"/>
        <w:jc w:val="both"/>
      </w:pPr>
      <w:r>
        <w:rPr>
          <w:rStyle w:val="EndnoteReference"/>
          <w:rFonts w:ascii="Century Schoolbook" w:hAnsi="Century Schoolbook"/>
        </w:rPr>
        <w:endnoteRef/>
      </w:r>
      <w:r>
        <w:t xml:space="preserve"> </w:t>
      </w:r>
      <w:r>
        <w:rPr>
          <w:i/>
        </w:rPr>
        <w:t>Id</w:t>
      </w:r>
      <w:r>
        <w:t>. at 632, 751 S.E.2d at 449.</w:t>
      </w:r>
    </w:p>
  </w:endnote>
  <w:endnote w:id="1123">
    <w:p>
      <w:pPr>
        <w:pStyle w:val="EndnoteText"/>
        <w:jc w:val="both"/>
      </w:pPr>
      <w:r>
        <w:rPr>
          <w:rStyle w:val="EndnoteReference"/>
          <w:rFonts w:ascii="Century Schoolbook" w:hAnsi="Century Schoolbook"/>
        </w:rPr>
        <w:endnoteRef/>
      </w:r>
      <w:r>
        <w:t xml:space="preserve"> </w:t>
      </w:r>
      <w:r>
        <w:rPr>
          <w:i/>
        </w:rPr>
        <w:t>Id</w:t>
      </w:r>
      <w:r>
        <w:t>. at 634, 635-636, 751 S.E.2d at 450, 451.</w:t>
      </w:r>
    </w:p>
  </w:endnote>
  <w:endnote w:id="1124">
    <w:p>
      <w:pPr>
        <w:pStyle w:val="EndnoteText"/>
        <w:jc w:val="both"/>
      </w:pPr>
      <w:r>
        <w:rPr>
          <w:rStyle w:val="EndnoteReference"/>
          <w:rFonts w:ascii="Century Schoolbook" w:hAnsi="Century Schoolbook"/>
        </w:rPr>
        <w:endnoteRef/>
      </w:r>
      <w:r>
        <w:t xml:space="preserve"> </w:t>
      </w:r>
      <w:r>
        <w:rPr>
          <w:i/>
        </w:rPr>
        <w:t>Id</w:t>
      </w:r>
      <w:r>
        <w:t>. at 635, 751 S.E.2d at 451.</w:t>
      </w:r>
    </w:p>
  </w:endnote>
  <w:endnote w:id="1125">
    <w:p>
      <w:pPr>
        <w:pStyle w:val="EndnoteText"/>
        <w:jc w:val="both"/>
      </w:pPr>
      <w:r>
        <w:rPr>
          <w:rStyle w:val="EndnoteReference"/>
          <w:rFonts w:ascii="Century Schoolbook" w:hAnsi="Century Schoolbook"/>
        </w:rPr>
        <w:endnoteRef/>
      </w:r>
      <w:r>
        <w:t xml:space="preserve"> </w:t>
      </w:r>
      <w:r>
        <w:rPr>
          <w:i/>
        </w:rPr>
        <w:t>Id</w:t>
      </w:r>
      <w:r>
        <w:t>. at 638, 751 S.E.2d at 453.</w:t>
      </w:r>
    </w:p>
  </w:endnote>
  <w:endnote w:id="1126">
    <w:p>
      <w:pPr>
        <w:pStyle w:val="EndnoteText"/>
        <w:jc w:val="both"/>
      </w:pPr>
      <w:r>
        <w:rPr>
          <w:rStyle w:val="EndnoteReference"/>
          <w:rFonts w:ascii="Century Schoolbook" w:hAnsi="Century Schoolbook"/>
        </w:rPr>
        <w:endnoteRef/>
      </w:r>
      <w:r>
        <w:t xml:space="preserve"> </w:t>
      </w:r>
      <w:r>
        <w:rPr>
          <w:i/>
        </w:rPr>
        <w:t>Id</w:t>
      </w:r>
      <w:r>
        <w:t>. at 640, 751 S.E.2d at 454.</w:t>
      </w:r>
    </w:p>
  </w:endnote>
  <w:endnote w:id="1127">
    <w:p>
      <w:pPr>
        <w:pStyle w:val="EndnoteText"/>
        <w:jc w:val="both"/>
      </w:pPr>
      <w:r>
        <w:rPr>
          <w:rStyle w:val="EndnoteReference"/>
          <w:rFonts w:ascii="Century Schoolbook" w:hAnsi="Century Schoolbook"/>
        </w:rPr>
        <w:endnoteRef/>
      </w:r>
      <w:r>
        <w:t xml:space="preserve"> </w:t>
      </w:r>
      <w:r>
        <w:rPr>
          <w:i/>
        </w:rPr>
        <w:t>Id</w:t>
      </w:r>
      <w:r>
        <w:t>. at 639-640, 751 S.E.2d at 454.</w:t>
      </w:r>
    </w:p>
  </w:endnote>
  <w:endnote w:id="1128">
    <w:p>
      <w:pPr>
        <w:pStyle w:val="EndnoteText"/>
        <w:jc w:val="both"/>
      </w:pPr>
      <w:r>
        <w:rPr>
          <w:rStyle w:val="EndnoteReference"/>
          <w:rFonts w:ascii="Century" w:hAnsi="Century"/>
        </w:rPr>
        <w:endnoteRef/>
      </w:r>
      <w:r>
        <w:rPr>
          <w:rFonts w:ascii="Century" w:hAnsi="Century"/>
        </w:rPr>
        <w:t xml:space="preserve"> O.C.G.A. § 9-11-67.1(a) (2013).</w:t>
      </w:r>
    </w:p>
  </w:endnote>
  <w:endnote w:id="1129">
    <w:p>
      <w:pPr>
        <w:pStyle w:val="EndnoteText"/>
        <w:jc w:val="both"/>
      </w:pPr>
      <w:r>
        <w:rPr>
          <w:rStyle w:val="EndnoteReference"/>
          <w:rFonts w:ascii="Century" w:hAnsi="Century"/>
        </w:rPr>
        <w:endnoteRef/>
      </w:r>
      <w:r>
        <w:rPr>
          <w:rFonts w:ascii="Century" w:hAnsi="Century"/>
        </w:rPr>
        <w:t xml:space="preserve"> O.C.G.A. § 9-11-67.1(a),(b).</w:t>
      </w:r>
    </w:p>
  </w:endnote>
  <w:endnote w:id="1130">
    <w:p>
      <w:pPr>
        <w:pStyle w:val="EndnoteText"/>
        <w:jc w:val="both"/>
      </w:pPr>
      <w:r>
        <w:rPr>
          <w:rStyle w:val="EndnoteReference"/>
          <w:rFonts w:ascii="Century" w:hAnsi="Century"/>
        </w:rPr>
        <w:endnoteRef/>
      </w:r>
      <w:r>
        <w:rPr>
          <w:rFonts w:ascii="Century" w:hAnsi="Century"/>
        </w:rPr>
        <w:t xml:space="preserve"> </w:t>
      </w:r>
      <w:r>
        <w:rPr>
          <w:rFonts w:ascii="Century" w:hAnsi="Century"/>
          <w:i/>
        </w:rPr>
        <w:t>Francis v. Newton</w:t>
      </w:r>
      <w:r>
        <w:rPr>
          <w:rFonts w:ascii="Century" w:hAnsi="Century"/>
        </w:rPr>
        <w:t xml:space="preserve">, 75 Ga. App. 341, 343, </w:t>
      </w:r>
      <w:r>
        <w:rPr>
          <w:rFonts w:ascii="Century" w:hAnsi="Century" w:cs="Arial"/>
          <w:color w:val="252525"/>
        </w:rPr>
        <w:t>43 S.E.2d 282, 284</w:t>
      </w:r>
      <w:r>
        <w:rPr>
          <w:rFonts w:ascii="Century" w:hAnsi="Century"/>
        </w:rPr>
        <w:t xml:space="preserve"> (1947).  Clearly believing itself to be plowing new ground in Georgia jurisprudence, the </w:t>
      </w:r>
      <w:r>
        <w:rPr>
          <w:rFonts w:ascii="Century" w:hAnsi="Century"/>
          <w:i/>
        </w:rPr>
        <w:t>Francis</w:t>
      </w:r>
      <w:r>
        <w:rPr>
          <w:rFonts w:ascii="Century" w:hAnsi="Century"/>
        </w:rPr>
        <w:t xml:space="preserve"> court cited no Georgia authorities for this proposition.  </w:t>
      </w:r>
    </w:p>
  </w:endnote>
  <w:endnote w:id="1131">
    <w:p>
      <w:pPr>
        <w:pStyle w:val="Heading3"/>
        <w:numPr>
          <w:ilvl w:val="0"/>
          <w:numId w:val="0"/>
        </w:numPr>
        <w:shd w:val="clear" w:color="auto" w:fill="FFFFFF"/>
        <w:spacing w:before="0" w:line="240" w:lineRule="atLeast"/>
        <w:ind w:left="90"/>
        <w:jc w:val="both"/>
      </w:pPr>
      <w:r>
        <w:rPr>
          <w:rStyle w:val="EndnoteReference"/>
          <w:rFonts w:ascii="Century" w:hAnsi="Century"/>
          <w:b w:val="0"/>
          <w:szCs w:val="20"/>
        </w:rPr>
        <w:endnoteRef/>
      </w:r>
      <w:r>
        <w:rPr>
          <w:rFonts w:ascii="Century" w:hAnsi="Century"/>
          <w:b w:val="0"/>
          <w:szCs w:val="20"/>
        </w:rPr>
        <w:t xml:space="preserve"> </w:t>
      </w:r>
      <w:r>
        <w:rPr>
          <w:rFonts w:ascii="Century" w:hAnsi="Century"/>
          <w:b w:val="0"/>
          <w:i/>
          <w:szCs w:val="20"/>
        </w:rPr>
        <w:t>Leonard v. Firemen’s Ins. Co.</w:t>
      </w:r>
      <w:r>
        <w:rPr>
          <w:rFonts w:ascii="Century" w:hAnsi="Century"/>
          <w:b w:val="0"/>
          <w:szCs w:val="20"/>
        </w:rPr>
        <w:t xml:space="preserve">, 100 Ga. App. 434, 437, </w:t>
      </w:r>
      <w:r>
        <w:rPr>
          <w:rFonts w:ascii="Century" w:hAnsi="Century" w:cs="Arial"/>
          <w:b w:val="0"/>
          <w:bCs w:val="0"/>
          <w:szCs w:val="20"/>
        </w:rPr>
        <w:t>111</w:t>
      </w:r>
      <w:r>
        <w:rPr>
          <w:rFonts w:ascii="Century" w:hAnsi="Century" w:cs="Arial"/>
          <w:b w:val="0"/>
          <w:bCs w:val="0"/>
          <w:color w:val="252525"/>
          <w:szCs w:val="20"/>
        </w:rPr>
        <w:t xml:space="preserve"> S.E.2d 773, 776 (1959).</w:t>
      </w:r>
    </w:p>
  </w:endnote>
  <w:endnote w:id="1132">
    <w:p>
      <w:pPr>
        <w:pStyle w:val="EndnoteText"/>
        <w:jc w:val="both"/>
      </w:pPr>
      <w:r>
        <w:rPr>
          <w:rStyle w:val="EndnoteReference"/>
          <w:rFonts w:ascii="Century" w:hAnsi="Century"/>
        </w:rPr>
        <w:endnoteRef/>
      </w:r>
      <w:r>
        <w:rPr>
          <w:rFonts w:ascii="Century" w:hAnsi="Century"/>
        </w:rPr>
        <w:t xml:space="preserve"> </w:t>
      </w:r>
      <w:r>
        <w:rPr>
          <w:rFonts w:ascii="Century" w:hAnsi="Century"/>
          <w:i/>
        </w:rPr>
        <w:t>U.S. Fid. &amp; Guar. Co. v. Evans</w:t>
      </w:r>
      <w:r>
        <w:rPr>
          <w:rFonts w:ascii="Century" w:hAnsi="Century"/>
        </w:rPr>
        <w:t xml:space="preserve">, 116 Ga. App. 93, 95, </w:t>
      </w:r>
      <w:r>
        <w:rPr>
          <w:rFonts w:ascii="Century" w:hAnsi="Century" w:cs="Arial"/>
        </w:rPr>
        <w:t>156 S.E.2d 809, 811.</w:t>
      </w:r>
      <w:r>
        <w:rPr>
          <w:rFonts w:ascii="Century" w:hAnsi="Century"/>
        </w:rPr>
        <w:t xml:space="preserve"> (1967) (emphasis added).</w:t>
      </w:r>
    </w:p>
  </w:endnote>
  <w:endnote w:id="1133">
    <w:p>
      <w:pPr>
        <w:pStyle w:val="Heading3"/>
        <w:numPr>
          <w:ilvl w:val="0"/>
          <w:numId w:val="0"/>
        </w:numPr>
        <w:shd w:val="clear" w:color="auto" w:fill="FFFFFF"/>
        <w:spacing w:before="0" w:line="240" w:lineRule="atLeast"/>
        <w:ind w:left="90"/>
        <w:jc w:val="both"/>
      </w:pPr>
      <w:r>
        <w:rPr>
          <w:rStyle w:val="EndnoteReference"/>
          <w:rFonts w:ascii="Century" w:hAnsi="Century"/>
          <w:b w:val="0"/>
          <w:szCs w:val="20"/>
        </w:rPr>
        <w:endnoteRef/>
      </w:r>
      <w:r>
        <w:rPr>
          <w:rFonts w:ascii="Century" w:hAnsi="Century"/>
          <w:b w:val="0"/>
          <w:szCs w:val="20"/>
        </w:rPr>
        <w:t xml:space="preserve"> </w:t>
      </w:r>
      <w:r>
        <w:rPr>
          <w:rFonts w:ascii="Century" w:hAnsi="Century"/>
          <w:b w:val="0"/>
          <w:i/>
          <w:szCs w:val="20"/>
        </w:rPr>
        <w:t>S. Gen. Ins. Co. v. Holt</w:t>
      </w:r>
      <w:r>
        <w:rPr>
          <w:rFonts w:ascii="Century" w:hAnsi="Century"/>
          <w:b w:val="0"/>
          <w:szCs w:val="20"/>
        </w:rPr>
        <w:t xml:space="preserve">, 262 Ga. 267, 268-269, </w:t>
      </w:r>
      <w:r>
        <w:rPr>
          <w:rFonts w:ascii="Century" w:hAnsi="Century" w:cs="Arial"/>
          <w:b w:val="0"/>
          <w:bCs w:val="0"/>
          <w:szCs w:val="20"/>
        </w:rPr>
        <w:t>416 S.E.2d 274, 276</w:t>
      </w:r>
      <w:r>
        <w:rPr>
          <w:rFonts w:ascii="Century" w:hAnsi="Century"/>
          <w:b w:val="0"/>
          <w:szCs w:val="20"/>
        </w:rPr>
        <w:t xml:space="preserve"> (1992) (citations omitted).</w:t>
      </w:r>
    </w:p>
  </w:endnote>
  <w:endnote w:id="1134">
    <w:p>
      <w:pPr>
        <w:pStyle w:val="EndnoteText"/>
        <w:jc w:val="both"/>
        <w:rPr>
          <w:rFonts w:ascii="Century" w:hAnsi="Century"/>
        </w:rPr>
      </w:pPr>
      <w:r>
        <w:rPr>
          <w:rStyle w:val="EndnoteReference"/>
          <w:rFonts w:ascii="Century" w:hAnsi="Century"/>
        </w:rPr>
        <w:endnoteRef/>
      </w:r>
      <w:r>
        <w:rPr>
          <w:rFonts w:ascii="Century" w:hAnsi="Century"/>
        </w:rPr>
        <w:t xml:space="preserve"> It should be noted that, even though the </w:t>
      </w:r>
      <w:r>
        <w:rPr>
          <w:rFonts w:ascii="Century" w:hAnsi="Century"/>
          <w:i/>
        </w:rPr>
        <w:t>Holt</w:t>
      </w:r>
      <w:r>
        <w:rPr>
          <w:rFonts w:ascii="Century" w:hAnsi="Century"/>
        </w:rPr>
        <w:t xml:space="preserve"> court spoke of the prospect of liability where an insurer’s actions smacked of “negligence, fraud, or bad faith,” “equal consideration” was the true touchstone by which an insurer’s conduct should be judged.  The </w:t>
      </w:r>
      <w:r>
        <w:rPr>
          <w:rFonts w:ascii="Century" w:hAnsi="Century"/>
          <w:i/>
        </w:rPr>
        <w:t>Evans</w:t>
      </w:r>
      <w:r>
        <w:rPr>
          <w:rFonts w:ascii="Century" w:hAnsi="Century"/>
        </w:rPr>
        <w:t xml:space="preserve"> court – to which the Georgia Supreme Court looked for guidance in deciding </w:t>
      </w:r>
      <w:r>
        <w:rPr>
          <w:rFonts w:ascii="Century" w:hAnsi="Century"/>
          <w:i/>
        </w:rPr>
        <w:t>Holt</w:t>
      </w:r>
      <w:r>
        <w:rPr>
          <w:rFonts w:ascii="Century" w:hAnsi="Century"/>
        </w:rPr>
        <w:t xml:space="preserve"> – long before addressed the obvious confusion where so many terms having routinely discrete meanings in the law were used as follows:</w:t>
      </w:r>
    </w:p>
    <w:p>
      <w:pPr>
        <w:pStyle w:val="EndnoteText"/>
        <w:ind w:left="720" w:right="720"/>
        <w:jc w:val="both"/>
        <w:rPr>
          <w:rFonts w:ascii="Century" w:hAnsi="Century"/>
        </w:rPr>
      </w:pPr>
      <w:r>
        <w:rPr>
          <w:rFonts w:ascii="Century" w:hAnsi="Century"/>
        </w:rPr>
        <w:t>What then is the duty?  Many jurisdictions have coupled in their discussions the terms “bad faith” and “negligence,” seeming to use them as disjunctive or alternative tests.  It is partly on this account – also partly because the same states will occasionally refer to one test and upon other occasions to the other – that the conclusion must be drawn that mere terminology means little.</w:t>
      </w:r>
    </w:p>
    <w:p>
      <w:pPr>
        <w:pStyle w:val="EndnoteText"/>
        <w:jc w:val="both"/>
      </w:pPr>
      <w:r>
        <w:rPr>
          <w:rFonts w:ascii="Century" w:hAnsi="Century"/>
          <w:i/>
        </w:rPr>
        <w:t>Evans</w:t>
      </w:r>
      <w:r>
        <w:rPr>
          <w:rFonts w:ascii="Century" w:hAnsi="Century"/>
        </w:rPr>
        <w:t xml:space="preserve">, 116 Ga. App. at 94, </w:t>
      </w:r>
      <w:r>
        <w:rPr>
          <w:rFonts w:ascii="Century" w:hAnsi="Century" w:cs="Arial"/>
        </w:rPr>
        <w:t>156 S.E.2d at 811</w:t>
      </w:r>
      <w:r>
        <w:rPr>
          <w:rFonts w:ascii="Century" w:hAnsi="Century"/>
        </w:rPr>
        <w:t xml:space="preserve"> (punctuation and citations omitted).  As such, that court continued, “The </w:t>
      </w:r>
      <w:r>
        <w:rPr>
          <w:rFonts w:ascii="Century" w:hAnsi="Century"/>
          <w:i/>
        </w:rPr>
        <w:t>predominant majority rule</w:t>
      </w:r>
      <w:r>
        <w:rPr>
          <w:rFonts w:ascii="Century" w:hAnsi="Century"/>
        </w:rPr>
        <w:t xml:space="preserve"> is that the insurer must accord the interest of its insured the same faithful consideration it gives its own interest.  While this rule will not be as simple to apply in differing circumstances [as other possible alternatives], we think it states the duty owed by any prudent insurer to refrain from taking an unreasonable risk on behalf of its insured . . . .”  </w:t>
      </w:r>
      <w:r>
        <w:rPr>
          <w:rFonts w:ascii="Century" w:hAnsi="Century"/>
          <w:i/>
        </w:rPr>
        <w:t>Id.</w:t>
      </w:r>
      <w:r>
        <w:rPr>
          <w:rFonts w:ascii="Century" w:hAnsi="Century"/>
        </w:rPr>
        <w:t xml:space="preserve"> at 96-97, </w:t>
      </w:r>
      <w:r>
        <w:rPr>
          <w:rFonts w:ascii="Century" w:hAnsi="Century" w:cs="Arial"/>
        </w:rPr>
        <w:t>156 S.E.2d at 812</w:t>
      </w:r>
      <w:r>
        <w:rPr>
          <w:rFonts w:ascii="Century" w:hAnsi="Century"/>
        </w:rPr>
        <w:t xml:space="preserve"> (citations omitted) (emphasis in original). </w:t>
      </w:r>
    </w:p>
  </w:endnote>
  <w:endnote w:id="1135">
    <w:p>
      <w:pPr>
        <w:pStyle w:val="EndnoteText"/>
        <w:jc w:val="both"/>
      </w:pPr>
      <w:r>
        <w:rPr>
          <w:rStyle w:val="EndnoteReference"/>
          <w:rFonts w:ascii="Century" w:hAnsi="Century"/>
        </w:rPr>
        <w:endnoteRef/>
      </w:r>
      <w:r>
        <w:rPr>
          <w:rFonts w:ascii="Century" w:hAnsi="Century"/>
          <w:i/>
        </w:rPr>
        <w:t xml:space="preserve"> Holt</w:t>
      </w:r>
      <w:r>
        <w:rPr>
          <w:rFonts w:ascii="Century" w:hAnsi="Century"/>
        </w:rPr>
        <w:t xml:space="preserve">, 262 Ga. at 269, </w:t>
      </w:r>
      <w:r>
        <w:rPr>
          <w:rFonts w:ascii="Century" w:hAnsi="Century" w:cs="Arial"/>
        </w:rPr>
        <w:t>416 S.E.2d at 276</w:t>
      </w:r>
      <w:r>
        <w:rPr>
          <w:rFonts w:ascii="Century" w:hAnsi="Century"/>
        </w:rPr>
        <w:t>.</w:t>
      </w:r>
    </w:p>
  </w:endnote>
  <w:endnote w:id="1136">
    <w:p>
      <w:pPr>
        <w:pStyle w:val="EndnoteText"/>
        <w:jc w:val="both"/>
      </w:pPr>
      <w:r>
        <w:rPr>
          <w:rStyle w:val="EndnoteReference"/>
          <w:rFonts w:ascii="Century" w:hAnsi="Century"/>
        </w:rPr>
        <w:endnoteRef/>
      </w:r>
      <w:r>
        <w:rPr>
          <w:rFonts w:ascii="Century" w:hAnsi="Century"/>
        </w:rPr>
        <w:t xml:space="preserve"> </w:t>
      </w:r>
      <w:r>
        <w:rPr>
          <w:rFonts w:ascii="Century" w:hAnsi="Century"/>
          <w:i/>
        </w:rPr>
        <w:t>Id.</w:t>
      </w:r>
    </w:p>
  </w:endnote>
  <w:endnote w:id="1137">
    <w:p>
      <w:pPr>
        <w:pStyle w:val="EndnoteText"/>
        <w:jc w:val="both"/>
      </w:pPr>
      <w:r>
        <w:rPr>
          <w:rStyle w:val="EndnoteReference"/>
          <w:rFonts w:ascii="Century" w:hAnsi="Century"/>
        </w:rPr>
        <w:endnoteRef/>
      </w:r>
      <w:r>
        <w:rPr>
          <w:rFonts w:ascii="Century" w:hAnsi="Century"/>
        </w:rPr>
        <w:t xml:space="preserve"> </w:t>
      </w:r>
      <w:r>
        <w:rPr>
          <w:rFonts w:ascii="Century" w:hAnsi="Century"/>
          <w:i/>
        </w:rPr>
        <w:t>Id.</w:t>
      </w:r>
      <w:r>
        <w:rPr>
          <w:rFonts w:ascii="Century" w:hAnsi="Century"/>
        </w:rPr>
        <w:t xml:space="preserve"> at 268, </w:t>
      </w:r>
      <w:r>
        <w:rPr>
          <w:rFonts w:ascii="Century" w:hAnsi="Century" w:cs="Arial"/>
        </w:rPr>
        <w:t>416 S.E.2d at 276</w:t>
      </w:r>
      <w:r>
        <w:rPr>
          <w:rFonts w:ascii="Century" w:hAnsi="Century"/>
        </w:rPr>
        <w:t>.</w:t>
      </w:r>
    </w:p>
  </w:endnote>
  <w:endnote w:id="1138">
    <w:p>
      <w:pPr>
        <w:pStyle w:val="EndnoteText"/>
        <w:jc w:val="both"/>
      </w:pPr>
      <w:r>
        <w:rPr>
          <w:rStyle w:val="EndnoteReference"/>
          <w:rFonts w:ascii="Century" w:hAnsi="Century"/>
        </w:rPr>
        <w:endnoteRef/>
      </w:r>
      <w:r>
        <w:rPr>
          <w:rFonts w:ascii="Century" w:hAnsi="Century"/>
        </w:rPr>
        <w:t xml:space="preserve"> </w:t>
      </w:r>
      <w:r>
        <w:rPr>
          <w:rFonts w:ascii="Century" w:hAnsi="Century"/>
          <w:i/>
        </w:rPr>
        <w:t>Id.</w:t>
      </w:r>
      <w:r>
        <w:rPr>
          <w:rFonts w:ascii="Century" w:hAnsi="Century"/>
        </w:rPr>
        <w:t xml:space="preserve"> at 269, </w:t>
      </w:r>
      <w:r>
        <w:rPr>
          <w:rFonts w:ascii="Century" w:hAnsi="Century" w:cs="Arial"/>
        </w:rPr>
        <w:t>416 S.E.2d at 276</w:t>
      </w:r>
      <w:r>
        <w:rPr>
          <w:rFonts w:ascii="Century" w:hAnsi="Century"/>
        </w:rPr>
        <w:t>.</w:t>
      </w:r>
    </w:p>
  </w:endnote>
  <w:endnote w:id="1139">
    <w:p>
      <w:pPr>
        <w:pStyle w:val="EndnoteText"/>
        <w:jc w:val="both"/>
      </w:pPr>
      <w:r>
        <w:rPr>
          <w:rStyle w:val="EndnoteReference"/>
          <w:rFonts w:ascii="Century" w:hAnsi="Century"/>
        </w:rPr>
        <w:endnoteRef/>
      </w:r>
      <w:r>
        <w:rPr>
          <w:rFonts w:ascii="Century" w:hAnsi="Century"/>
        </w:rPr>
        <w:t xml:space="preserve"> </w:t>
      </w:r>
      <w:r>
        <w:rPr>
          <w:rFonts w:ascii="Century" w:hAnsi="Century" w:cs="Arial"/>
        </w:rPr>
        <w:t xml:space="preserve">Wikipedia.com, </w:t>
      </w:r>
      <w:r>
        <w:rPr>
          <w:rFonts w:ascii="Century" w:hAnsi="Century" w:cs="Arial"/>
          <w:i/>
        </w:rPr>
        <w:t>The road to hell is paved with good intentions</w:t>
      </w:r>
      <w:r>
        <w:rPr>
          <w:rFonts w:ascii="Century" w:hAnsi="Century" w:cs="Arial"/>
        </w:rPr>
        <w:t>, W</w:t>
      </w:r>
      <w:r>
        <w:rPr>
          <w:rFonts w:ascii="Century" w:hAnsi="Century" w:cs="Arial"/>
          <w:smallCaps/>
        </w:rPr>
        <w:t xml:space="preserve">ikipedia, </w:t>
      </w:r>
      <w:r>
        <w:rPr>
          <w:rFonts w:ascii="Century" w:hAnsi="Century" w:cs="Arial"/>
        </w:rPr>
        <w:t>(March 18, 2014, 1:54 PM), http://en.wikipedia.org/wiki/The _road_to_hell_is_paved_with_good_intentions</w:t>
      </w:r>
      <w:r>
        <w:rPr>
          <w:rFonts w:ascii="Century" w:hAnsi="Century"/>
        </w:rPr>
        <w:t>.</w:t>
      </w:r>
    </w:p>
  </w:endnote>
  <w:endnote w:id="1140">
    <w:p>
      <w:pPr>
        <w:pStyle w:val="EndnoteText"/>
        <w:jc w:val="both"/>
      </w:pPr>
      <w:r>
        <w:rPr>
          <w:rStyle w:val="EndnoteReference"/>
          <w:rFonts w:ascii="Century" w:hAnsi="Century"/>
        </w:rPr>
        <w:endnoteRef/>
      </w:r>
      <w:r>
        <w:rPr>
          <w:rFonts w:ascii="Century" w:hAnsi="Century"/>
        </w:rPr>
        <w:t xml:space="preserve"> </w:t>
      </w:r>
      <w:r>
        <w:rPr>
          <w:rFonts w:ascii="Century" w:hAnsi="Century"/>
          <w:i/>
        </w:rPr>
        <w:t>Herring v. Dunning</w:t>
      </w:r>
      <w:r>
        <w:rPr>
          <w:rFonts w:ascii="Century" w:hAnsi="Century"/>
        </w:rPr>
        <w:t xml:space="preserve">, 213 Ga. App. 695, </w:t>
      </w:r>
      <w:r>
        <w:rPr>
          <w:rFonts w:ascii="Century" w:hAnsi="Century" w:cs="Arial"/>
        </w:rPr>
        <w:t>446 S.E.2d 199</w:t>
      </w:r>
      <w:r>
        <w:rPr>
          <w:rFonts w:ascii="Century" w:hAnsi="Century"/>
        </w:rPr>
        <w:t xml:space="preserve"> (1994).</w:t>
      </w:r>
    </w:p>
  </w:endnote>
  <w:endnote w:id="1141">
    <w:p>
      <w:pPr>
        <w:pStyle w:val="EndnoteText"/>
        <w:jc w:val="both"/>
      </w:pPr>
      <w:r>
        <w:rPr>
          <w:rStyle w:val="EndnoteReference"/>
          <w:rFonts w:ascii="Century" w:hAnsi="Century"/>
        </w:rPr>
        <w:endnoteRef/>
      </w:r>
      <w:r>
        <w:rPr>
          <w:rFonts w:ascii="Century" w:hAnsi="Century"/>
        </w:rPr>
        <w:t xml:space="preserve"> </w:t>
      </w:r>
      <w:r>
        <w:rPr>
          <w:rFonts w:ascii="Century" w:hAnsi="Century"/>
          <w:i/>
        </w:rPr>
        <w:t>Cotton States Mut. Ins. Co. v. Brightman</w:t>
      </w:r>
      <w:r>
        <w:rPr>
          <w:rFonts w:ascii="Century" w:hAnsi="Century"/>
        </w:rPr>
        <w:t xml:space="preserve">, 276 Ga. 683, </w:t>
      </w:r>
      <w:r>
        <w:rPr>
          <w:rFonts w:ascii="Century" w:hAnsi="Century" w:cs="Arial"/>
        </w:rPr>
        <w:t>580 S.E.2d 519</w:t>
      </w:r>
      <w:r>
        <w:rPr>
          <w:rFonts w:ascii="Century" w:hAnsi="Century"/>
        </w:rPr>
        <w:t xml:space="preserve"> (2003).</w:t>
      </w:r>
    </w:p>
  </w:endnote>
  <w:endnote w:id="1142">
    <w:p>
      <w:pPr>
        <w:pStyle w:val="EndnoteText"/>
        <w:jc w:val="both"/>
      </w:pPr>
      <w:r>
        <w:rPr>
          <w:rStyle w:val="EndnoteReference"/>
          <w:rFonts w:ascii="Century" w:hAnsi="Century"/>
        </w:rPr>
        <w:endnoteRef/>
      </w:r>
      <w:r>
        <w:rPr>
          <w:rFonts w:ascii="Century" w:hAnsi="Century"/>
        </w:rPr>
        <w:t xml:space="preserve"> </w:t>
      </w:r>
      <w:r>
        <w:rPr>
          <w:rFonts w:ascii="Century" w:hAnsi="Century"/>
          <w:i/>
        </w:rPr>
        <w:t>Id.</w:t>
      </w:r>
      <w:r>
        <w:rPr>
          <w:rFonts w:ascii="Century" w:hAnsi="Century"/>
        </w:rPr>
        <w:t xml:space="preserve"> at 685, </w:t>
      </w:r>
      <w:r>
        <w:rPr>
          <w:rFonts w:ascii="Century" w:hAnsi="Century" w:cs="Arial"/>
        </w:rPr>
        <w:t>580 S.E.2d at 521</w:t>
      </w:r>
      <w:r>
        <w:rPr>
          <w:rFonts w:ascii="Century" w:hAnsi="Century"/>
        </w:rPr>
        <w:t>.</w:t>
      </w:r>
    </w:p>
  </w:endnote>
  <w:endnote w:id="1143">
    <w:p>
      <w:pPr>
        <w:pStyle w:val="EndnoteText"/>
        <w:jc w:val="both"/>
      </w:pPr>
      <w:r>
        <w:rPr>
          <w:rStyle w:val="EndnoteReference"/>
          <w:rFonts w:ascii="Century" w:hAnsi="Century"/>
        </w:rPr>
        <w:endnoteRef/>
      </w:r>
      <w:r>
        <w:rPr>
          <w:rFonts w:ascii="Century" w:hAnsi="Century"/>
        </w:rPr>
        <w:t xml:space="preserve"> </w:t>
      </w:r>
      <w:r>
        <w:rPr>
          <w:rFonts w:ascii="Century" w:hAnsi="Century"/>
          <w:i/>
        </w:rPr>
        <w:t>Id.</w:t>
      </w:r>
    </w:p>
  </w:endnote>
  <w:endnote w:id="1144">
    <w:p>
      <w:pPr>
        <w:pStyle w:val="EndnoteText"/>
        <w:jc w:val="both"/>
      </w:pPr>
      <w:r>
        <w:rPr>
          <w:rStyle w:val="EndnoteReference"/>
          <w:rFonts w:ascii="Century" w:hAnsi="Century"/>
        </w:rPr>
        <w:endnoteRef/>
      </w:r>
      <w:r>
        <w:rPr>
          <w:rFonts w:ascii="Century" w:hAnsi="Century"/>
        </w:rPr>
        <w:t xml:space="preserve"> </w:t>
      </w:r>
      <w:r>
        <w:rPr>
          <w:rFonts w:ascii="Century" w:hAnsi="Century"/>
          <w:i/>
        </w:rPr>
        <w:t>Id.</w:t>
      </w:r>
      <w:r>
        <w:rPr>
          <w:rFonts w:ascii="Century" w:hAnsi="Century"/>
        </w:rPr>
        <w:t xml:space="preserve"> at 683, </w:t>
      </w:r>
      <w:r>
        <w:rPr>
          <w:rFonts w:ascii="Century" w:hAnsi="Century" w:cs="Arial"/>
        </w:rPr>
        <w:t>580 S.E.2d at 520</w:t>
      </w:r>
      <w:r>
        <w:rPr>
          <w:rFonts w:ascii="Century" w:hAnsi="Century"/>
        </w:rPr>
        <w:t>.</w:t>
      </w:r>
    </w:p>
  </w:endnote>
  <w:endnote w:id="1145">
    <w:p>
      <w:pPr>
        <w:pStyle w:val="EndnoteText"/>
        <w:jc w:val="both"/>
      </w:pPr>
      <w:r>
        <w:rPr>
          <w:rStyle w:val="EndnoteReference"/>
          <w:rFonts w:ascii="Century" w:hAnsi="Century"/>
        </w:rPr>
        <w:endnoteRef/>
      </w:r>
      <w:r>
        <w:rPr>
          <w:rFonts w:ascii="Century" w:hAnsi="Century"/>
        </w:rPr>
        <w:t xml:space="preserve"> </w:t>
      </w:r>
      <w:r>
        <w:rPr>
          <w:rFonts w:ascii="Century" w:hAnsi="Century"/>
          <w:i/>
        </w:rPr>
        <w:t>Id.</w:t>
      </w:r>
      <w:r>
        <w:rPr>
          <w:rFonts w:ascii="Century" w:hAnsi="Century"/>
        </w:rPr>
        <w:t xml:space="preserve"> at 686, </w:t>
      </w:r>
      <w:r>
        <w:rPr>
          <w:rFonts w:ascii="Century" w:hAnsi="Century" w:cs="Arial"/>
        </w:rPr>
        <w:t>580 S.E.2d at 522</w:t>
      </w:r>
      <w:r>
        <w:rPr>
          <w:rFonts w:ascii="Century" w:hAnsi="Century"/>
        </w:rPr>
        <w:t>.</w:t>
      </w:r>
    </w:p>
  </w:endnote>
  <w:endnote w:id="1146">
    <w:p>
      <w:pPr>
        <w:pStyle w:val="EndnoteText"/>
        <w:jc w:val="both"/>
      </w:pPr>
      <w:r>
        <w:rPr>
          <w:rStyle w:val="EndnoteReference"/>
          <w:rFonts w:ascii="Century" w:hAnsi="Century"/>
        </w:rPr>
        <w:endnoteRef/>
      </w:r>
      <w:r>
        <w:rPr>
          <w:rFonts w:ascii="Century" w:hAnsi="Century"/>
        </w:rPr>
        <w:t xml:space="preserve"> “The rationale is that the interests of the insurer and insured diverge when a plaintiff offers to settle a claim for the limits of the insurance policy.  The insured is interested in protecting itself against an excess judgment; the insurer has less incentive to settle because litigation may result in a verdict below the policy limits or a defense verdict.”  </w:t>
      </w:r>
      <w:r>
        <w:rPr>
          <w:rFonts w:ascii="Century" w:hAnsi="Century"/>
          <w:i/>
        </w:rPr>
        <w:t>Id.</w:t>
      </w:r>
      <w:r>
        <w:rPr>
          <w:rFonts w:ascii="Century" w:hAnsi="Century"/>
        </w:rPr>
        <w:t xml:space="preserve"> at 685, </w:t>
      </w:r>
      <w:r>
        <w:rPr>
          <w:rFonts w:ascii="Century" w:hAnsi="Century" w:cs="Arial"/>
        </w:rPr>
        <w:t>580 S.E.2d at 521</w:t>
      </w:r>
      <w:r>
        <w:rPr>
          <w:rFonts w:ascii="Century" w:hAnsi="Century"/>
        </w:rPr>
        <w:t>.</w:t>
      </w:r>
    </w:p>
  </w:endnote>
  <w:endnote w:id="1147">
    <w:p>
      <w:pPr>
        <w:pStyle w:val="EndnoteText"/>
        <w:jc w:val="both"/>
      </w:pPr>
      <w:r>
        <w:rPr>
          <w:rStyle w:val="EndnoteReference"/>
          <w:rFonts w:ascii="Century" w:hAnsi="Century"/>
        </w:rPr>
        <w:endnoteRef/>
      </w:r>
      <w:r>
        <w:rPr>
          <w:rFonts w:ascii="Century" w:hAnsi="Century"/>
        </w:rPr>
        <w:t xml:space="preserve"> </w:t>
      </w:r>
      <w:r>
        <w:rPr>
          <w:rFonts w:ascii="Century" w:hAnsi="Century"/>
          <w:i/>
        </w:rPr>
        <w:t>Id.</w:t>
      </w:r>
      <w:r>
        <w:rPr>
          <w:rFonts w:ascii="Century" w:hAnsi="Century"/>
        </w:rPr>
        <w:t xml:space="preserve"> at 686, </w:t>
      </w:r>
      <w:r>
        <w:rPr>
          <w:rFonts w:ascii="Century" w:hAnsi="Century" w:cs="Arial"/>
        </w:rPr>
        <w:t>580 S.E.2d at 522</w:t>
      </w:r>
      <w:r>
        <w:rPr>
          <w:rFonts w:ascii="Century" w:hAnsi="Century"/>
        </w:rPr>
        <w:t>.</w:t>
      </w:r>
    </w:p>
  </w:endnote>
  <w:endnote w:id="1148">
    <w:p>
      <w:pPr>
        <w:pStyle w:val="EndnoteText"/>
        <w:jc w:val="both"/>
      </w:pPr>
      <w:r>
        <w:rPr>
          <w:rStyle w:val="EndnoteReference"/>
          <w:rFonts w:ascii="Century" w:hAnsi="Century"/>
        </w:rPr>
        <w:endnoteRef/>
      </w:r>
      <w:r>
        <w:rPr>
          <w:rFonts w:ascii="Century" w:hAnsi="Century"/>
        </w:rPr>
        <w:t xml:space="preserve"> </w:t>
      </w:r>
      <w:r>
        <w:rPr>
          <w:rFonts w:ascii="Century" w:hAnsi="Century"/>
          <w:i/>
        </w:rPr>
        <w:t xml:space="preserve">Id.  </w:t>
      </w:r>
      <w:r>
        <w:rPr>
          <w:rFonts w:ascii="Century" w:hAnsi="Century"/>
        </w:rPr>
        <w:t>(emphasis added).</w:t>
      </w:r>
    </w:p>
  </w:endnote>
  <w:endnote w:id="1149">
    <w:p>
      <w:pPr>
        <w:pStyle w:val="EndnoteText"/>
        <w:jc w:val="both"/>
      </w:pPr>
      <w:r>
        <w:rPr>
          <w:rStyle w:val="EndnoteReference"/>
          <w:rFonts w:ascii="Century" w:hAnsi="Century"/>
        </w:rPr>
        <w:endnoteRef/>
      </w:r>
      <w:r>
        <w:rPr>
          <w:rFonts w:ascii="Century" w:hAnsi="Century"/>
        </w:rPr>
        <w:t xml:space="preserve"> </w:t>
      </w:r>
      <w:r>
        <w:rPr>
          <w:rFonts w:ascii="Century" w:hAnsi="Century"/>
          <w:i/>
        </w:rPr>
        <w:t>Id.</w:t>
      </w:r>
      <w:r>
        <w:rPr>
          <w:rFonts w:ascii="Century" w:hAnsi="Century"/>
        </w:rPr>
        <w:t xml:space="preserve"> at 686, </w:t>
      </w:r>
      <w:r>
        <w:rPr>
          <w:rFonts w:ascii="Century" w:hAnsi="Century" w:cs="Arial"/>
        </w:rPr>
        <w:t>580 S.E.2d at 522</w:t>
      </w:r>
      <w:r>
        <w:rPr>
          <w:rFonts w:ascii="Century" w:hAnsi="Century"/>
        </w:rPr>
        <w:t>.</w:t>
      </w:r>
    </w:p>
  </w:endnote>
  <w:endnote w:id="1150">
    <w:p>
      <w:pPr>
        <w:pStyle w:val="EndnoteText"/>
        <w:jc w:val="both"/>
      </w:pPr>
      <w:r>
        <w:rPr>
          <w:rStyle w:val="EndnoteReference"/>
          <w:rFonts w:ascii="Century" w:hAnsi="Century"/>
        </w:rPr>
        <w:endnoteRef/>
      </w:r>
      <w:r>
        <w:rPr>
          <w:rFonts w:ascii="Century" w:hAnsi="Century"/>
        </w:rPr>
        <w:t xml:space="preserve"> </w:t>
      </w:r>
      <w:r>
        <w:rPr>
          <w:rFonts w:ascii="Century" w:hAnsi="Century"/>
          <w:i/>
        </w:rPr>
        <w:t>Id.</w:t>
      </w:r>
    </w:p>
  </w:endnote>
  <w:endnote w:id="1151">
    <w:p>
      <w:pPr>
        <w:pStyle w:val="EndnoteText"/>
        <w:jc w:val="both"/>
      </w:pPr>
      <w:r>
        <w:rPr>
          <w:rStyle w:val="EndnoteReference"/>
          <w:rFonts w:ascii="Century" w:hAnsi="Century"/>
        </w:rPr>
        <w:endnoteRef/>
      </w:r>
      <w:r>
        <w:rPr>
          <w:rFonts w:ascii="Century" w:hAnsi="Century"/>
        </w:rPr>
        <w:t xml:space="preserve"> </w:t>
      </w:r>
      <w:r>
        <w:rPr>
          <w:rFonts w:ascii="Century" w:hAnsi="Century"/>
          <w:i/>
        </w:rPr>
        <w:t>Id.</w:t>
      </w:r>
    </w:p>
  </w:endnote>
  <w:endnote w:id="1152">
    <w:p>
      <w:pPr>
        <w:pStyle w:val="EndnoteText"/>
        <w:jc w:val="both"/>
      </w:pPr>
      <w:r>
        <w:rPr>
          <w:rStyle w:val="EndnoteReference"/>
          <w:rFonts w:ascii="Century" w:hAnsi="Century"/>
        </w:rPr>
        <w:endnoteRef/>
      </w:r>
      <w:r>
        <w:rPr>
          <w:rFonts w:ascii="Century" w:hAnsi="Century"/>
        </w:rPr>
        <w:t xml:space="preserve"> </w:t>
      </w:r>
      <w:r>
        <w:rPr>
          <w:rFonts w:ascii="Century" w:hAnsi="Century"/>
          <w:i/>
        </w:rPr>
        <w:t>Frickey v. Jones</w:t>
      </w:r>
      <w:r>
        <w:rPr>
          <w:rFonts w:ascii="Century" w:hAnsi="Century"/>
        </w:rPr>
        <w:t xml:space="preserve">, 280 Ga. 573, </w:t>
      </w:r>
      <w:r>
        <w:rPr>
          <w:rFonts w:ascii="Century" w:hAnsi="Century" w:cs="Arial"/>
        </w:rPr>
        <w:t>630 S.E.2d 374</w:t>
      </w:r>
      <w:r>
        <w:rPr>
          <w:rFonts w:ascii="Century" w:hAnsi="Century"/>
        </w:rPr>
        <w:t xml:space="preserve"> (2006).</w:t>
      </w:r>
    </w:p>
  </w:endnote>
  <w:endnote w:id="1153">
    <w:p>
      <w:pPr>
        <w:pStyle w:val="EndnoteText"/>
        <w:jc w:val="both"/>
      </w:pPr>
      <w:r>
        <w:rPr>
          <w:rStyle w:val="EndnoteReference"/>
          <w:rFonts w:ascii="Century" w:hAnsi="Century"/>
        </w:rPr>
        <w:endnoteRef/>
      </w:r>
      <w:r>
        <w:rPr>
          <w:rFonts w:ascii="Century" w:hAnsi="Century"/>
        </w:rPr>
        <w:t xml:space="preserve"> </w:t>
      </w:r>
      <w:r>
        <w:rPr>
          <w:rFonts w:ascii="Century" w:hAnsi="Century"/>
          <w:i/>
        </w:rPr>
        <w:t>Id.</w:t>
      </w:r>
      <w:r>
        <w:rPr>
          <w:rFonts w:ascii="Century" w:hAnsi="Century"/>
        </w:rPr>
        <w:t xml:space="preserve"> at 575-576, </w:t>
      </w:r>
      <w:r>
        <w:rPr>
          <w:rFonts w:ascii="Century" w:hAnsi="Century" w:cs="Arial"/>
        </w:rPr>
        <w:t>630 S.E.2d at 376</w:t>
      </w:r>
      <w:r>
        <w:rPr>
          <w:rFonts w:ascii="Century" w:hAnsi="Century"/>
        </w:rPr>
        <w:t>.</w:t>
      </w:r>
    </w:p>
  </w:endnote>
  <w:endnote w:id="1154">
    <w:p>
      <w:pPr>
        <w:pStyle w:val="EndnoteText"/>
        <w:jc w:val="both"/>
      </w:pPr>
      <w:r>
        <w:rPr>
          <w:rStyle w:val="EndnoteReference"/>
          <w:rFonts w:ascii="Century" w:hAnsi="Century"/>
        </w:rPr>
        <w:endnoteRef/>
      </w:r>
      <w:r>
        <w:rPr>
          <w:rFonts w:ascii="Century" w:hAnsi="Century"/>
        </w:rPr>
        <w:t xml:space="preserve"> </w:t>
      </w:r>
      <w:r>
        <w:rPr>
          <w:rFonts w:ascii="Century" w:hAnsi="Century"/>
          <w:i/>
        </w:rPr>
        <w:t>See</w:t>
      </w:r>
      <w:r>
        <w:rPr>
          <w:rFonts w:ascii="Century" w:hAnsi="Century"/>
        </w:rPr>
        <w:t xml:space="preserve">, </w:t>
      </w:r>
      <w:r>
        <w:rPr>
          <w:rFonts w:ascii="Century" w:hAnsi="Century"/>
          <w:i/>
        </w:rPr>
        <w:t>e.g.</w:t>
      </w:r>
      <w:r>
        <w:rPr>
          <w:rFonts w:ascii="Century" w:hAnsi="Century"/>
        </w:rPr>
        <w:t xml:space="preserve">, </w:t>
      </w:r>
      <w:r>
        <w:rPr>
          <w:rFonts w:ascii="Century" w:hAnsi="Century"/>
          <w:i/>
        </w:rPr>
        <w:t>Wyatt v. House</w:t>
      </w:r>
      <w:r>
        <w:rPr>
          <w:rFonts w:ascii="Century" w:hAnsi="Century"/>
        </w:rPr>
        <w:t xml:space="preserve">, 287 Ga. App. 739, </w:t>
      </w:r>
      <w:r>
        <w:rPr>
          <w:rFonts w:ascii="Century" w:hAnsi="Century" w:cs="Arial"/>
        </w:rPr>
        <w:t>652 S.E.2d 627</w:t>
      </w:r>
      <w:r>
        <w:rPr>
          <w:rFonts w:ascii="Century" w:hAnsi="Century"/>
        </w:rPr>
        <w:t xml:space="preserve"> (2007) (overruled on other grounds); </w:t>
      </w:r>
      <w:r>
        <w:rPr>
          <w:rFonts w:ascii="Century" w:hAnsi="Century"/>
          <w:i/>
        </w:rPr>
        <w:t>Anderson v. Benton</w:t>
      </w:r>
      <w:r>
        <w:rPr>
          <w:rFonts w:ascii="Century" w:hAnsi="Century"/>
        </w:rPr>
        <w:t xml:space="preserve">, 295 Ga. App. 851, </w:t>
      </w:r>
      <w:r>
        <w:rPr>
          <w:rFonts w:ascii="Century" w:hAnsi="Century" w:cs="Arial"/>
        </w:rPr>
        <w:t>673 S.E.2d 338</w:t>
      </w:r>
      <w:r>
        <w:rPr>
          <w:rFonts w:ascii="Century" w:hAnsi="Century"/>
        </w:rPr>
        <w:t xml:space="preserve"> (2009).  Interestingly, while citing the </w:t>
      </w:r>
      <w:r>
        <w:rPr>
          <w:rFonts w:ascii="Century" w:hAnsi="Century"/>
          <w:i/>
        </w:rPr>
        <w:t>Herring</w:t>
      </w:r>
      <w:r>
        <w:rPr>
          <w:rFonts w:ascii="Century" w:hAnsi="Century"/>
        </w:rPr>
        <w:t xml:space="preserve"> decision, the </w:t>
      </w:r>
      <w:r>
        <w:rPr>
          <w:rFonts w:ascii="Century" w:hAnsi="Century"/>
          <w:i/>
        </w:rPr>
        <w:t>Wyatt</w:t>
      </w:r>
      <w:r>
        <w:rPr>
          <w:rFonts w:ascii="Century" w:hAnsi="Century"/>
        </w:rPr>
        <w:t xml:space="preserve"> court made no mention of </w:t>
      </w:r>
      <w:r>
        <w:rPr>
          <w:rFonts w:ascii="Century" w:hAnsi="Century"/>
          <w:i/>
        </w:rPr>
        <w:t>Frickey</w:t>
      </w:r>
      <w:r>
        <w:rPr>
          <w:rFonts w:ascii="Century" w:hAnsi="Century"/>
        </w:rPr>
        <w:t xml:space="preserve"> despite employing essentially the same rationale.  </w:t>
      </w:r>
    </w:p>
  </w:endnote>
  <w:endnote w:id="1155">
    <w:p>
      <w:pPr>
        <w:pStyle w:val="EndnoteText"/>
        <w:jc w:val="both"/>
      </w:pPr>
      <w:r>
        <w:rPr>
          <w:rStyle w:val="EndnoteReference"/>
          <w:rFonts w:ascii="Century" w:hAnsi="Century"/>
        </w:rPr>
        <w:endnoteRef/>
      </w:r>
      <w:r>
        <w:rPr>
          <w:rFonts w:ascii="Century" w:hAnsi="Century"/>
        </w:rPr>
        <w:t xml:space="preserve"> A problem compounded by the Supreme Court’s reaffirmation of the </w:t>
      </w:r>
      <w:r>
        <w:rPr>
          <w:rFonts w:ascii="Century" w:hAnsi="Century"/>
          <w:i/>
        </w:rPr>
        <w:t>Frickey</w:t>
      </w:r>
      <w:r>
        <w:rPr>
          <w:rFonts w:ascii="Century" w:hAnsi="Century"/>
        </w:rPr>
        <w:t xml:space="preserve"> decision in </w:t>
      </w:r>
      <w:r>
        <w:rPr>
          <w:rFonts w:ascii="Century" w:hAnsi="Century"/>
          <w:i/>
        </w:rPr>
        <w:t>McReynolds v. Krebs</w:t>
      </w:r>
      <w:r>
        <w:rPr>
          <w:rFonts w:ascii="Century" w:hAnsi="Century"/>
        </w:rPr>
        <w:t xml:space="preserve">, 290 Ga. 850, </w:t>
      </w:r>
      <w:r>
        <w:rPr>
          <w:rFonts w:ascii="Century" w:hAnsi="Century" w:cs="Arial"/>
        </w:rPr>
        <w:t>725 S.E.2d 584</w:t>
      </w:r>
      <w:r>
        <w:rPr>
          <w:rFonts w:ascii="Century" w:hAnsi="Century"/>
        </w:rPr>
        <w:t xml:space="preserve"> (2012).  If nothing else, Justice Melton’s dissent citing the </w:t>
      </w:r>
      <w:r>
        <w:rPr>
          <w:rFonts w:ascii="Century" w:hAnsi="Century"/>
          <w:i/>
        </w:rPr>
        <w:t>Herring</w:t>
      </w:r>
      <w:r>
        <w:rPr>
          <w:rFonts w:ascii="Century" w:hAnsi="Century"/>
        </w:rPr>
        <w:t xml:space="preserve"> decision while arguing for a more measured analysis (and enforcement of the alleged settlement) illustrates the continued interplay between these decisions.</w:t>
      </w:r>
    </w:p>
  </w:endnote>
  <w:endnote w:id="1156">
    <w:p>
      <w:pPr>
        <w:pStyle w:val="EndnoteText"/>
        <w:jc w:val="both"/>
      </w:pPr>
      <w:r>
        <w:rPr>
          <w:rStyle w:val="EndnoteReference"/>
          <w:rFonts w:ascii="Century" w:hAnsi="Century"/>
        </w:rPr>
        <w:endnoteRef/>
      </w:r>
      <w:r>
        <w:rPr>
          <w:rFonts w:ascii="Century" w:hAnsi="Century"/>
        </w:rPr>
        <w:t xml:space="preserve"> </w:t>
      </w:r>
      <w:r>
        <w:rPr>
          <w:rFonts w:ascii="Century" w:hAnsi="Century"/>
          <w:i/>
        </w:rPr>
        <w:t>Fortner v. Grange Mut. Cas. Co.</w:t>
      </w:r>
      <w:r>
        <w:rPr>
          <w:rFonts w:ascii="Century" w:hAnsi="Century"/>
        </w:rPr>
        <w:t xml:space="preserve">, 286 Ga. 189, </w:t>
      </w:r>
      <w:r>
        <w:rPr>
          <w:rFonts w:ascii="Century" w:hAnsi="Century" w:cs="Arial"/>
        </w:rPr>
        <w:t>686 S.E.2d 93</w:t>
      </w:r>
      <w:r>
        <w:rPr>
          <w:rFonts w:ascii="Century" w:hAnsi="Century"/>
        </w:rPr>
        <w:t xml:space="preserve"> (2009).</w:t>
      </w:r>
    </w:p>
  </w:endnote>
  <w:endnote w:id="1157">
    <w:p>
      <w:pPr>
        <w:pStyle w:val="EndnoteText"/>
        <w:jc w:val="both"/>
      </w:pPr>
      <w:r>
        <w:rPr>
          <w:rStyle w:val="EndnoteReference"/>
          <w:rFonts w:ascii="Century" w:hAnsi="Century"/>
        </w:rPr>
        <w:endnoteRef/>
      </w:r>
      <w:r>
        <w:rPr>
          <w:rFonts w:ascii="Century" w:hAnsi="Century"/>
        </w:rPr>
        <w:t xml:space="preserve"> </w:t>
      </w:r>
      <w:r>
        <w:rPr>
          <w:rFonts w:ascii="Century" w:hAnsi="Century"/>
          <w:i/>
        </w:rPr>
        <w:t xml:space="preserve">Id. at 189, </w:t>
      </w:r>
      <w:r>
        <w:rPr>
          <w:rFonts w:ascii="Century" w:hAnsi="Century" w:cs="Arial"/>
        </w:rPr>
        <w:t>686 S.E.2d at 94.</w:t>
      </w:r>
    </w:p>
  </w:endnote>
  <w:endnote w:id="1158">
    <w:p>
      <w:pPr>
        <w:pStyle w:val="EndnoteText"/>
        <w:jc w:val="both"/>
      </w:pPr>
      <w:r>
        <w:rPr>
          <w:rStyle w:val="EndnoteReference"/>
          <w:rFonts w:ascii="Century" w:hAnsi="Century"/>
        </w:rPr>
        <w:endnoteRef/>
      </w:r>
      <w:r>
        <w:rPr>
          <w:rFonts w:ascii="Century" w:hAnsi="Century"/>
        </w:rPr>
        <w:t xml:space="preserve"> </w:t>
      </w:r>
      <w:r>
        <w:rPr>
          <w:rFonts w:ascii="Century" w:hAnsi="Century"/>
          <w:i/>
        </w:rPr>
        <w:t>Fortner v. Grange Mutual Casualty Company</w:t>
      </w:r>
      <w:r>
        <w:rPr>
          <w:rFonts w:ascii="Century" w:hAnsi="Century"/>
        </w:rPr>
        <w:t xml:space="preserve">, 294 Ga. App. 671, 672, </w:t>
      </w:r>
      <w:r>
        <w:rPr>
          <w:rFonts w:ascii="Century" w:hAnsi="Century" w:cs="Arial"/>
        </w:rPr>
        <w:t>669 S.E.2d 658, 659</w:t>
      </w:r>
      <w:r>
        <w:rPr>
          <w:rFonts w:ascii="Century" w:hAnsi="Century"/>
        </w:rPr>
        <w:t xml:space="preserve"> (2008).</w:t>
      </w:r>
    </w:p>
  </w:endnote>
  <w:endnote w:id="1159">
    <w:p>
      <w:pPr>
        <w:pStyle w:val="EndnoteText"/>
        <w:jc w:val="both"/>
      </w:pPr>
      <w:r>
        <w:rPr>
          <w:rStyle w:val="EndnoteReference"/>
          <w:rFonts w:ascii="Century" w:hAnsi="Century"/>
        </w:rPr>
        <w:endnoteRef/>
      </w:r>
      <w:r>
        <w:rPr>
          <w:rFonts w:ascii="Century" w:hAnsi="Century"/>
        </w:rPr>
        <w:t xml:space="preserve"> </w:t>
      </w:r>
      <w:r>
        <w:rPr>
          <w:rFonts w:ascii="Century" w:hAnsi="Century"/>
          <w:i/>
        </w:rPr>
        <w:t xml:space="preserve">Fortner, </w:t>
      </w:r>
      <w:r>
        <w:rPr>
          <w:rFonts w:ascii="Century" w:hAnsi="Century"/>
        </w:rPr>
        <w:t xml:space="preserve">286 Ga. at 191, </w:t>
      </w:r>
      <w:r>
        <w:rPr>
          <w:rFonts w:ascii="Century" w:hAnsi="Century" w:cs="Arial"/>
        </w:rPr>
        <w:t>686 S.E.2d at 95</w:t>
      </w:r>
      <w:r>
        <w:rPr>
          <w:rFonts w:ascii="Century" w:hAnsi="Century"/>
        </w:rPr>
        <w:t>.</w:t>
      </w:r>
    </w:p>
  </w:endnote>
  <w:endnote w:id="1160">
    <w:p>
      <w:pPr>
        <w:pStyle w:val="EndnoteText"/>
        <w:jc w:val="both"/>
      </w:pPr>
      <w:r>
        <w:rPr>
          <w:rStyle w:val="EndnoteReference"/>
          <w:rFonts w:ascii="Century" w:hAnsi="Century"/>
        </w:rPr>
        <w:endnoteRef/>
      </w:r>
      <w:r>
        <w:rPr>
          <w:rFonts w:ascii="Century" w:hAnsi="Century"/>
        </w:rPr>
        <w:t xml:space="preserve"> Citing </w:t>
      </w:r>
      <w:r>
        <w:rPr>
          <w:rFonts w:ascii="Century" w:hAnsi="Century"/>
          <w:i/>
        </w:rPr>
        <w:t>Holt</w:t>
      </w:r>
      <w:r>
        <w:rPr>
          <w:rFonts w:ascii="Century" w:hAnsi="Century"/>
        </w:rPr>
        <w:t xml:space="preserve">, </w:t>
      </w:r>
      <w:r>
        <w:rPr>
          <w:rFonts w:ascii="Century" w:hAnsi="Century"/>
          <w:i/>
        </w:rPr>
        <w:t>Brightman</w:t>
      </w:r>
      <w:r>
        <w:rPr>
          <w:rFonts w:ascii="Century" w:hAnsi="Century"/>
        </w:rPr>
        <w:t xml:space="preserve">, and </w:t>
      </w:r>
      <w:r>
        <w:rPr>
          <w:rFonts w:ascii="Century" w:hAnsi="Century"/>
          <w:i/>
        </w:rPr>
        <w:t>Fortner</w:t>
      </w:r>
      <w:r>
        <w:rPr>
          <w:rFonts w:ascii="Century" w:hAnsi="Century"/>
        </w:rPr>
        <w:t xml:space="preserve">, the Court of Appeals reaffirmed this understanding quite recently in saying, “[Whether the insurer has acted in bad faith] is generally a jury issue requiring consideration of all the relevant circumstances including the insurer’s knowledge of facts relevant to liability and damages on the claim; the insurer’s diligence in conducting a reasonable investigation to discover the relevant facts; and the terms of the settlement offer and any response by the insurer.”  </w:t>
      </w:r>
      <w:r>
        <w:rPr>
          <w:rFonts w:ascii="Century" w:hAnsi="Century"/>
          <w:i/>
        </w:rPr>
        <w:t>Baker v. Huff</w:t>
      </w:r>
      <w:r>
        <w:rPr>
          <w:rFonts w:ascii="Century" w:hAnsi="Century"/>
        </w:rPr>
        <w:t xml:space="preserve">, 323 Ga. App. 357, 363-364, </w:t>
      </w:r>
      <w:r>
        <w:rPr>
          <w:rFonts w:ascii="Century" w:hAnsi="Century" w:cs="Arial"/>
        </w:rPr>
        <w:t>747 S.E.2d 1, 6</w:t>
      </w:r>
      <w:r>
        <w:rPr>
          <w:rFonts w:ascii="Century" w:hAnsi="Century"/>
        </w:rPr>
        <w:t xml:space="preserve"> (2013).</w:t>
      </w:r>
    </w:p>
  </w:endnote>
  <w:endnote w:id="1161">
    <w:p>
      <w:pPr>
        <w:pStyle w:val="EndnoteText"/>
        <w:jc w:val="both"/>
      </w:pPr>
      <w:r>
        <w:rPr>
          <w:rStyle w:val="EndnoteReference"/>
          <w:rFonts w:ascii="Century" w:hAnsi="Century"/>
        </w:rPr>
        <w:endnoteRef/>
      </w:r>
      <w:r>
        <w:rPr>
          <w:rFonts w:ascii="Century" w:hAnsi="Century"/>
        </w:rPr>
        <w:t xml:space="preserve"> And incentivized they certainly were, as the spate of cases on these matters coming out in recent years attests.  </w:t>
      </w:r>
      <w:r>
        <w:rPr>
          <w:rFonts w:ascii="Century" w:hAnsi="Century"/>
          <w:i/>
        </w:rPr>
        <w:t>See</w:t>
      </w:r>
      <w:r>
        <w:rPr>
          <w:rFonts w:ascii="Century" w:hAnsi="Century"/>
        </w:rPr>
        <w:t xml:space="preserve">, </w:t>
      </w:r>
      <w:r>
        <w:rPr>
          <w:rFonts w:ascii="Century" w:hAnsi="Century"/>
          <w:i/>
        </w:rPr>
        <w:t>e.g.</w:t>
      </w:r>
      <w:r>
        <w:rPr>
          <w:rFonts w:ascii="Century" w:hAnsi="Century"/>
        </w:rPr>
        <w:t xml:space="preserve">, </w:t>
      </w:r>
      <w:r>
        <w:rPr>
          <w:rFonts w:ascii="Century" w:hAnsi="Century"/>
          <w:i/>
        </w:rPr>
        <w:t>Penn v. Muktar</w:t>
      </w:r>
      <w:r>
        <w:rPr>
          <w:rFonts w:ascii="Century" w:hAnsi="Century"/>
        </w:rPr>
        <w:t xml:space="preserve">, 309 Ga. App. 849, </w:t>
      </w:r>
      <w:r>
        <w:rPr>
          <w:rFonts w:ascii="Century" w:hAnsi="Century" w:cs="Arial"/>
        </w:rPr>
        <w:t>711 S.E.2d 337</w:t>
      </w:r>
      <w:r>
        <w:rPr>
          <w:rFonts w:ascii="Century" w:hAnsi="Century"/>
        </w:rPr>
        <w:t xml:space="preserve"> (2011); </w:t>
      </w:r>
      <w:r>
        <w:rPr>
          <w:rFonts w:ascii="Century" w:hAnsi="Century"/>
          <w:i/>
        </w:rPr>
        <w:t>Smith v. Hall</w:t>
      </w:r>
      <w:r>
        <w:rPr>
          <w:rFonts w:ascii="Century" w:hAnsi="Century"/>
        </w:rPr>
        <w:t xml:space="preserve">, 311 Ga. App. 99, </w:t>
      </w:r>
      <w:r>
        <w:rPr>
          <w:rFonts w:ascii="Century" w:hAnsi="Century" w:cs="Arial"/>
        </w:rPr>
        <w:t xml:space="preserve">714 S.E.2d 742 </w:t>
      </w:r>
      <w:r>
        <w:rPr>
          <w:rFonts w:ascii="Century" w:hAnsi="Century"/>
        </w:rPr>
        <w:t xml:space="preserve">(2011); </w:t>
      </w:r>
      <w:r>
        <w:rPr>
          <w:rFonts w:ascii="Century" w:hAnsi="Century"/>
          <w:i/>
        </w:rPr>
        <w:t>Kitchens v. Ezell</w:t>
      </w:r>
      <w:r>
        <w:rPr>
          <w:rFonts w:ascii="Century" w:hAnsi="Century"/>
        </w:rPr>
        <w:t xml:space="preserve">, 315 Ga. App. 444, </w:t>
      </w:r>
      <w:r>
        <w:rPr>
          <w:rFonts w:ascii="Century" w:hAnsi="Century" w:cs="Arial"/>
        </w:rPr>
        <w:t>726 S.E.2d 461</w:t>
      </w:r>
      <w:r>
        <w:rPr>
          <w:rFonts w:ascii="Century" w:hAnsi="Century"/>
        </w:rPr>
        <w:t xml:space="preserve"> (2012); </w:t>
      </w:r>
      <w:r>
        <w:rPr>
          <w:rFonts w:ascii="Century" w:hAnsi="Century"/>
          <w:i/>
        </w:rPr>
        <w:t>Torres v. Elkin</w:t>
      </w:r>
      <w:r>
        <w:rPr>
          <w:rFonts w:ascii="Century" w:hAnsi="Century"/>
        </w:rPr>
        <w:t xml:space="preserve">, 317 Ga. App. 135, </w:t>
      </w:r>
      <w:r>
        <w:rPr>
          <w:rFonts w:ascii="Century" w:hAnsi="Century" w:cs="Arial"/>
        </w:rPr>
        <w:t>730 S.E.2d 518</w:t>
      </w:r>
      <w:r>
        <w:rPr>
          <w:rFonts w:ascii="Century" w:hAnsi="Century"/>
        </w:rPr>
        <w:t xml:space="preserve"> (2012); </w:t>
      </w:r>
      <w:r>
        <w:rPr>
          <w:rFonts w:ascii="Century" w:hAnsi="Century"/>
          <w:i/>
        </w:rPr>
        <w:t>Arnold v. Neal</w:t>
      </w:r>
      <w:r>
        <w:rPr>
          <w:rFonts w:ascii="Century" w:hAnsi="Century"/>
        </w:rPr>
        <w:t xml:space="preserve">, 320 Ga. App. 289, </w:t>
      </w:r>
      <w:r>
        <w:rPr>
          <w:rFonts w:ascii="Century" w:hAnsi="Century" w:cs="Arial"/>
        </w:rPr>
        <w:t>738 S.E.2d 707</w:t>
      </w:r>
      <w:r>
        <w:rPr>
          <w:rFonts w:ascii="Century" w:hAnsi="Century"/>
        </w:rPr>
        <w:t xml:space="preserve"> (2013); </w:t>
      </w:r>
      <w:r>
        <w:rPr>
          <w:rFonts w:ascii="Century" w:hAnsi="Century"/>
          <w:i/>
        </w:rPr>
        <w:t>Hansen v. Doan</w:t>
      </w:r>
      <w:r>
        <w:rPr>
          <w:rFonts w:ascii="Century" w:hAnsi="Century"/>
        </w:rPr>
        <w:t xml:space="preserve">, 320 Ga. App. 609, </w:t>
      </w:r>
      <w:r>
        <w:rPr>
          <w:rFonts w:ascii="Century" w:hAnsi="Century" w:cs="Arial"/>
        </w:rPr>
        <w:t>740 S.E.2d 338</w:t>
      </w:r>
      <w:r>
        <w:rPr>
          <w:rFonts w:ascii="Century" w:hAnsi="Century"/>
        </w:rPr>
        <w:t xml:space="preserve"> (2013); </w:t>
      </w:r>
      <w:r>
        <w:rPr>
          <w:rFonts w:ascii="Century" w:hAnsi="Century"/>
          <w:i/>
        </w:rPr>
        <w:t>Turner v. Williamson</w:t>
      </w:r>
      <w:r>
        <w:rPr>
          <w:rFonts w:ascii="Century" w:hAnsi="Century"/>
        </w:rPr>
        <w:t xml:space="preserve">, 321 Ga. App. 209, </w:t>
      </w:r>
      <w:r>
        <w:rPr>
          <w:rFonts w:ascii="Century" w:hAnsi="Century" w:cs="Arial"/>
        </w:rPr>
        <w:t>738 S.E.2d 712</w:t>
      </w:r>
      <w:r>
        <w:rPr>
          <w:rFonts w:ascii="Century" w:hAnsi="Century"/>
        </w:rPr>
        <w:t xml:space="preserve"> (2013); </w:t>
      </w:r>
      <w:r>
        <w:rPr>
          <w:rFonts w:ascii="Century" w:hAnsi="Century"/>
          <w:i/>
        </w:rPr>
        <w:t>Sherman v. Dickey</w:t>
      </w:r>
      <w:r>
        <w:rPr>
          <w:rFonts w:ascii="Century" w:hAnsi="Century"/>
        </w:rPr>
        <w:t xml:space="preserve">, 322 Ga. App. 228, </w:t>
      </w:r>
      <w:r>
        <w:rPr>
          <w:rFonts w:ascii="Century" w:hAnsi="Century" w:cs="Arial"/>
        </w:rPr>
        <w:t>744 S.E.2d 408</w:t>
      </w:r>
      <w:r>
        <w:rPr>
          <w:rFonts w:ascii="Century" w:hAnsi="Century"/>
        </w:rPr>
        <w:t xml:space="preserve"> (2013).</w:t>
      </w:r>
    </w:p>
  </w:endnote>
  <w:endnote w:id="1162">
    <w:p>
      <w:pPr>
        <w:pStyle w:val="EndnoteText"/>
        <w:jc w:val="both"/>
      </w:pPr>
      <w:r>
        <w:rPr>
          <w:rStyle w:val="EndnoteReference"/>
          <w:rFonts w:ascii="Century" w:hAnsi="Century"/>
        </w:rPr>
        <w:endnoteRef/>
      </w:r>
      <w:r>
        <w:rPr>
          <w:rFonts w:ascii="Century" w:hAnsi="Century"/>
        </w:rPr>
        <w:t xml:space="preserve">Courts in other jurisdictions have been considerably more forthright in recognizing and dealing with the problem.  </w:t>
      </w:r>
      <w:r>
        <w:rPr>
          <w:rFonts w:ascii="Century" w:hAnsi="Century"/>
          <w:i/>
        </w:rPr>
        <w:t>See, e.g.</w:t>
      </w:r>
      <w:r>
        <w:rPr>
          <w:rFonts w:ascii="Century" w:hAnsi="Century"/>
        </w:rPr>
        <w:t xml:space="preserve">, </w:t>
      </w:r>
      <w:r>
        <w:rPr>
          <w:rFonts w:ascii="Century" w:hAnsi="Century"/>
          <w:i/>
        </w:rPr>
        <w:t>Wade v. EMCASCO Ins. Co.</w:t>
      </w:r>
      <w:r>
        <w:rPr>
          <w:rFonts w:ascii="Century" w:hAnsi="Century"/>
        </w:rPr>
        <w:t xml:space="preserve">, 483 F.3d 657, 669-670 (10th Cir. 2007) (“Courts should not permit bad faith in the insurance milieu to become a game of cat-and-mouse between claimants and insurer, letting claimants induce damages that they then seek to recover, whilst relegating the insured to the sidelines as if only a mildly curious spectator.”); </w:t>
      </w:r>
      <w:r>
        <w:rPr>
          <w:rFonts w:ascii="Century" w:hAnsi="Century"/>
          <w:i/>
        </w:rPr>
        <w:t>Meixell v. Superior Ins. Co.</w:t>
      </w:r>
      <w:r>
        <w:rPr>
          <w:rFonts w:ascii="Century" w:hAnsi="Century"/>
        </w:rPr>
        <w:t xml:space="preserve">, 230 F.3d 335, 337 (7th Cir. 2000) (“Meixell offers no explanation as to why he could not accept the offer of settlement or how he would be prejudiced if he had accepted the offer.”); </w:t>
      </w:r>
      <w:r>
        <w:rPr>
          <w:rFonts w:ascii="Century" w:hAnsi="Century"/>
          <w:i/>
        </w:rPr>
        <w:t>Pavia v. State Farm Mut. Auto. Ins. Co.</w:t>
      </w:r>
      <w:r>
        <w:rPr>
          <w:rFonts w:ascii="Century" w:hAnsi="Century"/>
        </w:rPr>
        <w:t xml:space="preserve">, </w:t>
      </w:r>
      <w:r>
        <w:rPr>
          <w:rFonts w:ascii="Century" w:hAnsi="Century" w:cs="Arial"/>
        </w:rPr>
        <w:t xml:space="preserve">82 N.Y.2d 445, 455, </w:t>
      </w:r>
      <w:r>
        <w:rPr>
          <w:rFonts w:ascii="Century" w:hAnsi="Century"/>
        </w:rPr>
        <w:t xml:space="preserve">626 N.E.2d 24, 28-29 (N.Y. 1993) (“Permitting an injured plaintiff’s chosen timetable for settlement to govern the bad-faith inquiry would promote the customary manufacturing of bad-faith claims, especially in cases where an insured of meager means is covered by a policy of insurance which could finance only a fraction of the damages in a serious personal injury case.”). </w:t>
      </w:r>
    </w:p>
  </w:endnote>
  <w:endnote w:id="1163">
    <w:p>
      <w:pPr>
        <w:pStyle w:val="EndnoteText"/>
        <w:jc w:val="both"/>
      </w:pPr>
      <w:r>
        <w:rPr>
          <w:rStyle w:val="EndnoteReference"/>
          <w:rFonts w:ascii="Century" w:hAnsi="Century"/>
        </w:rPr>
        <w:endnoteRef/>
      </w:r>
      <w:r>
        <w:rPr>
          <w:rFonts w:ascii="Century" w:hAnsi="Century"/>
        </w:rPr>
        <w:t xml:space="preserve"> O.C.G.A. § 9-11-67.1(a).</w:t>
      </w:r>
    </w:p>
  </w:endnote>
  <w:endnote w:id="1164">
    <w:p>
      <w:pPr>
        <w:pStyle w:val="EndnoteText"/>
        <w:jc w:val="both"/>
      </w:pPr>
      <w:r>
        <w:rPr>
          <w:rStyle w:val="EndnoteReference"/>
          <w:rFonts w:ascii="Century" w:hAnsi="Century"/>
        </w:rPr>
        <w:endnoteRef/>
      </w:r>
      <w:r>
        <w:rPr>
          <w:rFonts w:ascii="Century" w:hAnsi="Century"/>
        </w:rPr>
        <w:t xml:space="preserve"> </w:t>
      </w:r>
      <w:r>
        <w:rPr>
          <w:rFonts w:ascii="Century" w:hAnsi="Century"/>
          <w:i/>
        </w:rPr>
        <w:t>Id.</w:t>
      </w:r>
    </w:p>
  </w:endnote>
  <w:endnote w:id="1165">
    <w:p>
      <w:pPr>
        <w:pStyle w:val="EndnoteText"/>
        <w:jc w:val="both"/>
      </w:pPr>
      <w:r>
        <w:rPr>
          <w:rStyle w:val="EndnoteReference"/>
          <w:rFonts w:ascii="Century" w:hAnsi="Century"/>
        </w:rPr>
        <w:endnoteRef/>
      </w:r>
      <w:r>
        <w:rPr>
          <w:rFonts w:ascii="Century" w:hAnsi="Century"/>
        </w:rPr>
        <w:t xml:space="preserve"> </w:t>
      </w:r>
      <w:r>
        <w:rPr>
          <w:rFonts w:ascii="Century" w:hAnsi="Century"/>
          <w:i/>
        </w:rPr>
        <w:t>Id.</w:t>
      </w:r>
    </w:p>
  </w:endnote>
  <w:endnote w:id="1166">
    <w:p>
      <w:pPr>
        <w:pStyle w:val="EndnoteText"/>
        <w:jc w:val="both"/>
      </w:pPr>
      <w:r>
        <w:rPr>
          <w:rStyle w:val="EndnoteReference"/>
          <w:rFonts w:ascii="Century" w:hAnsi="Century"/>
        </w:rPr>
        <w:endnoteRef/>
      </w:r>
      <w:r>
        <w:rPr>
          <w:rFonts w:ascii="Century" w:hAnsi="Century"/>
        </w:rPr>
        <w:t xml:space="preserve"> O.C.G.A. § 9-11-67.1(a)(1). </w:t>
      </w:r>
    </w:p>
  </w:endnote>
  <w:endnote w:id="1167">
    <w:p>
      <w:pPr>
        <w:pStyle w:val="EndnoteText"/>
        <w:jc w:val="both"/>
      </w:pPr>
      <w:r>
        <w:rPr>
          <w:rStyle w:val="EndnoteReference"/>
          <w:rFonts w:ascii="Century" w:hAnsi="Century"/>
        </w:rPr>
        <w:endnoteRef/>
      </w:r>
      <w:r>
        <w:rPr>
          <w:rFonts w:ascii="Century" w:hAnsi="Century"/>
        </w:rPr>
        <w:t xml:space="preserve"> O.C.G.A. § 9-11-67.1(a)(3), (4), (5).</w:t>
      </w:r>
    </w:p>
  </w:endnote>
  <w:endnote w:id="1168">
    <w:p>
      <w:pPr>
        <w:pStyle w:val="EndnoteText"/>
        <w:jc w:val="both"/>
      </w:pPr>
      <w:r>
        <w:rPr>
          <w:rStyle w:val="EndnoteReference"/>
          <w:rFonts w:ascii="Century" w:hAnsi="Century"/>
        </w:rPr>
        <w:endnoteRef/>
      </w:r>
      <w:r>
        <w:rPr>
          <w:rFonts w:ascii="Century" w:hAnsi="Century"/>
        </w:rPr>
        <w:t xml:space="preserve"> O.C.G.A. § 9-11-67.1(a)(2), (f).</w:t>
      </w:r>
    </w:p>
  </w:endnote>
  <w:endnote w:id="1169">
    <w:p>
      <w:pPr>
        <w:pStyle w:val="EndnoteText"/>
        <w:jc w:val="both"/>
      </w:pPr>
      <w:r>
        <w:rPr>
          <w:rStyle w:val="EndnoteReference"/>
          <w:rFonts w:ascii="Century" w:hAnsi="Century"/>
        </w:rPr>
        <w:endnoteRef/>
      </w:r>
      <w:r>
        <w:rPr>
          <w:rFonts w:ascii="Century" w:hAnsi="Century"/>
        </w:rPr>
        <w:t xml:space="preserve"> O.C.G.A. § 9-11-67.1(e).</w:t>
      </w:r>
    </w:p>
  </w:endnote>
  <w:endnote w:id="1170">
    <w:p>
      <w:pPr>
        <w:pStyle w:val="EndnoteText"/>
        <w:jc w:val="both"/>
      </w:pPr>
      <w:r>
        <w:rPr>
          <w:rStyle w:val="EndnoteReference"/>
          <w:rFonts w:ascii="Century" w:hAnsi="Century"/>
        </w:rPr>
        <w:endnoteRef/>
      </w:r>
      <w:r>
        <w:rPr>
          <w:rFonts w:ascii="Century" w:hAnsi="Century"/>
        </w:rPr>
        <w:t xml:space="preserve"> O.C.G.A. § 9-11-67.1(b) and (g).</w:t>
      </w:r>
    </w:p>
  </w:endnote>
  <w:endnote w:id="1171">
    <w:p>
      <w:pPr>
        <w:pStyle w:val="EndnoteText"/>
        <w:jc w:val="both"/>
      </w:pPr>
      <w:r>
        <w:rPr>
          <w:rStyle w:val="EndnoteReference"/>
          <w:rFonts w:ascii="Century" w:hAnsi="Century"/>
        </w:rPr>
        <w:endnoteRef/>
      </w:r>
      <w:r>
        <w:rPr>
          <w:rFonts w:ascii="Century" w:hAnsi="Century"/>
        </w:rPr>
        <w:t xml:space="preserve"> O.C.G.A. § 9-11-67.1(d) (emphasis added).  That language should also prevent a recurrence of the events leading to the decision in </w:t>
      </w:r>
      <w:r>
        <w:rPr>
          <w:rFonts w:ascii="Century" w:hAnsi="Century"/>
          <w:i/>
        </w:rPr>
        <w:t>S. Gen. Ins. Co. v. Wellstar Health Systems, Inc.</w:t>
      </w:r>
      <w:r>
        <w:rPr>
          <w:rFonts w:ascii="Century" w:hAnsi="Century"/>
        </w:rPr>
        <w:t xml:space="preserve">, 315 Ga. App. 26, </w:t>
      </w:r>
      <w:r>
        <w:rPr>
          <w:rFonts w:ascii="Century" w:hAnsi="Century" w:cs="Arial"/>
        </w:rPr>
        <w:t>726 S.E.2d 488</w:t>
      </w:r>
      <w:r>
        <w:rPr>
          <w:rFonts w:ascii="Century" w:hAnsi="Century"/>
        </w:rPr>
        <w:t xml:space="preserve"> (2012).  In </w:t>
      </w:r>
      <w:r>
        <w:rPr>
          <w:rFonts w:ascii="Century" w:hAnsi="Century"/>
          <w:i/>
        </w:rPr>
        <w:t>Wellstar</w:t>
      </w:r>
      <w:r>
        <w:rPr>
          <w:rFonts w:ascii="Century" w:hAnsi="Century"/>
        </w:rPr>
        <w:t xml:space="preserve">, an insurer seeking to avoid a </w:t>
      </w:r>
      <w:r>
        <w:rPr>
          <w:rFonts w:ascii="Century" w:hAnsi="Century"/>
          <w:i/>
        </w:rPr>
        <w:t>Frickey</w:t>
      </w:r>
      <w:r>
        <w:rPr>
          <w:rFonts w:ascii="Century" w:hAnsi="Century"/>
        </w:rPr>
        <w:t xml:space="preserve"> trap paid its limits in response to a policy limits demand without attempting in any way to resolve a medical lien.  When the medical provider sued the insurer to enforce the lien, the insurer argued it should be excused from having to pay because, via </w:t>
      </w:r>
      <w:r>
        <w:rPr>
          <w:rFonts w:ascii="Century" w:hAnsi="Century"/>
          <w:i/>
        </w:rPr>
        <w:t>Holt</w:t>
      </w:r>
      <w:r>
        <w:rPr>
          <w:rFonts w:ascii="Century" w:hAnsi="Century"/>
        </w:rPr>
        <w:t xml:space="preserve"> and </w:t>
      </w:r>
      <w:r>
        <w:rPr>
          <w:rFonts w:ascii="Century" w:hAnsi="Century"/>
          <w:i/>
        </w:rPr>
        <w:t>Frickey</w:t>
      </w:r>
      <w:r>
        <w:rPr>
          <w:rFonts w:ascii="Century" w:hAnsi="Century"/>
        </w:rPr>
        <w:t>, it was put in a position where any attempt to deal with the lien would have negated its ability to protect its insured’s interests.  The Georgia Court of Appeals enforced the lien saying, in essence, the insurer should not have concerned itself with the potential bad faith claim.</w:t>
      </w:r>
    </w:p>
  </w:endnote>
  <w:endnote w:id="1172">
    <w:p>
      <w:pPr>
        <w:pStyle w:val="EndnoteText"/>
        <w:jc w:val="both"/>
      </w:pPr>
      <w:r>
        <w:rPr>
          <w:rStyle w:val="EndnoteReference"/>
          <w:rFonts w:ascii="Century" w:hAnsi="Century"/>
        </w:rPr>
        <w:endnoteRef/>
      </w:r>
      <w:r>
        <w:rPr>
          <w:rFonts w:ascii="Century" w:hAnsi="Century"/>
        </w:rPr>
        <w:t xml:space="preserve"> O.C.G.A. § 9-11-67.1(c).</w:t>
      </w:r>
    </w:p>
  </w:endnote>
  <w:endnote w:id="1173">
    <w:p>
      <w:pPr>
        <w:pStyle w:val="EndnoteText"/>
      </w:pPr>
      <w:r>
        <w:rPr>
          <w:rStyle w:val="EndnoteReference"/>
        </w:rPr>
        <w:endnoteRef/>
      </w:r>
      <w:r>
        <w:t xml:space="preserve"> </w:t>
      </w:r>
      <w:r>
        <w:rPr>
          <w:i/>
        </w:rPr>
        <w:t>Taylor Morrison Servs., Inc. v. HDI-Gerling America Ins. Co.</w:t>
      </w:r>
      <w:r>
        <w:t>, 293 Ga. 456, 746 S.E.2d 587 (2013).</w:t>
      </w:r>
    </w:p>
  </w:endnote>
  <w:endnote w:id="1174">
    <w:p>
      <w:pPr>
        <w:pStyle w:val="EndnoteText"/>
      </w:pPr>
      <w:r>
        <w:rPr>
          <w:rStyle w:val="EndnoteReference"/>
        </w:rPr>
        <w:endnoteRef/>
      </w:r>
      <w:r>
        <w:t xml:space="preserve"> </w:t>
      </w:r>
      <w:r>
        <w:rPr>
          <w:i/>
        </w:rPr>
        <w:t>HDI-Gerling America Ins. Co. v. Morrison Homes, Inc.</w:t>
      </w:r>
      <w:r>
        <w:t>, 701 F.3d 662 (11th Cir. 2012).</w:t>
      </w:r>
    </w:p>
  </w:endnote>
  <w:endnote w:id="1175">
    <w:p>
      <w:pPr>
        <w:pStyle w:val="EndnoteText"/>
      </w:pPr>
      <w:r>
        <w:rPr>
          <w:rStyle w:val="EndnoteReference"/>
        </w:rPr>
        <w:endnoteRef/>
      </w:r>
      <w:r>
        <w:t xml:space="preserve"> </w:t>
      </w:r>
      <w:r>
        <w:rPr>
          <w:i/>
        </w:rPr>
        <w:t>Hope Elec. Enters., Inc. v. Schindler Elevator Corp.</w:t>
      </w:r>
      <w:r>
        <w:t>, 324 Ga. App. 859, 752 S.E.2d 5 (2013).</w:t>
      </w:r>
    </w:p>
  </w:endnote>
  <w:endnote w:id="1176">
    <w:p>
      <w:pPr>
        <w:pStyle w:val="EndnoteText"/>
      </w:pPr>
      <w:r>
        <w:rPr>
          <w:rStyle w:val="EndnoteReference"/>
        </w:rPr>
        <w:endnoteRef/>
      </w:r>
      <w:r>
        <w:t xml:space="preserve"> </w:t>
      </w:r>
      <w:r>
        <w:rPr>
          <w:i/>
        </w:rPr>
        <w:t xml:space="preserve">Western Surety Co. v. Dep’t of Transp., </w:t>
      </w:r>
      <w:r>
        <w:t>No. A13A2157 (Ga. App. March 28, 2014)</w:t>
      </w:r>
      <w:r>
        <w:rPr>
          <w:i/>
        </w:rPr>
        <w:t>.</w:t>
      </w:r>
    </w:p>
  </w:endnote>
  <w:endnote w:id="1177">
    <w:p>
      <w:pPr>
        <w:pStyle w:val="EndnoteText"/>
      </w:pPr>
      <w:r>
        <w:rPr>
          <w:rStyle w:val="EndnoteReference"/>
        </w:rPr>
        <w:endnoteRef/>
      </w:r>
      <w:r>
        <w:t xml:space="preserve"> </w:t>
      </w:r>
      <w:r>
        <w:rPr>
          <w:i/>
        </w:rPr>
        <w:t xml:space="preserve">Cavalier Convenience, Inc. v. Sarvis, </w:t>
      </w:r>
      <w:r>
        <w:t>305 Ga. App. 141, 699 S.E.2d 104 (2010).</w:t>
      </w:r>
    </w:p>
  </w:endnote>
  <w:endnote w:id="1178">
    <w:p>
      <w:pPr>
        <w:pStyle w:val="EndnoteText"/>
      </w:pPr>
      <w:r>
        <w:rPr>
          <w:rStyle w:val="EndnoteReference"/>
        </w:rPr>
        <w:endnoteRef/>
      </w:r>
      <w:r>
        <w:t xml:space="preserve"> O.C.G.A. § 51-12-33.</w:t>
      </w:r>
    </w:p>
  </w:endnote>
  <w:endnote w:id="1179">
    <w:p>
      <w:pPr>
        <w:pStyle w:val="EndnoteText"/>
      </w:pPr>
      <w:r>
        <w:rPr>
          <w:rStyle w:val="EndnoteReference"/>
        </w:rPr>
        <w:endnoteRef/>
      </w:r>
      <w:r>
        <w:t xml:space="preserve"> </w:t>
      </w:r>
      <w:r>
        <w:rPr>
          <w:i/>
        </w:rPr>
        <w:t>Couch v. Red Roof Inns, Inc.</w:t>
      </w:r>
      <w:r>
        <w:t>,</w:t>
      </w:r>
      <w:r>
        <w:rPr>
          <w:i/>
        </w:rPr>
        <w:t xml:space="preserve">. </w:t>
      </w:r>
      <w:r>
        <w:t>291 Ga. 359, 729 S.E.2d 378 (2012);</w:t>
      </w:r>
      <w:r>
        <w:rPr>
          <w:i/>
        </w:rPr>
        <w:t xml:space="preserve"> McReynolds v. Krebs, </w:t>
      </w:r>
      <w:r>
        <w:t>307 Ga. App. 330, 705 S.E.2d 214 (2011);</w:t>
      </w:r>
      <w:r>
        <w:rPr>
          <w:i/>
        </w:rPr>
        <w:t xml:space="preserve"> Cavalier Convenience, </w:t>
      </w:r>
      <w:r>
        <w:t>305 Ga. App. 141.</w:t>
      </w:r>
    </w:p>
  </w:endnote>
  <w:endnote w:id="1180">
    <w:p>
      <w:pPr>
        <w:pStyle w:val="EndnoteText"/>
      </w:pPr>
      <w:r>
        <w:rPr>
          <w:rStyle w:val="EndnoteReference"/>
        </w:rPr>
        <w:endnoteRef/>
      </w:r>
      <w:r>
        <w:t xml:space="preserve"> O.C.G.A. § 51-12-32.</w:t>
      </w:r>
    </w:p>
  </w:endnote>
  <w:endnote w:id="1181">
    <w:p>
      <w:pPr>
        <w:pStyle w:val="EndnoteText"/>
      </w:pPr>
      <w:r>
        <w:rPr>
          <w:rStyle w:val="EndnoteReference"/>
        </w:rPr>
        <w:endnoteRef/>
      </w:r>
      <w:r>
        <w:t xml:space="preserve"> 321 Ga. App. 325, 740 S.E.2d 429 (2013).</w:t>
      </w:r>
    </w:p>
  </w:endnote>
  <w:endnote w:id="1182">
    <w:p>
      <w:pPr>
        <w:pStyle w:val="EndnoteText"/>
      </w:pPr>
      <w:r>
        <w:rPr>
          <w:rStyle w:val="EndnoteReference"/>
        </w:rPr>
        <w:endnoteRef/>
      </w:r>
      <w:r>
        <w:t xml:space="preserve"> 322 Ga. App. 713, 747 S.E.2d 10 (2013).</w:t>
      </w:r>
    </w:p>
  </w:endnote>
  <w:endnote w:id="1183">
    <w:p>
      <w:pPr>
        <w:pStyle w:val="EndnoteText"/>
      </w:pPr>
      <w:r>
        <w:rPr>
          <w:rStyle w:val="EndnoteReference"/>
        </w:rPr>
        <w:endnoteRef/>
      </w:r>
      <w:r>
        <w:t xml:space="preserve"> </w:t>
      </w:r>
      <w:r>
        <w:rPr>
          <w:i/>
        </w:rPr>
        <w:t>Murray v. Patel,</w:t>
      </w:r>
      <w:r>
        <w:t xml:space="preserve"> 304 Ga. App 253, 696 S.E.2d 97 (2010).</w:t>
      </w:r>
    </w:p>
  </w:endnote>
  <w:endnote w:id="1184">
    <w:p>
      <w:pPr>
        <w:pStyle w:val="EndnoteText"/>
      </w:pPr>
      <w:r>
        <w:rPr>
          <w:rStyle w:val="EndnoteReference"/>
        </w:rPr>
        <w:endnoteRef/>
      </w:r>
      <w:r>
        <w:t xml:space="preserve"> </w:t>
      </w:r>
      <w:r>
        <w:rPr>
          <w:i/>
        </w:rPr>
        <w:t xml:space="preserve">Allstate Prop. &amp; Cas. Ins. Co. v. Omega Flex, Inc., </w:t>
      </w:r>
      <w:r>
        <w:t>No. 1:13-cv-879-JEC, 2014 WL 1292588, (N.D. Ga. March 31, 2014).</w:t>
      </w:r>
    </w:p>
  </w:endnote>
  <w:endnote w:id="1185">
    <w:p>
      <w:pPr>
        <w:pStyle w:val="EndnoteText"/>
        <w:tabs>
          <w:tab w:val="left" w:pos="3510"/>
        </w:tabs>
        <w:jc w:val="both"/>
      </w:pPr>
      <w:r>
        <w:rPr>
          <w:rStyle w:val="EndnoteReference"/>
        </w:rPr>
        <w:endnoteRef/>
      </w:r>
      <w:r>
        <w:t xml:space="preserve"> </w:t>
      </w:r>
      <w:r>
        <w:rPr>
          <w:i/>
        </w:rPr>
        <w:t>See</w:t>
      </w:r>
      <w:r>
        <w:t xml:space="preserve"> 2005 Georgia Laws, Act 1, § 12 (S.B. 3) (enacted).</w:t>
      </w:r>
      <w:r>
        <w:rPr>
          <w:i/>
        </w:rPr>
        <w:tab/>
      </w:r>
    </w:p>
  </w:endnote>
  <w:endnote w:id="1186">
    <w:p>
      <w:pPr>
        <w:pStyle w:val="EndnoteText"/>
        <w:jc w:val="both"/>
      </w:pPr>
      <w:r>
        <w:rPr>
          <w:rStyle w:val="EndnoteReference"/>
        </w:rPr>
        <w:endnoteRef/>
      </w:r>
      <w:r>
        <w:t xml:space="preserve"> </w:t>
      </w:r>
      <w:r>
        <w:rPr>
          <w:i/>
        </w:rPr>
        <w:t>See</w:t>
      </w:r>
      <w:r>
        <w:t xml:space="preserve"> O.C.G.A. § 51-12-33 (2013).  </w:t>
      </w:r>
    </w:p>
  </w:endnote>
  <w:endnote w:id="1187">
    <w:p>
      <w:pPr>
        <w:pStyle w:val="EndnoteText"/>
        <w:jc w:val="both"/>
      </w:pPr>
      <w:r>
        <w:rPr>
          <w:rStyle w:val="EndnoteReference"/>
        </w:rPr>
        <w:endnoteRef/>
      </w:r>
      <w:r>
        <w:t xml:space="preserve"> </w:t>
      </w:r>
      <w:r>
        <w:rPr>
          <w:i/>
        </w:rPr>
        <w:t>Couch v. Red Roof Inns, Inc.</w:t>
      </w:r>
      <w:r>
        <w:t xml:space="preserve">, 291 Ga. 359, 729 S.E. 2d 378 (2012).  </w:t>
      </w:r>
    </w:p>
  </w:endnote>
  <w:endnote w:id="1188">
    <w:p>
      <w:pPr>
        <w:pStyle w:val="EndnoteText"/>
        <w:jc w:val="both"/>
      </w:pPr>
      <w:r>
        <w:rPr>
          <w:rStyle w:val="EndnoteReference"/>
        </w:rPr>
        <w:endnoteRef/>
      </w:r>
      <w:r>
        <w:t xml:space="preserve"> </w:t>
      </w:r>
      <w:r>
        <w:rPr>
          <w:i/>
        </w:rPr>
        <w:t xml:space="preserve">See </w:t>
      </w:r>
      <w:r>
        <w:t xml:space="preserve">Plaintiff’s/Appellant’s Brief Regarding Certified Questions, </w:t>
      </w:r>
      <w:r>
        <w:rPr>
          <w:i/>
        </w:rPr>
        <w:t>Couch v. Red Roof Inns, Inc.</w:t>
      </w:r>
      <w:r>
        <w:t xml:space="preserve">, 291 Ga. 359, 729 S.E. 2d 378 (2012) (No. S12Q0625), 2012 WL 377254, at *2. </w:t>
      </w:r>
    </w:p>
  </w:endnote>
  <w:endnote w:id="1189">
    <w:p>
      <w:pPr>
        <w:pStyle w:val="EndnoteText"/>
        <w:jc w:val="both"/>
      </w:pPr>
      <w:r>
        <w:rPr>
          <w:rStyle w:val="EndnoteReference"/>
        </w:rPr>
        <w:endnoteRef/>
      </w:r>
      <w:r>
        <w:t xml:space="preserve"> </w:t>
      </w:r>
      <w:r>
        <w:rPr>
          <w:i/>
        </w:rPr>
        <w:t>Id.</w:t>
      </w:r>
      <w:r>
        <w:t xml:space="preserve">  </w:t>
      </w:r>
    </w:p>
  </w:endnote>
  <w:endnote w:id="1190">
    <w:p>
      <w:pPr>
        <w:pStyle w:val="EndnoteText"/>
        <w:jc w:val="both"/>
      </w:pPr>
      <w:r>
        <w:rPr>
          <w:rStyle w:val="EndnoteReference"/>
        </w:rPr>
        <w:endnoteRef/>
      </w:r>
      <w:r>
        <w:t xml:space="preserve"> </w:t>
      </w:r>
      <w:r>
        <w:rPr>
          <w:i/>
        </w:rPr>
        <w:t>Id.</w:t>
      </w:r>
    </w:p>
  </w:endnote>
  <w:endnote w:id="1191">
    <w:p>
      <w:pPr>
        <w:pStyle w:val="EndnoteText"/>
        <w:jc w:val="both"/>
      </w:pPr>
      <w:r>
        <w:rPr>
          <w:rStyle w:val="EndnoteReference"/>
        </w:rPr>
        <w:endnoteRef/>
      </w:r>
      <w:r>
        <w:t xml:space="preserve"> </w:t>
      </w:r>
      <w:r>
        <w:rPr>
          <w:i/>
        </w:rPr>
        <w:t>Couch</w:t>
      </w:r>
      <w:r>
        <w:t xml:space="preserve">, 291 Ga. at 359, 729 S.E. 2d at 379.   </w:t>
      </w:r>
    </w:p>
  </w:endnote>
  <w:endnote w:id="1192">
    <w:p>
      <w:pPr>
        <w:pStyle w:val="EndnoteText"/>
        <w:jc w:val="both"/>
      </w:pPr>
      <w:r>
        <w:rPr>
          <w:rStyle w:val="EndnoteReference"/>
        </w:rPr>
        <w:endnoteRef/>
      </w:r>
      <w:r>
        <w:t xml:space="preserve"> </w:t>
      </w:r>
      <w:r>
        <w:rPr>
          <w:i/>
        </w:rPr>
        <w:t>Id</w:t>
      </w:r>
      <w:r>
        <w:t>.</w:t>
      </w:r>
    </w:p>
  </w:endnote>
  <w:endnote w:id="1193">
    <w:p>
      <w:pPr>
        <w:pStyle w:val="EndnoteText"/>
        <w:jc w:val="both"/>
      </w:pPr>
      <w:r>
        <w:rPr>
          <w:rStyle w:val="EndnoteReference"/>
        </w:rPr>
        <w:endnoteRef/>
      </w:r>
      <w:r>
        <w:t xml:space="preserve"> </w:t>
      </w:r>
      <w:r>
        <w:rPr>
          <w:i/>
        </w:rPr>
        <w:t xml:space="preserve">Id. </w:t>
      </w:r>
      <w:r>
        <w:t>at 365-66, 729 S.E. 2d at 383-84.</w:t>
      </w:r>
    </w:p>
  </w:endnote>
  <w:endnote w:id="1194">
    <w:p>
      <w:pPr>
        <w:pStyle w:val="EndnoteText"/>
        <w:jc w:val="both"/>
      </w:pPr>
      <w:r>
        <w:rPr>
          <w:rStyle w:val="EndnoteReference"/>
        </w:rPr>
        <w:endnoteRef/>
      </w:r>
      <w:r>
        <w:t xml:space="preserve"> </w:t>
      </w:r>
      <w:r>
        <w:rPr>
          <w:i/>
        </w:rPr>
        <w:t>Id.</w:t>
      </w:r>
      <w:r>
        <w:t xml:space="preserve"> at 365-66, 729 S.E. 2d at 383. </w:t>
      </w:r>
    </w:p>
  </w:endnote>
  <w:endnote w:id="1195">
    <w:p>
      <w:pPr>
        <w:pStyle w:val="EndnoteText"/>
        <w:jc w:val="both"/>
      </w:pPr>
      <w:r>
        <w:rPr>
          <w:rStyle w:val="EndnoteReference"/>
        </w:rPr>
        <w:endnoteRef/>
      </w:r>
      <w:r>
        <w:t xml:space="preserve"> </w:t>
      </w:r>
      <w:r>
        <w:rPr>
          <w:i/>
        </w:rPr>
        <w:t>Id</w:t>
      </w:r>
      <w:r>
        <w:t>. at 366, 729 S.E. 2d at 383.</w:t>
      </w:r>
    </w:p>
  </w:endnote>
  <w:endnote w:id="1196">
    <w:p>
      <w:pPr>
        <w:pStyle w:val="EndnoteText"/>
        <w:jc w:val="both"/>
      </w:pPr>
      <w:r>
        <w:rPr>
          <w:rStyle w:val="EndnoteReference"/>
        </w:rPr>
        <w:endnoteRef/>
      </w:r>
      <w:r>
        <w:t xml:space="preserve"> </w:t>
      </w:r>
      <w:r>
        <w:rPr>
          <w:i/>
        </w:rPr>
        <w:t>Id.</w:t>
      </w:r>
      <w:r>
        <w:t xml:space="preserve"> at 365, 729 S.E. 2d at 383.</w:t>
      </w:r>
    </w:p>
  </w:endnote>
  <w:endnote w:id="1197">
    <w:p>
      <w:pPr>
        <w:pStyle w:val="EndnoteText"/>
        <w:jc w:val="both"/>
      </w:pPr>
      <w:r>
        <w:rPr>
          <w:rStyle w:val="EndnoteReference"/>
        </w:rPr>
        <w:endnoteRef/>
      </w:r>
      <w:r>
        <w:t xml:space="preserve"> </w:t>
      </w:r>
      <w:r>
        <w:rPr>
          <w:i/>
        </w:rPr>
        <w:t>Id.</w:t>
      </w:r>
    </w:p>
  </w:endnote>
  <w:endnote w:id="1198">
    <w:p>
      <w:pPr>
        <w:pStyle w:val="EndnoteText"/>
        <w:jc w:val="both"/>
      </w:pPr>
      <w:r>
        <w:rPr>
          <w:rStyle w:val="EndnoteReference"/>
        </w:rPr>
        <w:endnoteRef/>
      </w:r>
      <w:r>
        <w:t xml:space="preserve"> </w:t>
      </w:r>
      <w:r>
        <w:rPr>
          <w:i/>
        </w:rPr>
        <w:t xml:space="preserve">See </w:t>
      </w:r>
      <w:r>
        <w:t xml:space="preserve">Amicus Curiae Brief of the Georgia Defense Lawyers Association, </w:t>
      </w:r>
      <w:r>
        <w:rPr>
          <w:i/>
        </w:rPr>
        <w:t xml:space="preserve">Couch v. Red Roof Inns, Inc., </w:t>
      </w:r>
      <w:r>
        <w:t xml:space="preserve">291 Ga. 359, 729 S.E. 2d 378 (2012) (No. S12Q0625), 2012 WL 864503;  Brief of Amici Curiae Thomas A. Eaton and Michael L. Wells, </w:t>
      </w:r>
      <w:r>
        <w:rPr>
          <w:i/>
        </w:rPr>
        <w:t xml:space="preserve">Couch v. Red Roof Inns, Inc., </w:t>
      </w:r>
      <w:r>
        <w:t>291 Ga. 359, 729 S.E. 2d 378 (2012) (No. S12Q0625), 2012 WL 1620946 (2012).</w:t>
      </w:r>
    </w:p>
  </w:endnote>
  <w:endnote w:id="1199">
    <w:p>
      <w:pPr>
        <w:pStyle w:val="EndnoteText"/>
        <w:jc w:val="both"/>
      </w:pPr>
      <w:r>
        <w:rPr>
          <w:rStyle w:val="EndnoteReference"/>
        </w:rPr>
        <w:endnoteRef/>
      </w:r>
      <w:r>
        <w:t xml:space="preserve"> </w:t>
      </w:r>
      <w:r>
        <w:rPr>
          <w:i/>
        </w:rPr>
        <w:t xml:space="preserve">See </w:t>
      </w:r>
      <w:r>
        <w:t xml:space="preserve">Amicus Curiae Brief of the Georgia Defense Lawyers Association, </w:t>
      </w:r>
      <w:r>
        <w:rPr>
          <w:i/>
        </w:rPr>
        <w:t xml:space="preserve">Couch v. Red Roof Inns, Inc., </w:t>
      </w:r>
      <w:r>
        <w:t>291 Ga. 359, 729 S.E. 2d 378 (2012) (No. S12Q0625), 2012 WL 864503, at *2.</w:t>
      </w:r>
    </w:p>
  </w:endnote>
  <w:endnote w:id="1200">
    <w:p>
      <w:pPr>
        <w:pStyle w:val="EndnoteText"/>
        <w:jc w:val="both"/>
      </w:pPr>
      <w:r>
        <w:rPr>
          <w:rStyle w:val="EndnoteReference"/>
        </w:rPr>
        <w:endnoteRef/>
      </w:r>
      <w:r>
        <w:t xml:space="preserve"> Pretrial Order at 3,</w:t>
      </w:r>
      <w:r>
        <w:rPr>
          <w:i/>
        </w:rPr>
        <w:t xml:space="preserve"> Herrera v. Miles Properties, Inc.</w:t>
      </w:r>
      <w:r>
        <w:t>, No. 08A83964-6 (State Ct. of DeKalb Cnty., GA).</w:t>
      </w:r>
    </w:p>
  </w:endnote>
  <w:endnote w:id="1201">
    <w:p>
      <w:pPr>
        <w:pStyle w:val="EndnoteText"/>
        <w:jc w:val="both"/>
      </w:pPr>
      <w:r>
        <w:rPr>
          <w:rStyle w:val="EndnoteReference"/>
        </w:rPr>
        <w:endnoteRef/>
      </w:r>
      <w:r>
        <w:t xml:space="preserve"> </w:t>
      </w:r>
      <w:r>
        <w:rPr>
          <w:i/>
        </w:rPr>
        <w:t>Id.</w:t>
      </w:r>
    </w:p>
  </w:endnote>
  <w:endnote w:id="1202">
    <w:p>
      <w:pPr>
        <w:pStyle w:val="EndnoteText"/>
        <w:jc w:val="both"/>
      </w:pPr>
      <w:r>
        <w:rPr>
          <w:rStyle w:val="EndnoteReference"/>
        </w:rPr>
        <w:endnoteRef/>
      </w:r>
      <w:r>
        <w:t xml:space="preserve"> </w:t>
      </w:r>
      <w:r>
        <w:rPr>
          <w:i/>
        </w:rPr>
        <w:t>Id.</w:t>
      </w:r>
      <w:r>
        <w:t xml:space="preserve"> at 1.</w:t>
      </w:r>
    </w:p>
  </w:endnote>
  <w:endnote w:id="1203">
    <w:p>
      <w:pPr>
        <w:pStyle w:val="EndnoteText"/>
        <w:jc w:val="both"/>
      </w:pPr>
      <w:r>
        <w:rPr>
          <w:rStyle w:val="EndnoteReference"/>
        </w:rPr>
        <w:endnoteRef/>
      </w:r>
      <w:r>
        <w:t xml:space="preserve"> </w:t>
      </w:r>
      <w:r>
        <w:rPr>
          <w:i/>
        </w:rPr>
        <w:t>Id.</w:t>
      </w:r>
    </w:p>
  </w:endnote>
  <w:endnote w:id="1204">
    <w:p>
      <w:pPr>
        <w:pStyle w:val="EndnoteText"/>
        <w:jc w:val="both"/>
      </w:pPr>
      <w:r>
        <w:rPr>
          <w:rStyle w:val="EndnoteReference"/>
        </w:rPr>
        <w:endnoteRef/>
      </w:r>
      <w:r>
        <w:t xml:space="preserve"> </w:t>
      </w:r>
      <w:r>
        <w:rPr>
          <w:i/>
        </w:rPr>
        <w:t>Id.</w:t>
      </w:r>
    </w:p>
  </w:endnote>
  <w:endnote w:id="1205">
    <w:p>
      <w:pPr>
        <w:pStyle w:val="EndnoteText"/>
        <w:jc w:val="both"/>
      </w:pPr>
      <w:r>
        <w:rPr>
          <w:rStyle w:val="EndnoteReference"/>
        </w:rPr>
        <w:endnoteRef/>
      </w:r>
      <w:r>
        <w:rPr>
          <w:i/>
        </w:rPr>
        <w:t xml:space="preserve"> Id.</w:t>
      </w:r>
    </w:p>
  </w:endnote>
  <w:endnote w:id="1206">
    <w:p>
      <w:pPr>
        <w:pStyle w:val="EndnoteText"/>
        <w:jc w:val="both"/>
      </w:pPr>
      <w:r>
        <w:rPr>
          <w:rStyle w:val="EndnoteReference"/>
        </w:rPr>
        <w:endnoteRef/>
      </w:r>
      <w:r>
        <w:t xml:space="preserve"> </w:t>
      </w:r>
      <w:r>
        <w:rPr>
          <w:i/>
        </w:rPr>
        <w:t xml:space="preserve">Id. </w:t>
      </w:r>
      <w:r>
        <w:t>at 2.</w:t>
      </w:r>
    </w:p>
  </w:endnote>
  <w:endnote w:id="1207">
    <w:p>
      <w:pPr>
        <w:pStyle w:val="EndnoteText"/>
        <w:jc w:val="both"/>
      </w:pPr>
      <w:r>
        <w:rPr>
          <w:rStyle w:val="EndnoteReference"/>
        </w:rPr>
        <w:endnoteRef/>
      </w:r>
      <w:r>
        <w:t xml:space="preserve"> </w:t>
      </w:r>
      <w:r>
        <w:rPr>
          <w:i/>
        </w:rPr>
        <w:t>Id.</w:t>
      </w:r>
    </w:p>
  </w:endnote>
  <w:endnote w:id="1208">
    <w:p>
      <w:pPr>
        <w:pStyle w:val="EndnoteText"/>
        <w:jc w:val="both"/>
      </w:pPr>
      <w:r>
        <w:rPr>
          <w:rStyle w:val="EndnoteReference"/>
        </w:rPr>
        <w:endnoteRef/>
      </w:r>
      <w:r>
        <w:t xml:space="preserve"> </w:t>
      </w:r>
      <w:r>
        <w:rPr>
          <w:i/>
        </w:rPr>
        <w:t>Id.</w:t>
      </w:r>
    </w:p>
  </w:endnote>
  <w:endnote w:id="1209">
    <w:p>
      <w:pPr>
        <w:pStyle w:val="EndnoteText"/>
        <w:jc w:val="both"/>
      </w:pPr>
      <w:r>
        <w:rPr>
          <w:rStyle w:val="EndnoteReference"/>
        </w:rPr>
        <w:endnoteRef/>
      </w:r>
      <w:r>
        <w:t xml:space="preserve"> </w:t>
      </w:r>
      <w:r>
        <w:rPr>
          <w:i/>
        </w:rPr>
        <w:t>Id.</w:t>
      </w:r>
      <w:r>
        <w:t xml:space="preserve"> at 3.</w:t>
      </w:r>
    </w:p>
  </w:endnote>
  <w:endnote w:id="1210">
    <w:p>
      <w:pPr>
        <w:pStyle w:val="EndnoteText"/>
        <w:jc w:val="both"/>
      </w:pPr>
      <w:r>
        <w:rPr>
          <w:rStyle w:val="EndnoteReference"/>
        </w:rPr>
        <w:endnoteRef/>
      </w:r>
      <w:r>
        <w:t xml:space="preserve"> </w:t>
      </w:r>
      <w:r>
        <w:rPr>
          <w:i/>
        </w:rPr>
        <w:t>Id.</w:t>
      </w:r>
    </w:p>
  </w:endnote>
  <w:endnote w:id="1211">
    <w:p>
      <w:pPr>
        <w:pStyle w:val="EndnoteText"/>
        <w:jc w:val="both"/>
      </w:pPr>
      <w:r>
        <w:rPr>
          <w:rStyle w:val="EndnoteReference"/>
        </w:rPr>
        <w:endnoteRef/>
      </w:r>
      <w:r>
        <w:t xml:space="preserve"> </w:t>
      </w:r>
      <w:r>
        <w:rPr>
          <w:i/>
        </w:rPr>
        <w:t>Id.</w:t>
      </w:r>
    </w:p>
  </w:endnote>
  <w:endnote w:id="1212">
    <w:p>
      <w:pPr>
        <w:pStyle w:val="EndnoteText"/>
        <w:jc w:val="both"/>
      </w:pPr>
      <w:r>
        <w:rPr>
          <w:rStyle w:val="EndnoteReference"/>
        </w:rPr>
        <w:endnoteRef/>
      </w:r>
      <w:r>
        <w:t xml:space="preserve"> </w:t>
      </w:r>
      <w:r>
        <w:rPr>
          <w:i/>
        </w:rPr>
        <w:t>Id</w:t>
      </w:r>
      <w:r>
        <w:t>. at 4.</w:t>
      </w:r>
    </w:p>
  </w:endnote>
  <w:endnote w:id="1213">
    <w:p>
      <w:pPr>
        <w:pStyle w:val="EndnoteText"/>
        <w:jc w:val="both"/>
      </w:pPr>
      <w:r>
        <w:rPr>
          <w:rStyle w:val="EndnoteReference"/>
        </w:rPr>
        <w:endnoteRef/>
      </w:r>
      <w:r>
        <w:t xml:space="preserve"> </w:t>
      </w:r>
      <w:r>
        <w:rPr>
          <w:i/>
        </w:rPr>
        <w:t>Id</w:t>
      </w:r>
      <w:r>
        <w:t>.</w:t>
      </w:r>
    </w:p>
  </w:endnote>
  <w:endnote w:id="1214">
    <w:p>
      <w:pPr>
        <w:pStyle w:val="EndnoteText"/>
        <w:jc w:val="both"/>
      </w:pPr>
      <w:r>
        <w:rPr>
          <w:rStyle w:val="EndnoteReference"/>
        </w:rPr>
        <w:endnoteRef/>
      </w:r>
      <w:r>
        <w:t xml:space="preserve"> </w:t>
      </w:r>
      <w:r>
        <w:rPr>
          <w:i/>
        </w:rPr>
        <w:t>Id</w:t>
      </w:r>
      <w:r>
        <w:t>. at 5.</w:t>
      </w:r>
    </w:p>
  </w:endnote>
  <w:endnote w:id="1215">
    <w:p>
      <w:pPr>
        <w:pStyle w:val="EndnoteText"/>
        <w:jc w:val="both"/>
      </w:pPr>
      <w:r>
        <w:rPr>
          <w:rStyle w:val="EndnoteReference"/>
        </w:rPr>
        <w:endnoteRef/>
      </w:r>
      <w:r>
        <w:t xml:space="preserve"> Verdict, </w:t>
      </w:r>
      <w:r>
        <w:rPr>
          <w:i/>
        </w:rPr>
        <w:t>Herrera v. Miles Properties, Inc.</w:t>
      </w:r>
      <w:r>
        <w:t xml:space="preserve">, No. 08A83964-6 (State Ct. of DeKalb Cnty., GA, Aug., 10, 2010).  </w:t>
      </w:r>
      <w:r>
        <w:rPr>
          <w:i/>
        </w:rPr>
        <w:t>See</w:t>
      </w:r>
      <w:r>
        <w:t xml:space="preserve"> Attachment 1. </w:t>
      </w:r>
    </w:p>
  </w:endnote>
  <w:endnote w:id="1216">
    <w:p>
      <w:pPr>
        <w:pStyle w:val="EndnoteText"/>
        <w:jc w:val="both"/>
      </w:pPr>
      <w:r>
        <w:rPr>
          <w:rStyle w:val="EndnoteReference"/>
        </w:rPr>
        <w:endnoteRef/>
      </w:r>
      <w:r>
        <w:t xml:space="preserve"> </w:t>
      </w:r>
      <w:r>
        <w:rPr>
          <w:i/>
        </w:rPr>
        <w:t>Id.</w:t>
      </w:r>
    </w:p>
  </w:endnote>
  <w:endnote w:id="1217">
    <w:p>
      <w:pPr>
        <w:pStyle w:val="EndnoteText"/>
        <w:jc w:val="both"/>
      </w:pPr>
      <w:r>
        <w:rPr>
          <w:rStyle w:val="EndnoteReference"/>
        </w:rPr>
        <w:endnoteRef/>
      </w:r>
      <w:r>
        <w:t xml:space="preserve"> Consolidated Pretrial Order at 3-4,</w:t>
      </w:r>
      <w:r>
        <w:rPr>
          <w:i/>
        </w:rPr>
        <w:t xml:space="preserve"> Polite v.  Double View Ventures, LLC</w:t>
      </w:r>
      <w:r>
        <w:rPr>
          <w:b/>
        </w:rPr>
        <w:t>,</w:t>
      </w:r>
      <w:r>
        <w:t xml:space="preserve"> No. 09A05619-4 (State Ct. of DeKalb Cnty., GA). </w:t>
      </w:r>
    </w:p>
  </w:endnote>
  <w:endnote w:id="1218">
    <w:p>
      <w:pPr>
        <w:pStyle w:val="EndnoteText"/>
        <w:jc w:val="both"/>
      </w:pPr>
      <w:r>
        <w:rPr>
          <w:rStyle w:val="EndnoteReference"/>
        </w:rPr>
        <w:endnoteRef/>
      </w:r>
      <w:r>
        <w:t xml:space="preserve"> </w:t>
      </w:r>
      <w:r>
        <w:rPr>
          <w:i/>
        </w:rPr>
        <w:t>Id</w:t>
      </w:r>
      <w:r>
        <w:t>. at 3.</w:t>
      </w:r>
    </w:p>
  </w:endnote>
  <w:endnote w:id="1219">
    <w:p>
      <w:pPr>
        <w:pStyle w:val="EndnoteText"/>
        <w:tabs>
          <w:tab w:val="left" w:pos="1725"/>
        </w:tabs>
        <w:jc w:val="both"/>
      </w:pPr>
      <w:r>
        <w:rPr>
          <w:rStyle w:val="EndnoteReference"/>
        </w:rPr>
        <w:endnoteRef/>
      </w:r>
      <w:r>
        <w:t xml:space="preserve"> </w:t>
      </w:r>
      <w:r>
        <w:rPr>
          <w:i/>
        </w:rPr>
        <w:t xml:space="preserve">Id. </w:t>
      </w:r>
      <w:r>
        <w:t>at 3-4.</w:t>
      </w:r>
      <w:r>
        <w:rPr>
          <w:i/>
        </w:rPr>
        <w:tab/>
      </w:r>
    </w:p>
  </w:endnote>
  <w:endnote w:id="1220">
    <w:p>
      <w:pPr>
        <w:pStyle w:val="EndnoteText"/>
        <w:jc w:val="both"/>
      </w:pPr>
      <w:r>
        <w:rPr>
          <w:rStyle w:val="EndnoteReference"/>
        </w:rPr>
        <w:endnoteRef/>
      </w:r>
      <w:r>
        <w:t xml:space="preserve"> </w:t>
      </w:r>
      <w:r>
        <w:rPr>
          <w:i/>
        </w:rPr>
        <w:t>Id.</w:t>
      </w:r>
      <w:r>
        <w:t xml:space="preserve"> </w:t>
      </w:r>
    </w:p>
  </w:endnote>
  <w:endnote w:id="1221">
    <w:p>
      <w:pPr>
        <w:pStyle w:val="EndnoteText"/>
        <w:jc w:val="both"/>
      </w:pPr>
      <w:r>
        <w:rPr>
          <w:rStyle w:val="EndnoteReference"/>
        </w:rPr>
        <w:endnoteRef/>
      </w:r>
      <w:r>
        <w:t xml:space="preserve"> </w:t>
      </w:r>
      <w:r>
        <w:rPr>
          <w:i/>
        </w:rPr>
        <w:t>Id.</w:t>
      </w:r>
      <w:r>
        <w:t xml:space="preserve"> at 4.</w:t>
      </w:r>
    </w:p>
  </w:endnote>
  <w:endnote w:id="1222">
    <w:p>
      <w:pPr>
        <w:pStyle w:val="EndnoteText"/>
        <w:jc w:val="both"/>
      </w:pPr>
      <w:r>
        <w:rPr>
          <w:rStyle w:val="EndnoteReference"/>
        </w:rPr>
        <w:endnoteRef/>
      </w:r>
      <w:r>
        <w:t xml:space="preserve"> </w:t>
      </w:r>
      <w:r>
        <w:rPr>
          <w:i/>
        </w:rPr>
        <w:t>Id.</w:t>
      </w:r>
      <w:r>
        <w:t xml:space="preserve">; Brief of Appellants, </w:t>
      </w:r>
      <w:r>
        <w:rPr>
          <w:i/>
        </w:rPr>
        <w:t>Double View Ventures, LLC v. Polite</w:t>
      </w:r>
      <w:r>
        <w:t xml:space="preserve">, 2014 WL 1227777 (2014) (No. A13A2134), 2013 WL 6068035 *2-3. </w:t>
      </w:r>
    </w:p>
  </w:endnote>
  <w:endnote w:id="1223">
    <w:p>
      <w:pPr>
        <w:pStyle w:val="EndnoteText"/>
        <w:jc w:val="both"/>
      </w:pPr>
      <w:r>
        <w:rPr>
          <w:rStyle w:val="EndnoteReference"/>
        </w:rPr>
        <w:endnoteRef/>
      </w:r>
      <w:r>
        <w:t xml:space="preserve"> Consolidated Pretrial Order at 4,</w:t>
      </w:r>
      <w:r>
        <w:rPr>
          <w:i/>
        </w:rPr>
        <w:t xml:space="preserve"> Polite v.  Double View Ventures, LLC</w:t>
      </w:r>
      <w:r>
        <w:rPr>
          <w:b/>
        </w:rPr>
        <w:t>,</w:t>
      </w:r>
      <w:r>
        <w:t xml:space="preserve"> No. 09A05619-4 (State Ct. of DeKalb Cnty., GA).</w:t>
      </w:r>
    </w:p>
  </w:endnote>
  <w:endnote w:id="1224">
    <w:p>
      <w:pPr>
        <w:pStyle w:val="EndnoteText"/>
        <w:jc w:val="both"/>
      </w:pPr>
      <w:r>
        <w:rPr>
          <w:rStyle w:val="EndnoteReference"/>
        </w:rPr>
        <w:endnoteRef/>
      </w:r>
      <w:r>
        <w:t xml:space="preserve"> </w:t>
      </w:r>
      <w:r>
        <w:rPr>
          <w:i/>
        </w:rPr>
        <w:t>Id.</w:t>
      </w:r>
    </w:p>
  </w:endnote>
  <w:endnote w:id="1225">
    <w:p>
      <w:pPr>
        <w:pStyle w:val="EndnoteText"/>
        <w:jc w:val="both"/>
      </w:pPr>
      <w:r>
        <w:rPr>
          <w:rStyle w:val="EndnoteReference"/>
        </w:rPr>
        <w:endnoteRef/>
      </w:r>
      <w:r>
        <w:t xml:space="preserve"> </w:t>
      </w:r>
      <w:r>
        <w:rPr>
          <w:i/>
        </w:rPr>
        <w:t>Id.</w:t>
      </w:r>
    </w:p>
  </w:endnote>
  <w:endnote w:id="1226">
    <w:p>
      <w:pPr>
        <w:pStyle w:val="EndnoteText"/>
        <w:jc w:val="both"/>
      </w:pPr>
      <w:r>
        <w:rPr>
          <w:rStyle w:val="EndnoteReference"/>
        </w:rPr>
        <w:endnoteRef/>
      </w:r>
      <w:r>
        <w:t xml:space="preserve"> </w:t>
      </w:r>
      <w:r>
        <w:rPr>
          <w:i/>
        </w:rPr>
        <w:t>Id.</w:t>
      </w:r>
      <w:r>
        <w:t xml:space="preserve"> at 4-5.</w:t>
      </w:r>
    </w:p>
  </w:endnote>
  <w:endnote w:id="1227">
    <w:p>
      <w:pPr>
        <w:pStyle w:val="EndnoteText"/>
        <w:jc w:val="both"/>
      </w:pPr>
      <w:r>
        <w:rPr>
          <w:rStyle w:val="EndnoteReference"/>
        </w:rPr>
        <w:endnoteRef/>
      </w:r>
      <w:r>
        <w:t xml:space="preserve"> </w:t>
      </w:r>
      <w:r>
        <w:rPr>
          <w:i/>
        </w:rPr>
        <w:t>Id.</w:t>
      </w:r>
    </w:p>
  </w:endnote>
  <w:endnote w:id="1228">
    <w:p>
      <w:pPr>
        <w:pStyle w:val="EndnoteText"/>
        <w:jc w:val="both"/>
      </w:pPr>
      <w:r>
        <w:rPr>
          <w:rStyle w:val="EndnoteReference"/>
        </w:rPr>
        <w:endnoteRef/>
      </w:r>
      <w:r>
        <w:t xml:space="preserve"> </w:t>
      </w:r>
      <w:r>
        <w:rPr>
          <w:i/>
        </w:rPr>
        <w:t>Double View Ventures, LLC v. Polite</w:t>
      </w:r>
      <w:r>
        <w:t>, No. A13A2134, 2014 WL 1227777, at *2 (2014).</w:t>
      </w:r>
    </w:p>
  </w:endnote>
  <w:endnote w:id="1229">
    <w:p>
      <w:pPr>
        <w:pStyle w:val="EndnoteText"/>
        <w:jc w:val="both"/>
      </w:pPr>
      <w:r>
        <w:rPr>
          <w:rStyle w:val="EndnoteReference"/>
        </w:rPr>
        <w:endnoteRef/>
      </w:r>
      <w:r>
        <w:t xml:space="preserve"> </w:t>
      </w:r>
      <w:r>
        <w:rPr>
          <w:i/>
        </w:rPr>
        <w:t>Id.</w:t>
      </w:r>
      <w:r>
        <w:t xml:space="preserve"> at *1.</w:t>
      </w:r>
    </w:p>
  </w:endnote>
  <w:endnote w:id="1230">
    <w:p>
      <w:pPr>
        <w:pStyle w:val="EndnoteText"/>
        <w:jc w:val="both"/>
      </w:pPr>
      <w:r>
        <w:rPr>
          <w:rStyle w:val="EndnoteReference"/>
        </w:rPr>
        <w:endnoteRef/>
      </w:r>
      <w:r>
        <w:t xml:space="preserve"> Brief of Appellee, </w:t>
      </w:r>
      <w:r>
        <w:rPr>
          <w:i/>
        </w:rPr>
        <w:t>Double View Ventures, LLC v. Polite</w:t>
      </w:r>
      <w:r>
        <w:t>, 2014 WL 1227777 (2014) (No. A13A2134), 2013 WL 6068036, at *3.</w:t>
      </w:r>
    </w:p>
  </w:endnote>
  <w:endnote w:id="1231">
    <w:p>
      <w:pPr>
        <w:pStyle w:val="EndnoteText"/>
        <w:jc w:val="both"/>
      </w:pPr>
      <w:r>
        <w:rPr>
          <w:rStyle w:val="EndnoteReference"/>
        </w:rPr>
        <w:endnoteRef/>
      </w:r>
      <w:r>
        <w:t xml:space="preserve"> Brief of Appellants, </w:t>
      </w:r>
      <w:r>
        <w:rPr>
          <w:i/>
        </w:rPr>
        <w:t>Double View Ventures, LLC v. Polite</w:t>
      </w:r>
      <w:r>
        <w:t>, 2014 WL 1227777 (2014) (No. A13A2134), 2013 WL 6068035, *2.</w:t>
      </w:r>
    </w:p>
  </w:endnote>
  <w:endnote w:id="1232">
    <w:p>
      <w:pPr>
        <w:pStyle w:val="EndnoteText"/>
        <w:jc w:val="both"/>
      </w:pPr>
      <w:r>
        <w:rPr>
          <w:rStyle w:val="EndnoteReference"/>
        </w:rPr>
        <w:endnoteRef/>
      </w:r>
      <w:r>
        <w:t xml:space="preserve"> </w:t>
      </w:r>
      <w:r>
        <w:rPr>
          <w:i/>
        </w:rPr>
        <w:t>Id.</w:t>
      </w:r>
    </w:p>
  </w:endnote>
  <w:endnote w:id="1233">
    <w:p>
      <w:pPr>
        <w:pStyle w:val="EndnoteText"/>
        <w:jc w:val="both"/>
      </w:pPr>
      <w:r>
        <w:rPr>
          <w:rStyle w:val="EndnoteReference"/>
        </w:rPr>
        <w:endnoteRef/>
      </w:r>
      <w:r>
        <w:t xml:space="preserve"> </w:t>
      </w:r>
      <w:r>
        <w:rPr>
          <w:i/>
        </w:rPr>
        <w:t>Id.</w:t>
      </w:r>
    </w:p>
  </w:endnote>
  <w:endnote w:id="1234">
    <w:p>
      <w:pPr>
        <w:pStyle w:val="EndnoteText"/>
        <w:jc w:val="both"/>
      </w:pPr>
      <w:r>
        <w:rPr>
          <w:rStyle w:val="EndnoteReference"/>
        </w:rPr>
        <w:endnoteRef/>
      </w:r>
      <w:r>
        <w:t xml:space="preserve"> </w:t>
      </w:r>
      <w:r>
        <w:rPr>
          <w:i/>
        </w:rPr>
        <w:t>Id.</w:t>
      </w:r>
    </w:p>
  </w:endnote>
  <w:endnote w:id="1235">
    <w:p>
      <w:pPr>
        <w:pStyle w:val="EndnoteText"/>
        <w:jc w:val="both"/>
      </w:pPr>
      <w:r>
        <w:rPr>
          <w:rStyle w:val="EndnoteReference"/>
        </w:rPr>
        <w:endnoteRef/>
      </w:r>
      <w:r>
        <w:t xml:space="preserve"> </w:t>
      </w:r>
      <w:r>
        <w:rPr>
          <w:i/>
        </w:rPr>
        <w:t>Id.</w:t>
      </w:r>
    </w:p>
  </w:endnote>
  <w:endnote w:id="1236">
    <w:p>
      <w:pPr>
        <w:pStyle w:val="EndnoteText"/>
        <w:jc w:val="both"/>
      </w:pPr>
      <w:r>
        <w:rPr>
          <w:rStyle w:val="EndnoteReference"/>
        </w:rPr>
        <w:endnoteRef/>
      </w:r>
      <w:r>
        <w:t xml:space="preserve"> </w:t>
      </w:r>
      <w:r>
        <w:rPr>
          <w:i/>
        </w:rPr>
        <w:t>Id</w:t>
      </w:r>
      <w:r>
        <w:t>.</w:t>
      </w:r>
      <w:r>
        <w:rPr>
          <w:i/>
        </w:rPr>
        <w:t xml:space="preserve"> at</w:t>
      </w:r>
      <w:r>
        <w:t xml:space="preserve"> *4</w:t>
      </w:r>
      <w:r>
        <w:rPr>
          <w:i/>
        </w:rPr>
        <w:t>.</w:t>
      </w:r>
    </w:p>
  </w:endnote>
  <w:endnote w:id="1237">
    <w:p>
      <w:pPr>
        <w:pStyle w:val="EndnoteText"/>
        <w:jc w:val="both"/>
      </w:pPr>
      <w:r>
        <w:rPr>
          <w:rStyle w:val="EndnoteReference"/>
        </w:rPr>
        <w:endnoteRef/>
      </w:r>
      <w:r>
        <w:t xml:space="preserve"> </w:t>
      </w:r>
      <w:r>
        <w:rPr>
          <w:i/>
        </w:rPr>
        <w:t>Id.</w:t>
      </w:r>
    </w:p>
  </w:endnote>
  <w:endnote w:id="1238">
    <w:p>
      <w:pPr>
        <w:pStyle w:val="EndnoteText"/>
        <w:jc w:val="both"/>
      </w:pPr>
      <w:r>
        <w:rPr>
          <w:rStyle w:val="EndnoteReference"/>
        </w:rPr>
        <w:endnoteRef/>
      </w:r>
      <w:r>
        <w:t xml:space="preserve"> </w:t>
      </w:r>
      <w:r>
        <w:rPr>
          <w:i/>
        </w:rPr>
        <w:t>Id.</w:t>
      </w:r>
    </w:p>
  </w:endnote>
  <w:endnote w:id="1239">
    <w:p>
      <w:pPr>
        <w:pStyle w:val="EndnoteText"/>
        <w:jc w:val="both"/>
      </w:pPr>
      <w:r>
        <w:rPr>
          <w:rStyle w:val="EndnoteReference"/>
        </w:rPr>
        <w:endnoteRef/>
      </w:r>
      <w:r>
        <w:t xml:space="preserve"> </w:t>
      </w:r>
      <w:r>
        <w:rPr>
          <w:i/>
        </w:rPr>
        <w:t>Id.</w:t>
      </w:r>
      <w:r>
        <w:t xml:space="preserve"> at *5.</w:t>
      </w:r>
    </w:p>
  </w:endnote>
  <w:endnote w:id="1240">
    <w:p>
      <w:pPr>
        <w:pStyle w:val="EndnoteText"/>
        <w:jc w:val="both"/>
      </w:pPr>
      <w:r>
        <w:rPr>
          <w:rStyle w:val="EndnoteReference"/>
        </w:rPr>
        <w:endnoteRef/>
      </w:r>
      <w:r>
        <w:t xml:space="preserve"> </w:t>
      </w:r>
      <w:r>
        <w:rPr>
          <w:i/>
        </w:rPr>
        <w:t>Id.</w:t>
      </w:r>
    </w:p>
  </w:endnote>
  <w:endnote w:id="1241">
    <w:p>
      <w:pPr>
        <w:pStyle w:val="EndnoteText"/>
        <w:jc w:val="both"/>
      </w:pPr>
      <w:r>
        <w:rPr>
          <w:rStyle w:val="EndnoteReference"/>
        </w:rPr>
        <w:endnoteRef/>
      </w:r>
      <w:r>
        <w:t xml:space="preserve"> </w:t>
      </w:r>
      <w:r>
        <w:rPr>
          <w:i/>
        </w:rPr>
        <w:t>Id.</w:t>
      </w:r>
    </w:p>
  </w:endnote>
  <w:endnote w:id="1242">
    <w:p>
      <w:pPr>
        <w:pStyle w:val="EndnoteText"/>
        <w:jc w:val="both"/>
      </w:pPr>
      <w:r>
        <w:rPr>
          <w:rStyle w:val="EndnoteReference"/>
        </w:rPr>
        <w:endnoteRef/>
      </w:r>
      <w:r>
        <w:t xml:space="preserve"> </w:t>
      </w:r>
      <w:r>
        <w:rPr>
          <w:i/>
        </w:rPr>
        <w:t>Id.</w:t>
      </w:r>
    </w:p>
  </w:endnote>
  <w:endnote w:id="1243">
    <w:p>
      <w:pPr>
        <w:pStyle w:val="EndnoteText"/>
        <w:jc w:val="both"/>
      </w:pPr>
      <w:r>
        <w:rPr>
          <w:rStyle w:val="EndnoteReference"/>
        </w:rPr>
        <w:endnoteRef/>
      </w:r>
      <w:r>
        <w:t xml:space="preserve"> Verdict,</w:t>
      </w:r>
      <w:r>
        <w:rPr>
          <w:i/>
        </w:rPr>
        <w:t xml:space="preserve"> Polite v.  Double View Ventures, LLC.</w:t>
      </w:r>
      <w:r>
        <w:rPr>
          <w:b/>
          <w:i/>
        </w:rPr>
        <w:t>,</w:t>
      </w:r>
      <w:r>
        <w:rPr>
          <w:b/>
        </w:rPr>
        <w:t xml:space="preserve"> </w:t>
      </w:r>
      <w:r>
        <w:t xml:space="preserve">No. 09A05619-4 (State Ct. of DeKalb Cnty., GA, Sept. 14, 2012).  </w:t>
      </w:r>
      <w:r>
        <w:rPr>
          <w:i/>
        </w:rPr>
        <w:t>See</w:t>
      </w:r>
      <w:r>
        <w:t xml:space="preserve"> Attachment 2.</w:t>
      </w:r>
    </w:p>
  </w:endnote>
  <w:endnote w:id="1244">
    <w:p>
      <w:pPr>
        <w:pStyle w:val="EndnoteText"/>
        <w:jc w:val="both"/>
      </w:pPr>
      <w:r>
        <w:rPr>
          <w:rStyle w:val="EndnoteReference"/>
        </w:rPr>
        <w:endnoteRef/>
      </w:r>
      <w:r>
        <w:t xml:space="preserve"> </w:t>
      </w:r>
      <w:r>
        <w:rPr>
          <w:i/>
        </w:rPr>
        <w:t xml:space="preserve">Id.  </w:t>
      </w:r>
      <w:r>
        <w:t xml:space="preserve">On March 26, 2014, the Georgia Court of Appeals reversed the verdict in the </w:t>
      </w:r>
      <w:r>
        <w:rPr>
          <w:i/>
        </w:rPr>
        <w:t>Polite</w:t>
      </w:r>
      <w:r>
        <w:t xml:space="preserve"> case and remanded it for a new trial.  The Georgia Court of Appeals held that the trial court erred in failing to allow the jury to consider the non-party fault of Chevron.  The Georgia Court of Appeals, in a whole court decision, decided that the evidence adduced during the plaintiff’s case-in-chief was sufficient to require that the jury be allowed to consider the fault of the adjoining property owner where there was evidence adduced “showing numerous armed robberies and assaults on the Chevron property, including inside the convenience store, as well as evidence that the area surrounding the Chevron station and the apartment complex was known as a high-crime area, there is a factual question as to whether the Chevron station knew or should have known about the dangerous conditions on its premises which might subject it to a determination of fault.”  </w:t>
      </w:r>
      <w:r>
        <w:rPr>
          <w:i/>
        </w:rPr>
        <w:t>Double View Ventures, LLC v. Polite</w:t>
      </w:r>
      <w:r>
        <w:t xml:space="preserve">, No. A13A2134, 2014 WL 1227777, at *5 (2014).  The Georgia Court of Appeals also noted that while “it is not clear whether the Chevron station had any security protection, it is undisputed that it did not maintain its own fence, that the portion of the fence at issue was located on Chevron property about 12 feet away from the property line, and that this failure resulted in clear danger to those, such as [plaintiff], who traversed openings in the fence.”  </w:t>
      </w:r>
      <w:r>
        <w:rPr>
          <w:i/>
        </w:rPr>
        <w:t xml:space="preserve">Id.  </w:t>
      </w:r>
      <w:r>
        <w:t>This was sufficient, according to the Georgia Court of Appeals, to meet the defendant’s burden and allow the jury to consider Chevron’s fault for the plaintiff’s damages.  Although raised on appeal, the Georgia Court of Appeals did not address the apparent inconsistency of the jury’s finding that the plaintiff was 13% at fault for his damages, while the person(s) who shot him bore no fault.</w:t>
      </w:r>
    </w:p>
  </w:endnote>
  <w:endnote w:id="1245">
    <w:p>
      <w:pPr>
        <w:pStyle w:val="EndnoteText"/>
        <w:jc w:val="both"/>
      </w:pPr>
      <w:r>
        <w:rPr>
          <w:rStyle w:val="EndnoteReference"/>
        </w:rPr>
        <w:endnoteRef/>
      </w:r>
      <w:r>
        <w:t xml:space="preserve"> Consolidated Pretrial Order at 22,</w:t>
      </w:r>
      <w:r>
        <w:rPr>
          <w:i/>
        </w:rPr>
        <w:t xml:space="preserve"> Board v. HMI Properties Solutions, Inc.</w:t>
      </w:r>
      <w:r>
        <w:t xml:space="preserve">, No. 09A04531-3 (State Ct. of DeKalb Cnty., GA). </w:t>
      </w:r>
    </w:p>
  </w:endnote>
  <w:endnote w:id="1246">
    <w:p>
      <w:pPr>
        <w:pStyle w:val="EndnoteText"/>
        <w:jc w:val="both"/>
      </w:pPr>
      <w:r>
        <w:rPr>
          <w:rStyle w:val="EndnoteReference"/>
        </w:rPr>
        <w:endnoteRef/>
      </w:r>
      <w:r>
        <w:t xml:space="preserve"> </w:t>
      </w:r>
      <w:r>
        <w:rPr>
          <w:i/>
        </w:rPr>
        <w:t>Id.</w:t>
      </w:r>
    </w:p>
  </w:endnote>
  <w:endnote w:id="1247">
    <w:p>
      <w:pPr>
        <w:pStyle w:val="EndnoteText"/>
        <w:jc w:val="both"/>
      </w:pPr>
      <w:r>
        <w:rPr>
          <w:rStyle w:val="EndnoteReference"/>
        </w:rPr>
        <w:endnoteRef/>
      </w:r>
      <w:r>
        <w:t xml:space="preserve"> </w:t>
      </w:r>
      <w:r>
        <w:rPr>
          <w:i/>
        </w:rPr>
        <w:t>Id.</w:t>
      </w:r>
      <w:r>
        <w:t xml:space="preserve"> at 22-23.</w:t>
      </w:r>
    </w:p>
  </w:endnote>
  <w:endnote w:id="1248">
    <w:p>
      <w:pPr>
        <w:pStyle w:val="EndnoteText"/>
        <w:jc w:val="both"/>
      </w:pPr>
      <w:r>
        <w:rPr>
          <w:rStyle w:val="EndnoteReference"/>
        </w:rPr>
        <w:endnoteRef/>
      </w:r>
      <w:r>
        <w:t xml:space="preserve"> </w:t>
      </w:r>
      <w:r>
        <w:rPr>
          <w:i/>
        </w:rPr>
        <w:t>Id.</w:t>
      </w:r>
      <w:r>
        <w:t xml:space="preserve"> at 23.</w:t>
      </w:r>
    </w:p>
  </w:endnote>
  <w:endnote w:id="1249">
    <w:p>
      <w:pPr>
        <w:pStyle w:val="EndnoteText"/>
        <w:jc w:val="both"/>
      </w:pPr>
      <w:r>
        <w:rPr>
          <w:rStyle w:val="EndnoteReference"/>
        </w:rPr>
        <w:endnoteRef/>
      </w:r>
      <w:r>
        <w:t xml:space="preserve"> </w:t>
      </w:r>
      <w:r>
        <w:rPr>
          <w:i/>
        </w:rPr>
        <w:t>Id.</w:t>
      </w:r>
    </w:p>
  </w:endnote>
  <w:endnote w:id="1250">
    <w:p>
      <w:pPr>
        <w:pStyle w:val="EndnoteText"/>
        <w:jc w:val="both"/>
      </w:pPr>
      <w:r>
        <w:rPr>
          <w:rStyle w:val="EndnoteReference"/>
        </w:rPr>
        <w:endnoteRef/>
      </w:r>
      <w:r>
        <w:t xml:space="preserve"> </w:t>
      </w:r>
      <w:r>
        <w:rPr>
          <w:i/>
        </w:rPr>
        <w:t>Id.</w:t>
      </w:r>
    </w:p>
  </w:endnote>
  <w:endnote w:id="1251">
    <w:p>
      <w:pPr>
        <w:pStyle w:val="EndnoteText"/>
        <w:jc w:val="both"/>
      </w:pPr>
      <w:r>
        <w:rPr>
          <w:rStyle w:val="EndnoteReference"/>
        </w:rPr>
        <w:endnoteRef/>
      </w:r>
      <w:r>
        <w:t xml:space="preserve"> </w:t>
      </w:r>
      <w:r>
        <w:rPr>
          <w:i/>
        </w:rPr>
        <w:t>Id.</w:t>
      </w:r>
    </w:p>
  </w:endnote>
  <w:endnote w:id="1252">
    <w:p>
      <w:pPr>
        <w:pStyle w:val="EndnoteText"/>
        <w:jc w:val="both"/>
      </w:pPr>
      <w:r>
        <w:rPr>
          <w:rStyle w:val="EndnoteReference"/>
        </w:rPr>
        <w:endnoteRef/>
      </w:r>
      <w:r>
        <w:t xml:space="preserve"> </w:t>
      </w:r>
      <w:r>
        <w:rPr>
          <w:i/>
        </w:rPr>
        <w:t>Id.</w:t>
      </w:r>
    </w:p>
  </w:endnote>
  <w:endnote w:id="1253">
    <w:p>
      <w:pPr>
        <w:pStyle w:val="EndnoteText"/>
        <w:jc w:val="both"/>
      </w:pPr>
      <w:r>
        <w:rPr>
          <w:rStyle w:val="EndnoteReference"/>
        </w:rPr>
        <w:endnoteRef/>
      </w:r>
      <w:r>
        <w:t xml:space="preserve"> </w:t>
      </w:r>
      <w:r>
        <w:rPr>
          <w:i/>
        </w:rPr>
        <w:t>Id.</w:t>
      </w:r>
    </w:p>
  </w:endnote>
  <w:endnote w:id="1254">
    <w:p>
      <w:pPr>
        <w:pStyle w:val="EndnoteText"/>
        <w:jc w:val="both"/>
      </w:pPr>
      <w:r>
        <w:rPr>
          <w:rStyle w:val="EndnoteReference"/>
        </w:rPr>
        <w:endnoteRef/>
      </w:r>
      <w:r>
        <w:t xml:space="preserve"> </w:t>
      </w:r>
      <w:r>
        <w:rPr>
          <w:i/>
        </w:rPr>
        <w:t>Id.</w:t>
      </w:r>
      <w:r>
        <w:t xml:space="preserve"> at 23-24.</w:t>
      </w:r>
    </w:p>
  </w:endnote>
  <w:endnote w:id="1255">
    <w:p>
      <w:pPr>
        <w:pStyle w:val="EndnoteText"/>
        <w:jc w:val="both"/>
      </w:pPr>
      <w:r>
        <w:rPr>
          <w:rStyle w:val="EndnoteReference"/>
        </w:rPr>
        <w:endnoteRef/>
      </w:r>
      <w:r>
        <w:t xml:space="preserve"> </w:t>
      </w:r>
      <w:r>
        <w:rPr>
          <w:i/>
        </w:rPr>
        <w:t>Id.</w:t>
      </w:r>
      <w:r>
        <w:t xml:space="preserve"> at 6.</w:t>
      </w:r>
    </w:p>
  </w:endnote>
  <w:endnote w:id="1256">
    <w:p>
      <w:pPr>
        <w:pStyle w:val="EndnoteText"/>
        <w:jc w:val="both"/>
      </w:pPr>
      <w:r>
        <w:rPr>
          <w:rStyle w:val="EndnoteReference"/>
        </w:rPr>
        <w:endnoteRef/>
      </w:r>
      <w:r>
        <w:t xml:space="preserve"> </w:t>
      </w:r>
      <w:r>
        <w:rPr>
          <w:i/>
        </w:rPr>
        <w:t>Id.</w:t>
      </w:r>
    </w:p>
  </w:endnote>
  <w:endnote w:id="1257">
    <w:p>
      <w:pPr>
        <w:pStyle w:val="EndnoteText"/>
        <w:jc w:val="both"/>
      </w:pPr>
      <w:r>
        <w:rPr>
          <w:rStyle w:val="EndnoteReference"/>
        </w:rPr>
        <w:endnoteRef/>
      </w:r>
      <w:r>
        <w:t xml:space="preserve"> </w:t>
      </w:r>
      <w:r>
        <w:rPr>
          <w:i/>
        </w:rPr>
        <w:t>Id.</w:t>
      </w:r>
    </w:p>
  </w:endnote>
  <w:endnote w:id="1258">
    <w:p>
      <w:pPr>
        <w:pStyle w:val="EndnoteText"/>
        <w:jc w:val="both"/>
      </w:pPr>
      <w:r>
        <w:rPr>
          <w:rStyle w:val="EndnoteReference"/>
        </w:rPr>
        <w:endnoteRef/>
      </w:r>
      <w:r>
        <w:t xml:space="preserve"> </w:t>
      </w:r>
      <w:r>
        <w:rPr>
          <w:i/>
        </w:rPr>
        <w:t>Id.</w:t>
      </w:r>
      <w:r>
        <w:t xml:space="preserve"> at 6-7.</w:t>
      </w:r>
    </w:p>
  </w:endnote>
  <w:endnote w:id="1259">
    <w:p>
      <w:pPr>
        <w:pStyle w:val="EndnoteText"/>
        <w:jc w:val="both"/>
        <w:rPr>
          <w:sz w:val="24"/>
          <w:szCs w:val="24"/>
        </w:rPr>
      </w:pPr>
      <w:r>
        <w:rPr>
          <w:rStyle w:val="EndnoteReference"/>
        </w:rPr>
        <w:endnoteRef/>
      </w:r>
      <w:r>
        <w:t xml:space="preserve"> Verdict, </w:t>
      </w:r>
      <w:r>
        <w:rPr>
          <w:i/>
        </w:rPr>
        <w:t>Board v. HMI Properties Solutions, Inc.</w:t>
      </w:r>
      <w:r>
        <w:t xml:space="preserve">, No. 09A04531-3 (State Ct. of DeKalb Cnty., GA, Sept. 25, 2013).  </w:t>
      </w:r>
      <w:r>
        <w:rPr>
          <w:i/>
        </w:rPr>
        <w:t xml:space="preserve">See </w:t>
      </w:r>
      <w:r>
        <w:t>Attachment 3.</w:t>
      </w:r>
    </w:p>
    <w:p>
      <w:pPr>
        <w:pStyle w:val="EndnoteText"/>
        <w:jc w:val="both"/>
      </w:pPr>
    </w:p>
  </w:endnote>
  <w:endnote w:id="1260">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t xml:space="preserve">O.C.G.A. § 51-12-33(b) (2000 &amp; Supp. 2012); O.C.G.A. § 51-12-33(d) (Supp. 2012).   </w:t>
      </w:r>
    </w:p>
  </w:endnote>
  <w:endnote w:id="1261">
    <w:p>
      <w:pPr>
        <w:pStyle w:val="EndnoteText"/>
        <w:ind w:left="720" w:hanging="720"/>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See</w:t>
      </w:r>
      <w:r>
        <w:rPr>
          <w:rFonts w:ascii="Century" w:hAnsi="Century"/>
        </w:rPr>
        <w:t xml:space="preserve"> O.C.G.A. § 51-12-32 (2000 &amp; Supp. 2012); </w:t>
      </w:r>
      <w:r>
        <w:rPr>
          <w:rFonts w:ascii="Century" w:hAnsi="Century"/>
          <w:i/>
        </w:rPr>
        <w:t xml:space="preserve">see also </w:t>
      </w:r>
      <w:r>
        <w:rPr>
          <w:rFonts w:ascii="Century" w:hAnsi="Century"/>
        </w:rPr>
        <w:t xml:space="preserve">O.C.G.A. § 51-12-33.  </w:t>
      </w:r>
    </w:p>
  </w:endnote>
  <w:endnote w:id="1262">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r>
      <w:r>
        <w:rPr>
          <w:rFonts w:ascii="Century" w:hAnsi="Century"/>
          <w:color w:val="252525"/>
        </w:rPr>
        <w:t xml:space="preserve">2005 Georgia Laws Act 1 (S.B. 3). </w:t>
      </w:r>
      <w:r>
        <w:rPr>
          <w:rFonts w:ascii="Century" w:hAnsi="Century"/>
          <w:i/>
        </w:rPr>
        <w:t>See also Universal Underwriters Group v. Southern Guar. Ins. Co.</w:t>
      </w:r>
      <w:r>
        <w:rPr>
          <w:rFonts w:ascii="Century" w:hAnsi="Century"/>
        </w:rPr>
        <w:t>, 297 Ga. App. 587, 588, 677 S.E. 2d 760, 762 (2009).</w:t>
      </w:r>
    </w:p>
  </w:endnote>
  <w:endnote w:id="1263">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See e.g.</w:t>
      </w:r>
      <w:r>
        <w:rPr>
          <w:rFonts w:ascii="Century" w:hAnsi="Century"/>
        </w:rPr>
        <w:t xml:space="preserve">, </w:t>
      </w:r>
      <w:r>
        <w:rPr>
          <w:rFonts w:ascii="Century" w:hAnsi="Century"/>
          <w:i/>
        </w:rPr>
        <w:t>Couch v. Red Roof Inns, Inc.</w:t>
      </w:r>
      <w:r>
        <w:rPr>
          <w:rFonts w:ascii="Century" w:hAnsi="Century"/>
        </w:rPr>
        <w:t>, 291 Ga. 359, 729 S.E. 2d 378 (2013).</w:t>
      </w:r>
    </w:p>
  </w:endnote>
  <w:endnote w:id="1264">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 xml:space="preserve">See e.g. </w:t>
      </w:r>
      <w:r>
        <w:rPr>
          <w:rFonts w:ascii="Century" w:hAnsi="Century"/>
        </w:rPr>
        <w:t xml:space="preserve"> </w:t>
      </w:r>
      <w:r>
        <w:rPr>
          <w:rFonts w:ascii="Century" w:hAnsi="Century"/>
          <w:i/>
        </w:rPr>
        <w:t>Zurich Amer. Ins Co. v. Heard</w:t>
      </w:r>
      <w:r>
        <w:rPr>
          <w:rFonts w:ascii="Century" w:hAnsi="Century"/>
        </w:rPr>
        <w:t>, 321 Ga. App. 325, 740 S.E. 2d 429 (2013).</w:t>
      </w:r>
    </w:p>
  </w:endnote>
  <w:endnote w:id="1265">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t>O.C.G.A. § 51-12-32 begins with:  “</w:t>
      </w:r>
      <w:r>
        <w:rPr>
          <w:rFonts w:ascii="Century" w:hAnsi="Century"/>
          <w:color w:val="252525"/>
        </w:rPr>
        <w:t>Except as provided in</w:t>
      </w:r>
      <w:r>
        <w:rPr>
          <w:rStyle w:val="apple-converted-space"/>
          <w:rFonts w:ascii="Century" w:hAnsi="Century"/>
          <w:color w:val="252525"/>
        </w:rPr>
        <w:t> </w:t>
      </w:r>
      <w:r>
        <w:rPr>
          <w:rFonts w:ascii="Century" w:hAnsi="Century"/>
        </w:rPr>
        <w:t>Code Section 51-12-33…”</w:t>
      </w:r>
    </w:p>
  </w:endnote>
  <w:endnote w:id="1266">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t>O.C.G.A. § 51-12-33(a)-(b), (d)(1).</w:t>
      </w:r>
    </w:p>
  </w:endnote>
  <w:endnote w:id="1267">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Cavalier Convenience, Inc. v. Sarvis</w:t>
      </w:r>
      <w:r>
        <w:rPr>
          <w:rFonts w:ascii="Century" w:hAnsi="Century"/>
        </w:rPr>
        <w:t>, 305 Ga. App. 141, 144-146, 699 S.E. 2d 104, 106-08 (2010).</w:t>
      </w:r>
    </w:p>
  </w:endnote>
  <w:endnote w:id="1268">
    <w:p>
      <w:pPr>
        <w:pStyle w:val="EndnoteText"/>
        <w:ind w:left="720" w:hanging="720"/>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xml:space="preserve">. at 142-45, 699 S.E.2d at 105-07; </w:t>
      </w:r>
      <w:r>
        <w:rPr>
          <w:rFonts w:ascii="Century" w:hAnsi="Century"/>
          <w:i/>
        </w:rPr>
        <w:t xml:space="preserve">see also </w:t>
      </w:r>
      <w:r>
        <w:rPr>
          <w:rFonts w:ascii="Century" w:hAnsi="Century"/>
        </w:rPr>
        <w:t xml:space="preserve">O.C.G.A. § 51-12-33(b). </w:t>
      </w:r>
    </w:p>
  </w:endnote>
  <w:endnote w:id="1269">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xml:space="preserve">. at 142-43, 699 S.E.2d at 105-06. </w:t>
      </w:r>
    </w:p>
  </w:endnote>
  <w:endnote w:id="1270">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 xml:space="preserve">See </w:t>
      </w:r>
      <w:r>
        <w:rPr>
          <w:rFonts w:ascii="Century" w:hAnsi="Century"/>
        </w:rPr>
        <w:t xml:space="preserve"> </w:t>
      </w:r>
      <w:r>
        <w:rPr>
          <w:rFonts w:ascii="Century" w:hAnsi="Century"/>
          <w:i/>
        </w:rPr>
        <w:t>Zurich Amer. Ins Co. v. Heard</w:t>
      </w:r>
      <w:r>
        <w:rPr>
          <w:rFonts w:ascii="Century" w:hAnsi="Century"/>
        </w:rPr>
        <w:t xml:space="preserve">, 321 Ga. App. 325, 740 S.E. 2d 429 (2013). </w:t>
      </w:r>
    </w:p>
  </w:endnote>
  <w:endnote w:id="1271">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Murray v. Patel</w:t>
      </w:r>
      <w:r>
        <w:rPr>
          <w:rFonts w:ascii="Century" w:hAnsi="Century"/>
        </w:rPr>
        <w:t>, 304 Ga. App. 253, 255, 696 S.E. 2d 97, 99 (2010).</w:t>
      </w:r>
    </w:p>
  </w:endnote>
  <w:endnote w:id="1272">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w:t>
      </w:r>
    </w:p>
  </w:endnote>
  <w:endnote w:id="1273">
    <w:p>
      <w:pPr>
        <w:pStyle w:val="EndnoteText"/>
        <w:ind w:left="720" w:hanging="720"/>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w:t>
      </w:r>
    </w:p>
  </w:endnote>
  <w:endnote w:id="1274">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District Owners Ass’n, Inc. v. AMEC Enviro. &amp; Infrastructure, Inc.</w:t>
      </w:r>
      <w:r>
        <w:rPr>
          <w:rFonts w:ascii="Century" w:hAnsi="Century"/>
        </w:rPr>
        <w:t xml:space="preserve">, 322 Ga. App. 713, 747 S.E. 2d 10, 14 (2013). </w:t>
      </w:r>
    </w:p>
  </w:endnote>
  <w:endnote w:id="1275">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w:t>
      </w:r>
    </w:p>
  </w:endnote>
  <w:endnote w:id="1276">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w:t>
      </w:r>
    </w:p>
  </w:endnote>
  <w:endnote w:id="1277">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t xml:space="preserve">O.C.G.A. § 51-12-33(d)(1) (Supp. 2012). </w:t>
      </w:r>
    </w:p>
  </w:endnote>
  <w:endnote w:id="1278">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t>O.C.G.A. § 51-12-33(d)(1).</w:t>
      </w:r>
    </w:p>
  </w:endnote>
  <w:endnote w:id="1279">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McReynolds v. Krebs</w:t>
      </w:r>
      <w:r>
        <w:rPr>
          <w:rFonts w:ascii="Century" w:hAnsi="Century"/>
        </w:rPr>
        <w:t xml:space="preserve">, 307 Ga. App. 330, 335, 705 S.E. 2d 214, 218 (2010).  What is sufficient evidence remains an open ended issue.  </w:t>
      </w:r>
      <w:r>
        <w:rPr>
          <w:rFonts w:ascii="Century" w:hAnsi="Century"/>
          <w:i/>
        </w:rPr>
        <w:t xml:space="preserve">McReynolds </w:t>
      </w:r>
      <w:r>
        <w:rPr>
          <w:rFonts w:ascii="Century" w:hAnsi="Century"/>
        </w:rPr>
        <w:t xml:space="preserve">does not address this question.  However, </w:t>
      </w:r>
      <w:r>
        <w:rPr>
          <w:rFonts w:ascii="Century" w:hAnsi="Century"/>
          <w:i/>
        </w:rPr>
        <w:t>McReynolds</w:t>
      </w:r>
      <w:r>
        <w:rPr>
          <w:rFonts w:ascii="Century" w:hAnsi="Century"/>
        </w:rPr>
        <w:t xml:space="preserve"> does demonstrate that, while the right to apportionment against a settling non-party is automatic (O.C.G.A. § 51-12-33(d)(1) states that “negligence or fault of a nonparty shall be considered if the plaintiff entered into a settlement agreement with the nonparty…”), apportionment cannot occur where no evidence is presented concerning the settling non-party’s liability.  </w:t>
      </w:r>
    </w:p>
  </w:endnote>
  <w:endnote w:id="1280">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McReynolds v. Krebs</w:t>
      </w:r>
      <w:r>
        <w:rPr>
          <w:rFonts w:ascii="Century" w:hAnsi="Century"/>
        </w:rPr>
        <w:t xml:space="preserve">, 307 Ga. App. 330, 332-34, 705 S.E. 2d 214, 216/217 (2010), </w:t>
      </w:r>
      <w:r>
        <w:rPr>
          <w:rFonts w:ascii="Century" w:hAnsi="Century"/>
          <w:i/>
        </w:rPr>
        <w:t xml:space="preserve">aff’d by </w:t>
      </w:r>
      <w:r>
        <w:rPr>
          <w:rStyle w:val="Emphasis"/>
          <w:rFonts w:ascii="Century" w:hAnsi="Century"/>
        </w:rPr>
        <w:t>McReynolds v. Krebs,</w:t>
      </w:r>
      <w:r>
        <w:rPr>
          <w:rFonts w:ascii="Century" w:hAnsi="Century"/>
        </w:rPr>
        <w:t xml:space="preserve"> 290 Ga. 850, 852-853, 725 S.E.2d 584, 587-88 (2012).</w:t>
      </w:r>
    </w:p>
  </w:endnote>
  <w:endnote w:id="1281">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r>
      <w:r>
        <w:rPr>
          <w:rStyle w:val="Emphasis"/>
          <w:rFonts w:ascii="Century" w:hAnsi="Century"/>
        </w:rPr>
        <w:t>McReynolds,</w:t>
      </w:r>
      <w:r>
        <w:rPr>
          <w:rFonts w:ascii="Century" w:hAnsi="Century"/>
        </w:rPr>
        <w:t xml:space="preserve"> 290 Ga. at 850-53, 725 S.E.2d at 586-88.</w:t>
      </w:r>
    </w:p>
  </w:endnote>
  <w:endnote w:id="1282">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xml:space="preserve">.; </w:t>
      </w:r>
      <w:r>
        <w:rPr>
          <w:rFonts w:ascii="Century" w:hAnsi="Century"/>
          <w:i/>
        </w:rPr>
        <w:t>see also</w:t>
      </w:r>
      <w:r>
        <w:rPr>
          <w:rFonts w:ascii="Century" w:hAnsi="Century"/>
        </w:rPr>
        <w:t xml:space="preserve"> </w:t>
      </w:r>
      <w:r>
        <w:rPr>
          <w:rFonts w:ascii="Century" w:hAnsi="Century"/>
          <w:i/>
        </w:rPr>
        <w:t>McReynolds</w:t>
      </w:r>
      <w:r>
        <w:rPr>
          <w:rFonts w:ascii="Century" w:hAnsi="Century"/>
        </w:rPr>
        <w:t>,</w:t>
      </w:r>
      <w:r>
        <w:rPr>
          <w:rFonts w:ascii="Century" w:hAnsi="Century"/>
          <w:i/>
        </w:rPr>
        <w:t xml:space="preserve"> </w:t>
      </w:r>
      <w:r>
        <w:rPr>
          <w:rFonts w:ascii="Century" w:hAnsi="Century"/>
        </w:rPr>
        <w:t>307 Ga. App. at 335, 705 S.E. 2d at 218.</w:t>
      </w:r>
    </w:p>
  </w:endnote>
  <w:endnote w:id="1283">
    <w:p>
      <w:pPr>
        <w:pStyle w:val="EndnoteText"/>
        <w:ind w:left="720" w:hanging="720"/>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Pacheco v. Regal Cinemas, Inc.</w:t>
      </w:r>
      <w:r>
        <w:rPr>
          <w:rFonts w:ascii="Century" w:hAnsi="Century"/>
        </w:rPr>
        <w:t>, 311 Ga. App. 224, 715 S.E. 2d 214 (2011).</w:t>
      </w:r>
    </w:p>
  </w:endnote>
  <w:endnote w:id="1284">
    <w:p>
      <w:pPr>
        <w:pStyle w:val="EndnoteText"/>
        <w:ind w:left="720" w:hanging="720"/>
      </w:pPr>
      <w:r>
        <w:rPr>
          <w:rStyle w:val="EndnoteReference"/>
          <w:rFonts w:ascii="Century" w:hAnsi="Century"/>
        </w:rPr>
        <w:endnoteRef/>
      </w:r>
      <w:r>
        <w:rPr>
          <w:rFonts w:ascii="Century" w:hAnsi="Century"/>
        </w:rPr>
        <w:tab/>
      </w:r>
      <w:r>
        <w:rPr>
          <w:rFonts w:ascii="Century" w:hAnsi="Century"/>
          <w:i/>
        </w:rPr>
        <w:t>Id</w:t>
      </w:r>
      <w:r>
        <w:rPr>
          <w:rFonts w:ascii="Century" w:hAnsi="Century"/>
        </w:rPr>
        <w:t xml:space="preserve">. at 227-30, 715 S.E.2d at 732-34. </w:t>
      </w:r>
    </w:p>
  </w:endnote>
  <w:endnote w:id="1285">
    <w:p>
      <w:pPr>
        <w:pStyle w:val="EndnoteText"/>
        <w:ind w:left="720" w:hanging="720"/>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at 228, 715 S.E. 2d at  732-33.</w:t>
      </w:r>
    </w:p>
  </w:endnote>
  <w:endnote w:id="1286">
    <w:p>
      <w:pPr>
        <w:pStyle w:val="EndnoteText"/>
        <w:ind w:left="720" w:hanging="720"/>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w:t>
      </w:r>
    </w:p>
  </w:endnote>
  <w:endnote w:id="1287">
    <w:p>
      <w:pPr>
        <w:pStyle w:val="EndnoteText"/>
        <w:ind w:left="720" w:hanging="720"/>
      </w:pPr>
      <w:r>
        <w:rPr>
          <w:rStyle w:val="EndnoteReference"/>
          <w:rFonts w:ascii="Century" w:hAnsi="Century"/>
        </w:rPr>
        <w:endnoteRef/>
      </w:r>
      <w:r>
        <w:rPr>
          <w:rFonts w:ascii="Century" w:hAnsi="Century"/>
        </w:rPr>
        <w:tab/>
      </w:r>
      <w:r>
        <w:rPr>
          <w:rFonts w:ascii="Century" w:hAnsi="Century"/>
          <w:i/>
        </w:rPr>
        <w:t>Id</w:t>
      </w:r>
      <w:r>
        <w:rPr>
          <w:rFonts w:ascii="Century" w:hAnsi="Century"/>
        </w:rPr>
        <w:t xml:space="preserve">. at 229-30, 733-34. </w:t>
      </w:r>
    </w:p>
  </w:endnote>
  <w:endnote w:id="1288">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Couch v. Red Roof Inns, Inc.</w:t>
      </w:r>
      <w:r>
        <w:rPr>
          <w:rFonts w:ascii="Century" w:hAnsi="Century"/>
        </w:rPr>
        <w:t>, 291 Ga. 359, 359, 729 S.E. 2d 378, 379 (2013).</w:t>
      </w:r>
    </w:p>
  </w:endnote>
  <w:endnote w:id="1289">
    <w:p>
      <w:pPr>
        <w:pStyle w:val="EndnoteText"/>
        <w:ind w:left="720" w:hanging="720"/>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at 361, 729 S.E.2d at 380.</w:t>
      </w:r>
    </w:p>
  </w:endnote>
  <w:endnote w:id="1290">
    <w:p>
      <w:pPr>
        <w:pStyle w:val="EndnoteText"/>
        <w:ind w:left="720" w:hanging="720"/>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xml:space="preserve">. at 362, 729 S.E.2d at 381. </w:t>
      </w:r>
    </w:p>
  </w:endnote>
  <w:endnote w:id="1291">
    <w:p>
      <w:pPr>
        <w:pStyle w:val="EndnoteText"/>
        <w:ind w:left="720" w:hanging="720"/>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xml:space="preserve">. at 362-63, 729 S.E.2d at 381-382.   The Court specifically noted that O.C.G.A. § 51-12-32 (2000 &amp; Supp. 2012) included an exclusion for claims involving moral turpitude while § 51-12-33 (2000 &amp; Supp. 2012) did not exclude or prohibit apportionment for any specific claim or parties, including intentional, criminal actors.  </w:t>
      </w:r>
    </w:p>
  </w:endnote>
  <w:endnote w:id="1292">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at 367, 729 S.E.2d at 384.</w:t>
      </w:r>
    </w:p>
  </w:endnote>
  <w:endnote w:id="1293">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xml:space="preserve">. </w:t>
      </w:r>
    </w:p>
  </w:endnote>
  <w:endnote w:id="1294">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w:t>
      </w:r>
    </w:p>
  </w:endnote>
  <w:endnote w:id="1295">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at 363, 367, 729 S.E.2d at 381-82, 84.</w:t>
      </w:r>
    </w:p>
  </w:endnote>
  <w:endnote w:id="1296">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at 367, 729 S.E.2d at 384.</w:t>
      </w:r>
    </w:p>
  </w:endnote>
  <w:endnote w:id="1297">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See Six Flags Over Georgia II, L.P. v. Martin</w:t>
      </w:r>
      <w:r>
        <w:rPr>
          <w:rFonts w:ascii="Century" w:hAnsi="Century"/>
        </w:rPr>
        <w:t xml:space="preserve">, 320 Ga. App. 52, 53, 743 S.E. 2d 25, 26 (2013); </w:t>
      </w:r>
      <w:r>
        <w:rPr>
          <w:rFonts w:ascii="Century" w:hAnsi="Century"/>
          <w:i/>
        </w:rPr>
        <w:t>see also GFI Mgmt Servs., Inc. v. Medina</w:t>
      </w:r>
      <w:r>
        <w:rPr>
          <w:rFonts w:ascii="Century" w:hAnsi="Century"/>
        </w:rPr>
        <w:t xml:space="preserve">, 291 Ga. 741, 742-43, 733 S.E. 2d 329, 329 (2012). </w:t>
      </w:r>
    </w:p>
  </w:endnote>
  <w:endnote w:id="1298">
    <w:p>
      <w:pPr>
        <w:pStyle w:val="EndnoteText"/>
        <w:tabs>
          <w:tab w:val="left" w:pos="720"/>
          <w:tab w:val="left" w:pos="1440"/>
          <w:tab w:val="left" w:pos="2160"/>
          <w:tab w:val="left" w:pos="2880"/>
          <w:tab w:val="left" w:pos="3600"/>
          <w:tab w:val="left" w:pos="4320"/>
          <w:tab w:val="left" w:pos="5040"/>
          <w:tab w:val="left" w:pos="5760"/>
          <w:tab w:val="left" w:pos="6420"/>
        </w:tabs>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See Barnett v. Farmer</w:t>
      </w:r>
      <w:r>
        <w:rPr>
          <w:rFonts w:ascii="Century" w:hAnsi="Century"/>
        </w:rPr>
        <w:t>, 308 Ga. App. 358, 707 S.E. 2d 570 (2011).</w:t>
      </w:r>
      <w:r>
        <w:rPr>
          <w:rFonts w:ascii="Century" w:hAnsi="Century"/>
        </w:rPr>
        <w:tab/>
      </w:r>
    </w:p>
  </w:endnote>
  <w:endnote w:id="1299">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Barnett</w:t>
      </w:r>
      <w:r>
        <w:rPr>
          <w:rFonts w:ascii="Century" w:hAnsi="Century"/>
        </w:rPr>
        <w:t xml:space="preserve">, 308 Ga. App. at 360-62, 707 S.E.2d at 572-74. </w:t>
      </w:r>
    </w:p>
  </w:endnote>
  <w:endnote w:id="1300">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w:t>
      </w:r>
    </w:p>
  </w:endnote>
  <w:endnote w:id="1301">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at 358-60, 707 S.E.2d at 571-72.</w:t>
      </w:r>
    </w:p>
  </w:endnote>
  <w:endnote w:id="1302">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at 360, 707 S.E.2d at 572.</w:t>
      </w:r>
    </w:p>
  </w:endnote>
  <w:endnote w:id="1303">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at 362, 707 S.E.2d at 573-74.</w:t>
      </w:r>
    </w:p>
  </w:endnote>
  <w:endnote w:id="1304">
    <w:p>
      <w:pPr>
        <w:pStyle w:val="EndnoteText"/>
      </w:pPr>
      <w:r>
        <w:rPr>
          <w:rStyle w:val="EndnoteReference"/>
          <w:rFonts w:ascii="Century" w:hAnsi="Century"/>
        </w:rPr>
        <w:endnoteRef/>
      </w:r>
      <w:r>
        <w:rPr>
          <w:rFonts w:ascii="Century" w:hAnsi="Century"/>
        </w:rPr>
        <w:tab/>
      </w:r>
      <w:r>
        <w:rPr>
          <w:rFonts w:ascii="Century" w:hAnsi="Century"/>
          <w:i/>
        </w:rPr>
        <w:t>Couch v. Red Roof Inns, Inc.</w:t>
      </w:r>
      <w:r>
        <w:rPr>
          <w:rFonts w:ascii="Century" w:hAnsi="Century"/>
        </w:rPr>
        <w:t xml:space="preserve">, 291 Ga. at 365, 729 S.E.2d at 384. </w:t>
      </w:r>
    </w:p>
  </w:endnote>
  <w:endnote w:id="1305">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See</w:t>
      </w:r>
      <w:r>
        <w:rPr>
          <w:rFonts w:ascii="Century" w:hAnsi="Century"/>
        </w:rPr>
        <w:t xml:space="preserve"> </w:t>
      </w:r>
      <w:r>
        <w:rPr>
          <w:rFonts w:ascii="Century" w:hAnsi="Century"/>
          <w:i/>
        </w:rPr>
        <w:t>Zurich Amer. Ins Co. v. Heard</w:t>
      </w:r>
      <w:r>
        <w:rPr>
          <w:rFonts w:ascii="Century" w:hAnsi="Century"/>
        </w:rPr>
        <w:t>, 321 Ga. App. 325, 740 S.E. 2d 429 (2013).</w:t>
      </w:r>
    </w:p>
  </w:endnote>
  <w:endnote w:id="1306">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xml:space="preserve">. at 326, 740 S.E.2d at 430. </w:t>
      </w:r>
    </w:p>
  </w:endnote>
  <w:endnote w:id="1307">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at 326-27, 740 S.E.2d at 430-31.</w:t>
      </w:r>
    </w:p>
  </w:endnote>
  <w:endnote w:id="1308">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at 327, 740 S.E.2d at 431.</w:t>
      </w:r>
    </w:p>
  </w:endnote>
  <w:endnote w:id="1309">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at 326, 740 S.E.2d at 430.</w:t>
      </w:r>
    </w:p>
  </w:endnote>
  <w:endnote w:id="1310">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at 327, 740 S.E.2d at 431.</w:t>
      </w:r>
    </w:p>
  </w:endnote>
  <w:endnote w:id="1311">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w:t>
      </w:r>
    </w:p>
  </w:endnote>
  <w:endnote w:id="1312">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w:t>
      </w:r>
    </w:p>
  </w:endnote>
  <w:endnote w:id="1313">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at 328, 740 S.E.2d at 431-32.</w:t>
      </w:r>
    </w:p>
  </w:endnote>
  <w:endnote w:id="1314">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at 332, 740 S.E.2d at 434.</w:t>
      </w:r>
    </w:p>
  </w:endnote>
  <w:endnote w:id="1315">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at 328-29, 740 S.E.2d at 431-32.</w:t>
      </w:r>
    </w:p>
  </w:endnote>
  <w:endnote w:id="1316">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at 329, 740 S.E.2d at 432.</w:t>
      </w:r>
    </w:p>
  </w:endnote>
  <w:endnote w:id="1317">
    <w:p>
      <w:pPr>
        <w:pStyle w:val="EndnoteText"/>
        <w:ind w:left="720" w:hanging="720"/>
        <w:jc w:val="both"/>
      </w:pPr>
      <w:r>
        <w:rPr>
          <w:rStyle w:val="EndnoteReference"/>
          <w:rFonts w:ascii="Century" w:hAnsi="Century"/>
        </w:rPr>
        <w:endnoteRef/>
      </w:r>
      <w:r>
        <w:rPr>
          <w:rFonts w:ascii="Century" w:hAnsi="Century"/>
        </w:rPr>
        <w:t xml:space="preserve"> </w:t>
      </w:r>
      <w:r>
        <w:rPr>
          <w:rFonts w:ascii="Century" w:hAnsi="Century"/>
        </w:rPr>
        <w:tab/>
      </w:r>
      <w:r>
        <w:rPr>
          <w:rStyle w:val="Emphasis"/>
          <w:rFonts w:ascii="Century" w:hAnsi="Century"/>
        </w:rPr>
        <w:t>McReynolds v. Krebs,</w:t>
      </w:r>
      <w:r>
        <w:rPr>
          <w:rFonts w:ascii="Century" w:hAnsi="Century"/>
        </w:rPr>
        <w:t xml:space="preserve"> 290 Ga. 850, 725 S.E.2d 584 (2012).</w:t>
      </w:r>
    </w:p>
  </w:endnote>
  <w:endnote w:id="1318">
    <w:p>
      <w:pPr>
        <w:pStyle w:val="EndnoteText"/>
      </w:pPr>
      <w:r>
        <w:rPr>
          <w:rStyle w:val="EndnoteReference"/>
          <w:rFonts w:ascii="Century" w:hAnsi="Century"/>
        </w:rPr>
        <w:endnoteRef/>
      </w:r>
      <w:r>
        <w:rPr>
          <w:rFonts w:ascii="Century" w:hAnsi="Century"/>
        </w:rPr>
        <w:t xml:space="preserve"> </w:t>
      </w:r>
      <w:r>
        <w:rPr>
          <w:rFonts w:ascii="Century" w:hAnsi="Century"/>
        </w:rPr>
        <w:tab/>
        <w:t xml:space="preserve">Order Granting Defendants’ Motion for Summary Judgment, March 30, 2012, </w:t>
      </w:r>
      <w:r>
        <w:rPr>
          <w:rFonts w:ascii="Century" w:hAnsi="Century"/>
          <w:i/>
        </w:rPr>
        <w:t>Zurich Amer. Ins. Co. v. John W. Heard</w:t>
      </w:r>
      <w:r>
        <w:rPr>
          <w:rFonts w:ascii="Century" w:hAnsi="Century"/>
        </w:rPr>
        <w:t>, AIA, et al., State Court of Fulton County, Civil Action File No. 10-EV-009600-D.</w:t>
      </w:r>
    </w:p>
  </w:endnote>
  <w:endnote w:id="1319">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Zurich Amer. Ins. Co.</w:t>
      </w:r>
      <w:r>
        <w:rPr>
          <w:rFonts w:ascii="Century" w:hAnsi="Century"/>
        </w:rPr>
        <w:t>, 321 Ga. App. at 325, 740 S.E.2d at 430.</w:t>
      </w:r>
    </w:p>
  </w:endnote>
  <w:endnote w:id="1320">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at 330, 740 S.E.2d at 432-33.</w:t>
      </w:r>
    </w:p>
  </w:endnote>
  <w:endnote w:id="1321">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w:t>
      </w:r>
    </w:p>
  </w:endnote>
  <w:endnote w:id="1322">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w:t>
      </w:r>
    </w:p>
  </w:endnote>
  <w:endnote w:id="1323">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at 329, 740 S.E.2d at 432.</w:t>
      </w:r>
    </w:p>
  </w:endnote>
  <w:endnote w:id="1324">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at 330, 740 S.E.2d at 432-33.</w:t>
      </w:r>
    </w:p>
  </w:endnote>
  <w:endnote w:id="1325">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w:t>
      </w:r>
    </w:p>
  </w:endnote>
  <w:endnote w:id="1326">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Id</w:t>
      </w:r>
      <w:r>
        <w:rPr>
          <w:rFonts w:ascii="Century" w:hAnsi="Century"/>
        </w:rPr>
        <w:t>. at 327-30, 740 S.E.2d at 431.</w:t>
      </w:r>
    </w:p>
  </w:endnote>
  <w:endnote w:id="1327">
    <w:p>
      <w:pPr>
        <w:pStyle w:val="EndnoteText"/>
        <w:ind w:left="720" w:hanging="720"/>
        <w:jc w:val="both"/>
      </w:pPr>
      <w:r>
        <w:rPr>
          <w:rStyle w:val="EndnoteReference"/>
          <w:rFonts w:ascii="Century" w:hAnsi="Century"/>
        </w:rPr>
        <w:endnoteRef/>
      </w:r>
      <w:r>
        <w:rPr>
          <w:rFonts w:ascii="Century" w:hAnsi="Century"/>
        </w:rPr>
        <w:tab/>
      </w:r>
      <w:r>
        <w:rPr>
          <w:rFonts w:ascii="Century" w:hAnsi="Century"/>
          <w:i/>
        </w:rPr>
        <w:t>Id</w:t>
      </w:r>
      <w:r>
        <w:rPr>
          <w:rFonts w:ascii="Century" w:hAnsi="Century"/>
        </w:rPr>
        <w:t>.</w:t>
      </w:r>
    </w:p>
  </w:endnote>
  <w:endnote w:id="1328">
    <w:p>
      <w:pPr>
        <w:pStyle w:val="EndnoteText"/>
        <w:jc w:val="both"/>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See</w:t>
      </w:r>
      <w:r>
        <w:rPr>
          <w:rFonts w:ascii="Century" w:hAnsi="Century"/>
        </w:rPr>
        <w:t xml:space="preserve"> O.C.G.A. § 51-12-33(d) (Supp. 2012).  This is particularly true where apportionment against a settling party is automatically permitted (subject to sufficient proof of causation) without the necessity of providing notice 120 days prior to trial.</w:t>
      </w:r>
    </w:p>
  </w:endnote>
  <w:endnote w:id="1329">
    <w:p>
      <w:pPr>
        <w:pStyle w:val="EndnoteText"/>
      </w:pPr>
      <w:r>
        <w:rPr>
          <w:rStyle w:val="EndnoteReference"/>
          <w:rFonts w:ascii="Century" w:hAnsi="Century"/>
        </w:rPr>
        <w:endnoteRef/>
      </w:r>
      <w:r>
        <w:rPr>
          <w:rFonts w:ascii="Century" w:hAnsi="Century"/>
        </w:rPr>
        <w:t xml:space="preserve"> </w:t>
      </w:r>
      <w:r>
        <w:rPr>
          <w:rFonts w:ascii="Century" w:hAnsi="Century"/>
        </w:rPr>
        <w:tab/>
      </w:r>
      <w:r>
        <w:rPr>
          <w:rFonts w:ascii="Century" w:hAnsi="Century"/>
          <w:i/>
        </w:rPr>
        <w:t>See</w:t>
      </w:r>
      <w:r>
        <w:rPr>
          <w:rFonts w:ascii="Century" w:hAnsi="Century"/>
        </w:rPr>
        <w:t xml:space="preserve"> </w:t>
      </w:r>
      <w:r>
        <w:rPr>
          <w:rStyle w:val="Emphasis"/>
          <w:rFonts w:ascii="Century" w:hAnsi="Century"/>
        </w:rPr>
        <w:t>McReynolds v. Krebs,</w:t>
      </w:r>
      <w:r>
        <w:rPr>
          <w:rFonts w:ascii="Century" w:hAnsi="Century"/>
        </w:rPr>
        <w:t xml:space="preserve"> 290 Ga. 850, 725 S.E.2d 584 (2012); </w:t>
      </w:r>
      <w:r>
        <w:rPr>
          <w:rFonts w:ascii="Century" w:hAnsi="Century"/>
          <w:i/>
        </w:rPr>
        <w:t>Zurich Amer. Ins Co. v. Heard</w:t>
      </w:r>
      <w:r>
        <w:rPr>
          <w:rFonts w:ascii="Century" w:hAnsi="Century"/>
        </w:rPr>
        <w:t>, 321 Ga. App. 325, 740 S.E. 2d 429 (2013).</w:t>
      </w:r>
    </w:p>
  </w:endnote>
  <w:endnote w:id="1330">
    <w:p>
      <w:pPr>
        <w:pStyle w:val="EndnoteText"/>
      </w:pPr>
      <w:r>
        <w:rPr>
          <w:rStyle w:val="EndnoteReference"/>
          <w:rFonts w:ascii="Century" w:hAnsi="Century"/>
        </w:rPr>
        <w:endnoteRef/>
      </w:r>
      <w:r>
        <w:rPr>
          <w:rFonts w:ascii="Century" w:hAnsi="Century"/>
        </w:rPr>
        <w:t xml:space="preserve"> </w:t>
      </w:r>
      <w:r>
        <w:rPr>
          <w:rFonts w:ascii="Century" w:hAnsi="Century"/>
        </w:rPr>
        <w:tab/>
        <w:t xml:space="preserve">O.C.G.A. § 51-12-33(A)-(b) (2000 &amp; Supp. 2012). </w:t>
      </w:r>
    </w:p>
  </w:endnote>
  <w:endnote w:id="1331">
    <w:p>
      <w:pPr>
        <w:pStyle w:val="EndnoteText"/>
      </w:pPr>
      <w:r>
        <w:rPr>
          <w:rStyle w:val="EndnoteReference"/>
          <w:rFonts w:ascii="Century" w:hAnsi="Century"/>
        </w:rPr>
        <w:endnoteRef/>
      </w:r>
      <w:r>
        <w:rPr>
          <w:rFonts w:ascii="Century" w:hAnsi="Century"/>
        </w:rPr>
        <w:t xml:space="preserve"> </w:t>
      </w:r>
      <w:r>
        <w:rPr>
          <w:rFonts w:ascii="Century" w:hAnsi="Century"/>
        </w:rPr>
        <w:tab/>
        <w:t>O.C.G.A. § 51-12-33(d)(1).</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entury Schoolbook">
    <w:altName w:val="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entury">
    <w:panose1 w:val="02040604050505020304"/>
    <w:charset w:val="00"/>
    <w:family w:val="roman"/>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pPr>
  </w:p>
</w:ftr>
</file>

<file path=word/footer10.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jc w:val="center"/>
      <w:rPr>
        <w:noProof/>
        <w:sz w:val="21"/>
        <w:szCs w:val="21"/>
      </w:rPr>
    </w:pPr>
    <w:r>
      <w:rPr>
        <w:sz w:val="21"/>
        <w:szCs w:val="21"/>
      </w:rPr>
      <w:fldChar w:fldCharType="begin"/>
    </w:r>
    <w:r>
      <w:rPr>
        <w:sz w:val="21"/>
        <w:szCs w:val="21"/>
      </w:rPr>
      <w:instrText xml:space="preserve"> PAGE   \* MERGEFORMAT </w:instrText>
    </w:r>
    <w:r>
      <w:rPr>
        <w:sz w:val="21"/>
        <w:szCs w:val="21"/>
      </w:rPr>
      <w:fldChar w:fldCharType="separate"/>
    </w:r>
    <w:r>
      <w:rPr>
        <w:noProof/>
        <w:sz w:val="21"/>
        <w:szCs w:val="21"/>
      </w:rPr>
      <w:t>206</w:t>
    </w:r>
    <w:r>
      <w:rPr>
        <w:sz w:val="21"/>
        <w:szCs w:val="21"/>
      </w:rPr>
      <w:fldChar w:fldCharType="end"/>
    </w:r>
  </w:p>
  <w:p>
    <w:pPr>
      <w:pStyle w:val="Footer"/>
      <w:jc w:val="center"/>
      <w:rPr>
        <w:sz w:val="21"/>
        <w:szCs w:val="21"/>
      </w:rPr>
    </w:pPr>
  </w:p>
  <w:p>
    <w:pPr>
      <w:pStyle w:val="Footer"/>
    </w:pPr>
    <w:r>
      <w:rPr>
        <w:sz w:val="17"/>
        <w:szCs w:val="17"/>
      </w:rPr>
      <w:t>Georgia Defense Lawyers Association – 2014 Law Journal</w:t>
    </w:r>
  </w:p>
</w:ftr>
</file>

<file path=word/footer2.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rPr>
        <w:sz w:val="17"/>
        <w:szCs w:val="17"/>
      </w:rPr>
    </w:pPr>
    <w:bookmarkStart w:id="1" w:name="OLE_LINK1"/>
    <w:bookmarkStart w:id="2" w:name="OLE_LINK2"/>
    <w:r>
      <w:rPr>
        <w:sz w:val="17"/>
        <w:szCs w:val="17"/>
      </w:rPr>
      <w:t>Georgia Defense Lawyers Association – 2014 Law Journal</w:t>
    </w:r>
    <w:bookmarkEnd w:id="1"/>
    <w:bookmarkEnd w:id="2"/>
  </w:p>
</w:ftr>
</file>

<file path=word/footer3.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jc w:val="center"/>
      <w:rPr>
        <w:noProof/>
        <w:sz w:val="21"/>
        <w:szCs w:val="21"/>
      </w:rPr>
    </w:pPr>
    <w:r>
      <w:rPr>
        <w:sz w:val="21"/>
        <w:szCs w:val="21"/>
      </w:rPr>
      <w:fldChar w:fldCharType="begin"/>
    </w:r>
    <w:r>
      <w:rPr>
        <w:sz w:val="21"/>
        <w:szCs w:val="21"/>
      </w:rPr>
      <w:instrText xml:space="preserve"> PAGE   \* MERGEFORMAT </w:instrText>
    </w:r>
    <w:r>
      <w:rPr>
        <w:sz w:val="21"/>
        <w:szCs w:val="21"/>
      </w:rPr>
      <w:fldChar w:fldCharType="separate"/>
    </w:r>
    <w:r>
      <w:rPr>
        <w:noProof/>
        <w:sz w:val="21"/>
        <w:szCs w:val="21"/>
      </w:rPr>
      <w:t>195</w:t>
    </w:r>
    <w:r>
      <w:rPr>
        <w:sz w:val="21"/>
        <w:szCs w:val="21"/>
      </w:rPr>
      <w:fldChar w:fldCharType="end"/>
    </w:r>
  </w:p>
  <w:p>
    <w:pPr>
      <w:pStyle w:val="Footer"/>
      <w:jc w:val="center"/>
      <w:rPr>
        <w:sz w:val="21"/>
        <w:szCs w:val="21"/>
      </w:rPr>
    </w:pPr>
  </w:p>
  <w:p>
    <w:pPr>
      <w:pStyle w:val="Footer"/>
      <w:rPr>
        <w:sz w:val="17"/>
        <w:szCs w:val="17"/>
      </w:rPr>
    </w:pPr>
    <w:r>
      <w:rPr>
        <w:sz w:val="17"/>
        <w:szCs w:val="17"/>
      </w:rPr>
      <w:t>Georgia Defense Lawyers Association – 2013 Law Journal</w:t>
    </w:r>
  </w:p>
  <w:p>
    <w:pPr>
      <w:pStyle w:val="Footer"/>
      <w:jc w:val="right"/>
      <w:rPr>
        <w:sz w:val="17"/>
        <w:szCs w:val="17"/>
      </w:rPr>
    </w:pPr>
  </w:p>
</w:ftr>
</file>

<file path=word/footer4.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jc w:val="center"/>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noProof/>
        <w:sz w:val="21"/>
        <w:szCs w:val="21"/>
      </w:rPr>
      <w:t>iv</w:t>
    </w:r>
    <w:r>
      <w:rPr>
        <w:sz w:val="21"/>
        <w:szCs w:val="21"/>
      </w:rPr>
      <w:fldChar w:fldCharType="end"/>
    </w:r>
  </w:p>
  <w:p>
    <w:pPr>
      <w:pStyle w:val="Footer"/>
      <w:rPr>
        <w:sz w:val="17"/>
        <w:szCs w:val="17"/>
      </w:rPr>
    </w:pPr>
    <w:r>
      <w:rPr>
        <w:sz w:val="17"/>
        <w:szCs w:val="17"/>
      </w:rPr>
      <w:t>Georgia Defense Lawyers Association – 2014 Law Journal</w:t>
    </w:r>
  </w:p>
</w:ftr>
</file>

<file path=word/footer5.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jc w:val="center"/>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noProof/>
        <w:sz w:val="21"/>
        <w:szCs w:val="21"/>
      </w:rPr>
      <w:t>v</w:t>
    </w:r>
    <w:r>
      <w:rPr>
        <w:sz w:val="21"/>
        <w:szCs w:val="21"/>
      </w:rPr>
      <w:fldChar w:fldCharType="end"/>
    </w:r>
  </w:p>
  <w:p>
    <w:pPr>
      <w:pStyle w:val="Footer"/>
      <w:jc w:val="center"/>
      <w:rPr>
        <w:sz w:val="21"/>
        <w:szCs w:val="21"/>
      </w:rPr>
    </w:pPr>
  </w:p>
  <w:p>
    <w:pPr>
      <w:pStyle w:val="Footer"/>
      <w:rPr>
        <w:sz w:val="17"/>
        <w:szCs w:val="17"/>
      </w:rPr>
    </w:pPr>
    <w:r>
      <w:rPr>
        <w:sz w:val="17"/>
        <w:szCs w:val="17"/>
      </w:rPr>
      <w:t>Georgia Defense Lawyers Association – 2014 Law Journal</w:t>
    </w:r>
  </w:p>
</w:ftr>
</file>

<file path=word/footer6.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jc w:val="center"/>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noProof/>
        <w:sz w:val="21"/>
        <w:szCs w:val="21"/>
      </w:rPr>
      <w:t>vi</w:t>
    </w:r>
    <w:r>
      <w:rPr>
        <w:sz w:val="21"/>
        <w:szCs w:val="21"/>
      </w:rPr>
      <w:fldChar w:fldCharType="end"/>
    </w:r>
  </w:p>
  <w:p>
    <w:pPr>
      <w:pStyle w:val="Footer"/>
      <w:jc w:val="center"/>
      <w:rPr>
        <w:sz w:val="21"/>
        <w:szCs w:val="21"/>
      </w:rPr>
    </w:pPr>
  </w:p>
  <w:p>
    <w:pPr>
      <w:pStyle w:val="Footer"/>
      <w:rPr>
        <w:sz w:val="17"/>
        <w:szCs w:val="17"/>
      </w:rPr>
    </w:pPr>
    <w:r>
      <w:rPr>
        <w:sz w:val="17"/>
        <w:szCs w:val="17"/>
      </w:rPr>
      <w:t>Georgia Defense Lawyers Association – 2014 Law Journal</w:t>
    </w:r>
  </w:p>
</w:ftr>
</file>

<file path=word/footer7.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jc w:val="center"/>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noProof/>
        <w:sz w:val="21"/>
        <w:szCs w:val="21"/>
      </w:rPr>
      <w:t>129</w:t>
    </w:r>
    <w:r>
      <w:rPr>
        <w:sz w:val="21"/>
        <w:szCs w:val="21"/>
      </w:rPr>
      <w:fldChar w:fldCharType="end"/>
    </w:r>
  </w:p>
  <w:p>
    <w:pPr>
      <w:pStyle w:val="Footer"/>
      <w:jc w:val="center"/>
      <w:rPr>
        <w:sz w:val="21"/>
        <w:szCs w:val="21"/>
      </w:rPr>
    </w:pPr>
  </w:p>
  <w:p>
    <w:pPr>
      <w:pStyle w:val="Footer"/>
      <w:rPr>
        <w:sz w:val="17"/>
        <w:szCs w:val="17"/>
      </w:rPr>
    </w:pPr>
    <w:r>
      <w:rPr>
        <w:sz w:val="17"/>
        <w:szCs w:val="17"/>
      </w:rPr>
      <w:t>Georgia Defense Lawyers Association – 2014 Law Journal</w:t>
    </w:r>
  </w:p>
</w:ftr>
</file>

<file path=word/footer8.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framePr w:wrap="around" w:vAnchor="text" w:hAnchor="margin" w:xAlign="right" w:y="1"/>
      <w:rPr>
        <w:rStyle w:val="PageNumber"/>
        <w:sz w:val="21"/>
        <w:szCs w:val="21"/>
      </w:rPr>
    </w:pPr>
    <w:r>
      <w:rPr>
        <w:rStyle w:val="PageNumber"/>
        <w:sz w:val="21"/>
        <w:szCs w:val="21"/>
      </w:rPr>
      <w:fldChar w:fldCharType="begin"/>
    </w:r>
    <w:r>
      <w:rPr>
        <w:rStyle w:val="PageNumber"/>
        <w:sz w:val="21"/>
        <w:szCs w:val="21"/>
      </w:rPr>
      <w:instrText xml:space="preserve">PAGE  </w:instrText>
    </w:r>
    <w:r>
      <w:rPr>
        <w:rStyle w:val="PageNumber"/>
        <w:sz w:val="21"/>
        <w:szCs w:val="21"/>
      </w:rPr>
      <w:fldChar w:fldCharType="separate"/>
    </w:r>
    <w:r>
      <w:rPr>
        <w:rStyle w:val="PageNumber"/>
        <w:noProof/>
        <w:sz w:val="21"/>
        <w:szCs w:val="21"/>
      </w:rPr>
      <w:t>184</w:t>
    </w:r>
    <w:r>
      <w:rPr>
        <w:rStyle w:val="PageNumber"/>
        <w:sz w:val="21"/>
        <w:szCs w:val="21"/>
      </w:rPr>
      <w:fldChar w:fldCharType="end"/>
    </w:r>
  </w:p>
  <w:p>
    <w:pPr>
      <w:pStyle w:val="Footer"/>
      <w:ind w:right="360"/>
      <w:rPr>
        <w:sz w:val="21"/>
        <w:szCs w:val="21"/>
      </w:rPr>
    </w:pPr>
  </w:p>
</w:ftr>
</file>

<file path=word/footer9.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pPr>
  </w:p>
</w:ftr>
</file>

<file path=word/footnotes.xml><?xml version="1.0" encoding="utf-8"?>
<w:footnotes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pPr>
        <w:spacing w:after="0"/>
        <w:rPr>
          <w:sz w:val="21"/>
          <w:szCs w:val="21"/>
        </w:rPr>
      </w:pPr>
      <w:r>
        <w:rPr>
          <w:sz w:val="21"/>
          <w:szCs w:val="21"/>
        </w:rPr>
        <w:separator/>
      </w:r>
    </w:p>
    <w:p/>
    <w:p/>
  </w:footnote>
  <w:footnote w:type="continuationSeparator" w:id="0">
    <w:p>
      <w:pPr>
        <w:spacing w:after="0"/>
        <w:rPr>
          <w:sz w:val="21"/>
          <w:szCs w:val="21"/>
        </w:rPr>
      </w:pPr>
      <w:r>
        <w:rPr>
          <w:sz w:val="21"/>
          <w:szCs w:val="21"/>
        </w:rPr>
        <w:continuationSeparator/>
      </w:r>
    </w:p>
    <w:p/>
    <w:p/>
  </w:footnote>
</w:footnotes>
</file>

<file path=word/header1.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pPr>
  </w:p>
</w:hdr>
</file>

<file path=word/header2.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pPr>
  </w:p>
</w:hdr>
</file>

<file path=word/header3.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pPr>
  </w:p>
</w:hdr>
</file>

<file path=word/header4.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pPr>
  </w:p>
</w:hdr>
</file>

<file path=word/header5.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pPr>
  </w:p>
</w:hdr>
</file>

<file path=word/header6.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9EEEB06"/>
    <w:lvl w:ilvl="0">
      <w:start w:val="1"/>
      <w:numFmt w:val="decimal"/>
      <w:pStyle w:val="ListNumber5"/>
      <w:lvlText w:val="%1."/>
      <w:lvlJc w:val="left"/>
      <w:pPr>
        <w:tabs>
          <w:tab w:val="num" w:pos="1800"/>
        </w:tabs>
        <w:ind w:left="1800" w:hanging="360"/>
      </w:pPr>
      <w:rPr>
        <w:rFonts w:cs="Times New Roman"/>
      </w:rPr>
    </w:lvl>
  </w:abstractNum>
  <w:abstractNum w:abstractNumId="1">
    <w:nsid w:val="FFFFFF7D"/>
    <w:multiLevelType w:val="singleLevel"/>
    <w:tmpl w:val="5A0296F0"/>
    <w:lvl w:ilvl="0">
      <w:start w:val="1"/>
      <w:numFmt w:val="decimal"/>
      <w:pStyle w:val="ListNumber4"/>
      <w:lvlText w:val="%1."/>
      <w:lvlJc w:val="left"/>
      <w:pPr>
        <w:tabs>
          <w:tab w:val="num" w:pos="1440"/>
        </w:tabs>
        <w:ind w:left="1440" w:hanging="360"/>
      </w:pPr>
      <w:rPr>
        <w:rFonts w:cs="Times New Roman"/>
      </w:rPr>
    </w:lvl>
  </w:abstractNum>
  <w:abstractNum w:abstractNumId="2">
    <w:nsid w:val="FFFFFF7E"/>
    <w:multiLevelType w:val="singleLevel"/>
    <w:tmpl w:val="6E9A79B6"/>
    <w:lvl w:ilvl="0">
      <w:start w:val="1"/>
      <w:numFmt w:val="decimal"/>
      <w:pStyle w:val="ListNumber3"/>
      <w:lvlText w:val="%1."/>
      <w:lvlJc w:val="left"/>
      <w:pPr>
        <w:tabs>
          <w:tab w:val="num" w:pos="1080"/>
        </w:tabs>
        <w:ind w:left="1080" w:hanging="360"/>
      </w:pPr>
      <w:rPr>
        <w:rFonts w:cs="Times New Roman"/>
      </w:rPr>
    </w:lvl>
  </w:abstractNum>
  <w:abstractNum w:abstractNumId="3">
    <w:nsid w:val="FFFFFF7F"/>
    <w:multiLevelType w:val="singleLevel"/>
    <w:tmpl w:val="DF149088"/>
    <w:lvl w:ilvl="0">
      <w:start w:val="1"/>
      <w:numFmt w:val="decimal"/>
      <w:pStyle w:val="ListNumber2"/>
      <w:lvlText w:val="%1."/>
      <w:lvlJc w:val="left"/>
      <w:pPr>
        <w:tabs>
          <w:tab w:val="num" w:pos="720"/>
        </w:tabs>
        <w:ind w:left="720" w:hanging="360"/>
      </w:pPr>
      <w:rPr>
        <w:rFonts w:cs="Times New Roman"/>
      </w:rPr>
    </w:lvl>
  </w:abstractNum>
  <w:abstractNum w:abstractNumId="4">
    <w:nsid w:val="FFFFFF80"/>
    <w:multiLevelType w:val="singleLevel"/>
    <w:tmpl w:val="C07CD1A2"/>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3C8674DA"/>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13D09A56"/>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E402E56C"/>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45181A56"/>
    <w:lvl w:ilvl="0">
      <w:start w:val="1"/>
      <w:numFmt w:val="decimal"/>
      <w:pStyle w:val="ListNumber"/>
      <w:lvlText w:val="%1."/>
      <w:lvlJc w:val="left"/>
      <w:pPr>
        <w:tabs>
          <w:tab w:val="num" w:pos="360"/>
        </w:tabs>
        <w:ind w:left="360" w:hanging="360"/>
      </w:pPr>
      <w:rPr>
        <w:rFonts w:cs="Times New Roman"/>
      </w:rPr>
    </w:lvl>
  </w:abstractNum>
  <w:abstractNum w:abstractNumId="9">
    <w:nsid w:val="FFFFFF89"/>
    <w:multiLevelType w:val="singleLevel"/>
    <w:tmpl w:val="07AA783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9A2F5A"/>
    <w:multiLevelType w:val="hybridMultilevel"/>
    <w:tmpl w:val="20604E9E"/>
    <w:lvl w:ilvl="0" w:tplc="56463282">
      <w:start w:val="1"/>
      <w:numFmt w:val="decimal"/>
      <w:pStyle w:val="BBNumberedBodyText2"/>
      <w:lvlText w:val="%1."/>
      <w:lvlJc w:val="left"/>
      <w:pPr>
        <w:ind w:firstLine="720"/>
      </w:pPr>
      <w:rPr>
        <w:rFonts w:cs="Times New Roman" w:hint="default"/>
      </w:rPr>
    </w:lvl>
    <w:lvl w:ilvl="1" w:tplc="26B41F30" w:tentative="1">
      <w:start w:val="1"/>
      <w:numFmt w:val="lowerLetter"/>
      <w:lvlText w:val="%2."/>
      <w:lvlJc w:val="left"/>
      <w:pPr>
        <w:ind w:left="1440" w:hanging="360"/>
      </w:pPr>
      <w:rPr>
        <w:rFonts w:cs="Times New Roman"/>
      </w:rPr>
    </w:lvl>
    <w:lvl w:ilvl="2" w:tplc="BA08680E" w:tentative="1">
      <w:start w:val="1"/>
      <w:numFmt w:val="lowerRoman"/>
      <w:lvlText w:val="%3."/>
      <w:lvlJc w:val="right"/>
      <w:pPr>
        <w:ind w:left="2160" w:hanging="180"/>
      </w:pPr>
      <w:rPr>
        <w:rFonts w:cs="Times New Roman"/>
      </w:rPr>
    </w:lvl>
    <w:lvl w:ilvl="3" w:tplc="64C07A12" w:tentative="1">
      <w:start w:val="1"/>
      <w:numFmt w:val="decimal"/>
      <w:lvlText w:val="%4."/>
      <w:lvlJc w:val="left"/>
      <w:pPr>
        <w:ind w:left="2880" w:hanging="360"/>
      </w:pPr>
      <w:rPr>
        <w:rFonts w:cs="Times New Roman"/>
      </w:rPr>
    </w:lvl>
    <w:lvl w:ilvl="4" w:tplc="991E9D24" w:tentative="1">
      <w:start w:val="1"/>
      <w:numFmt w:val="lowerLetter"/>
      <w:lvlText w:val="%5."/>
      <w:lvlJc w:val="left"/>
      <w:pPr>
        <w:ind w:left="3600" w:hanging="360"/>
      </w:pPr>
      <w:rPr>
        <w:rFonts w:cs="Times New Roman"/>
      </w:rPr>
    </w:lvl>
    <w:lvl w:ilvl="5" w:tplc="06765E84" w:tentative="1">
      <w:start w:val="1"/>
      <w:numFmt w:val="lowerRoman"/>
      <w:lvlText w:val="%6."/>
      <w:lvlJc w:val="right"/>
      <w:pPr>
        <w:ind w:left="4320" w:hanging="180"/>
      </w:pPr>
      <w:rPr>
        <w:rFonts w:cs="Times New Roman"/>
      </w:rPr>
    </w:lvl>
    <w:lvl w:ilvl="6" w:tplc="5554D454" w:tentative="1">
      <w:start w:val="1"/>
      <w:numFmt w:val="decimal"/>
      <w:lvlText w:val="%7."/>
      <w:lvlJc w:val="left"/>
      <w:pPr>
        <w:ind w:left="5040" w:hanging="360"/>
      </w:pPr>
      <w:rPr>
        <w:rFonts w:cs="Times New Roman"/>
      </w:rPr>
    </w:lvl>
    <w:lvl w:ilvl="7" w:tplc="421C88DC" w:tentative="1">
      <w:start w:val="1"/>
      <w:numFmt w:val="lowerLetter"/>
      <w:lvlText w:val="%8."/>
      <w:lvlJc w:val="left"/>
      <w:pPr>
        <w:ind w:left="5760" w:hanging="360"/>
      </w:pPr>
      <w:rPr>
        <w:rFonts w:cs="Times New Roman"/>
      </w:rPr>
    </w:lvl>
    <w:lvl w:ilvl="8" w:tplc="C2F6F9B6" w:tentative="1">
      <w:start w:val="1"/>
      <w:numFmt w:val="lowerRoman"/>
      <w:lvlText w:val="%9."/>
      <w:lvlJc w:val="right"/>
      <w:pPr>
        <w:ind w:left="6480" w:hanging="180"/>
      </w:pPr>
      <w:rPr>
        <w:rFonts w:cs="Times New Roman"/>
      </w:rPr>
    </w:lvl>
  </w:abstractNum>
  <w:abstractNum w:abstractNumId="11">
    <w:nsid w:val="03190B62"/>
    <w:multiLevelType w:val="multilevel"/>
    <w:tmpl w:val="04090023"/>
    <w:styleLink w:val="ArticleSection"/>
    <w:lvl w:ilvl="0">
      <w:start w:val="1"/>
      <w:numFmt w:val="upperRoman"/>
      <w:lvlText w:val="Article %1."/>
      <w:lvlJc w:val="left"/>
      <w:rPr>
        <w:rFonts w:cs="Times New Roman"/>
      </w:rPr>
    </w:lvl>
    <w:lvl w:ilvl="1">
      <w:start w:val="1"/>
      <w:numFmt w:val="decimalZero"/>
      <w:isLgl/>
      <w:lvlText w:val="Section %1.%2"/>
      <w:lvlJc w:val="left"/>
      <w:rPr>
        <w:rFonts w:cs="Times New Roman"/>
      </w:rPr>
    </w:lvl>
    <w:lvl w:ilvl="2">
      <w:start w:val="1"/>
      <w:numFmt w:val="lowerLetter"/>
      <w:lvlText w:val="(%3)"/>
      <w:lvlJc w:val="left"/>
      <w:pPr>
        <w:ind w:left="720" w:hanging="432"/>
      </w:pPr>
      <w:rPr>
        <w:rFonts w:cs="Times New Roman"/>
      </w:rPr>
    </w:lvl>
    <w:lvl w:ilvl="3">
      <w:start w:val="1"/>
      <w:numFmt w:val="lowerRoman"/>
      <w:lvlText w:val="(%4)"/>
      <w:lvlJc w:val="right"/>
      <w:pPr>
        <w:ind w:left="864" w:hanging="144"/>
      </w:pPr>
      <w:rPr>
        <w:rFonts w:cs="Times New Roman"/>
      </w:rPr>
    </w:lvl>
    <w:lvl w:ilvl="4">
      <w:start w:val="1"/>
      <w:numFmt w:val="decimal"/>
      <w:lvlText w:val="%5)"/>
      <w:lvlJc w:val="left"/>
      <w:pPr>
        <w:ind w:left="1008" w:hanging="432"/>
      </w:pPr>
      <w:rPr>
        <w:rFonts w:cs="Times New Roman"/>
      </w:rPr>
    </w:lvl>
    <w:lvl w:ilvl="5">
      <w:start w:val="1"/>
      <w:numFmt w:val="lowerLetter"/>
      <w:lvlText w:val="%6)"/>
      <w:lvlJc w:val="left"/>
      <w:pPr>
        <w:ind w:left="1152" w:hanging="432"/>
      </w:pPr>
      <w:rPr>
        <w:rFonts w:cs="Times New Roman"/>
      </w:rPr>
    </w:lvl>
    <w:lvl w:ilvl="6">
      <w:start w:val="1"/>
      <w:numFmt w:val="lowerRoman"/>
      <w:lvlText w:val="%7)"/>
      <w:lvlJc w:val="right"/>
      <w:pPr>
        <w:ind w:left="1296" w:hanging="288"/>
      </w:pPr>
      <w:rPr>
        <w:rFonts w:cs="Times New Roman"/>
      </w:rPr>
    </w:lvl>
    <w:lvl w:ilvl="7">
      <w:start w:val="1"/>
      <w:numFmt w:val="lowerLetter"/>
      <w:lvlText w:val="%8."/>
      <w:lvlJc w:val="left"/>
      <w:pPr>
        <w:ind w:left="1440" w:hanging="432"/>
      </w:pPr>
      <w:rPr>
        <w:rFonts w:cs="Times New Roman"/>
      </w:rPr>
    </w:lvl>
    <w:lvl w:ilvl="8">
      <w:start w:val="1"/>
      <w:numFmt w:val="lowerRoman"/>
      <w:lvlText w:val="%9."/>
      <w:lvlJc w:val="right"/>
      <w:pPr>
        <w:ind w:left="1584" w:hanging="144"/>
      </w:pPr>
      <w:rPr>
        <w:rFonts w:cs="Times New Roman"/>
      </w:rPr>
    </w:lvl>
  </w:abstractNum>
  <w:abstractNum w:abstractNumId="12">
    <w:nsid w:val="0AC72E66"/>
    <w:multiLevelType w:val="multilevel"/>
    <w:tmpl w:val="FFFFFFFF"/>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nsid w:val="0CD8778F"/>
    <w:multiLevelType w:val="hybridMultilevel"/>
    <w:tmpl w:val="A31006E6"/>
    <w:lvl w:ilvl="0" w:tplc="7A906B86">
      <w:start w:val="1"/>
      <w:numFmt w:val="decimal"/>
      <w:pStyle w:val="BBNumberIndent"/>
      <w:lvlText w:val="%1."/>
      <w:lvlJc w:val="left"/>
      <w:pPr>
        <w:ind w:left="1440" w:hanging="720"/>
      </w:pPr>
      <w:rPr>
        <w:rFonts w:cs="Times New Roman" w:hint="default"/>
      </w:rPr>
    </w:lvl>
    <w:lvl w:ilvl="1" w:tplc="63EE079A" w:tentative="1">
      <w:start w:val="1"/>
      <w:numFmt w:val="lowerLetter"/>
      <w:lvlText w:val="%2."/>
      <w:lvlJc w:val="left"/>
      <w:pPr>
        <w:ind w:left="1440" w:hanging="360"/>
      </w:pPr>
      <w:rPr>
        <w:rFonts w:cs="Times New Roman"/>
      </w:rPr>
    </w:lvl>
    <w:lvl w:ilvl="2" w:tplc="EDE632B6" w:tentative="1">
      <w:start w:val="1"/>
      <w:numFmt w:val="lowerRoman"/>
      <w:lvlText w:val="%3."/>
      <w:lvlJc w:val="right"/>
      <w:pPr>
        <w:ind w:left="2160" w:hanging="180"/>
      </w:pPr>
      <w:rPr>
        <w:rFonts w:cs="Times New Roman"/>
      </w:rPr>
    </w:lvl>
    <w:lvl w:ilvl="3" w:tplc="EC7CD706" w:tentative="1">
      <w:start w:val="1"/>
      <w:numFmt w:val="decimal"/>
      <w:lvlText w:val="%4."/>
      <w:lvlJc w:val="left"/>
      <w:pPr>
        <w:ind w:left="2880" w:hanging="360"/>
      </w:pPr>
      <w:rPr>
        <w:rFonts w:cs="Times New Roman"/>
      </w:rPr>
    </w:lvl>
    <w:lvl w:ilvl="4" w:tplc="813E9700" w:tentative="1">
      <w:start w:val="1"/>
      <w:numFmt w:val="lowerLetter"/>
      <w:lvlText w:val="%5."/>
      <w:lvlJc w:val="left"/>
      <w:pPr>
        <w:ind w:left="3600" w:hanging="360"/>
      </w:pPr>
      <w:rPr>
        <w:rFonts w:cs="Times New Roman"/>
      </w:rPr>
    </w:lvl>
    <w:lvl w:ilvl="5" w:tplc="5060CDC8" w:tentative="1">
      <w:start w:val="1"/>
      <w:numFmt w:val="lowerRoman"/>
      <w:lvlText w:val="%6."/>
      <w:lvlJc w:val="right"/>
      <w:pPr>
        <w:ind w:left="4320" w:hanging="180"/>
      </w:pPr>
      <w:rPr>
        <w:rFonts w:cs="Times New Roman"/>
      </w:rPr>
    </w:lvl>
    <w:lvl w:ilvl="6" w:tplc="207EDCEA" w:tentative="1">
      <w:start w:val="1"/>
      <w:numFmt w:val="decimal"/>
      <w:lvlText w:val="%7."/>
      <w:lvlJc w:val="left"/>
      <w:pPr>
        <w:ind w:left="5040" w:hanging="360"/>
      </w:pPr>
      <w:rPr>
        <w:rFonts w:cs="Times New Roman"/>
      </w:rPr>
    </w:lvl>
    <w:lvl w:ilvl="7" w:tplc="AF9C92BE" w:tentative="1">
      <w:start w:val="1"/>
      <w:numFmt w:val="lowerLetter"/>
      <w:lvlText w:val="%8."/>
      <w:lvlJc w:val="left"/>
      <w:pPr>
        <w:ind w:left="5760" w:hanging="360"/>
      </w:pPr>
      <w:rPr>
        <w:rFonts w:cs="Times New Roman"/>
      </w:rPr>
    </w:lvl>
    <w:lvl w:ilvl="8" w:tplc="FF5E66E4" w:tentative="1">
      <w:start w:val="1"/>
      <w:numFmt w:val="lowerRoman"/>
      <w:lvlText w:val="%9."/>
      <w:lvlJc w:val="right"/>
      <w:pPr>
        <w:ind w:left="6480" w:hanging="180"/>
      </w:pPr>
      <w:rPr>
        <w:rFonts w:cs="Times New Roman"/>
      </w:rPr>
    </w:lvl>
  </w:abstractNum>
  <w:abstractNum w:abstractNumId="14">
    <w:nsid w:val="0D744E2B"/>
    <w:multiLevelType w:val="hybridMultilevel"/>
    <w:tmpl w:val="4F166DC0"/>
    <w:lvl w:ilvl="0" w:tplc="A7DAC5DE">
      <w:start w:val="1"/>
      <w:numFmt w:val="upperLetter"/>
      <w:pStyle w:val="Heading2"/>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
    <w:nsid w:val="13043D51"/>
    <w:multiLevelType w:val="hybridMultilevel"/>
    <w:tmpl w:val="95CAD3CA"/>
    <w:lvl w:ilvl="0" w:tplc="9BC8EC18">
      <w:start w:val="1"/>
      <w:numFmt w:val="upperLetter"/>
      <w:lvlText w:val="%1."/>
      <w:lvlJc w:val="left"/>
      <w:pPr>
        <w:tabs>
          <w:tab w:val="num" w:pos="1080"/>
        </w:tabs>
        <w:ind w:left="1080" w:hanging="360"/>
      </w:pPr>
      <w:rPr>
        <w:rFonts w:cs="Times New Roman" w:hint="default"/>
        <w:i w:val="0"/>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16">
    <w:nsid w:val="13DD48EB"/>
    <w:multiLevelType w:val="multilevel"/>
    <w:tmpl w:val="4488A0D4"/>
    <w:lvl w:ilvl="0">
      <w:start w:val="1"/>
      <w:numFmt w:val="none"/>
      <w:pStyle w:val="BBQStyle"/>
      <w:lvlText w:val="Q."/>
      <w:lvlJc w:val="left"/>
      <w:pPr>
        <w:tabs>
          <w:tab w:val="num" w:pos="1440"/>
        </w:tabs>
        <w:ind w:left="2160" w:hanging="720"/>
      </w:pPr>
      <w:rPr>
        <w:rFonts w:cs="Times New Roman" w:hint="default"/>
      </w:rPr>
    </w:lvl>
    <w:lvl w:ilvl="1">
      <w:start w:val="1"/>
      <w:numFmt w:val="none"/>
      <w:pStyle w:val="BBAStyle"/>
      <w:lvlText w:val="A."/>
      <w:lvlJc w:val="left"/>
      <w:pPr>
        <w:tabs>
          <w:tab w:val="num" w:pos="1440"/>
        </w:tabs>
        <w:ind w:left="2160" w:hanging="720"/>
      </w:pPr>
      <w:rPr>
        <w:rFonts w:cs="Times New Roman" w:hint="default"/>
      </w:rPr>
    </w:lvl>
    <w:lvl w:ilvl="2">
      <w:start w:val="1"/>
      <w:numFmt w:val="none"/>
      <w:lvlText w:val="%3"/>
      <w:lvlJc w:val="left"/>
      <w:rPr>
        <w:rFonts w:cs="Times New Roman" w:hint="default"/>
      </w:rPr>
    </w:lvl>
    <w:lvl w:ilvl="3">
      <w:start w:val="1"/>
      <w:numFmt w:val="none"/>
      <w:lvlText w:val=""/>
      <w:lvlJc w:val="left"/>
      <w:rPr>
        <w:rFonts w:cs="Times New Roman" w:hint="default"/>
      </w:rPr>
    </w:lvl>
    <w:lvl w:ilvl="4">
      <w:start w:val="1"/>
      <w:numFmt w:val="none"/>
      <w:lvlText w:val=""/>
      <w:lvlJc w:val="left"/>
      <w:rPr>
        <w:rFonts w:cs="Times New Roman" w:hint="default"/>
      </w:rPr>
    </w:lvl>
    <w:lvl w:ilvl="5">
      <w:start w:val="1"/>
      <w:numFmt w:val="none"/>
      <w:lvlText w:val=""/>
      <w:lvlJc w:val="left"/>
      <w:rPr>
        <w:rFonts w:cs="Times New Roman" w:hint="default"/>
      </w:rPr>
    </w:lvl>
    <w:lvl w:ilvl="6">
      <w:start w:val="1"/>
      <w:numFmt w:val="none"/>
      <w:lvlText w:val=""/>
      <w:lvlJc w:val="left"/>
      <w:rPr>
        <w:rFonts w:cs="Times New Roman" w:hint="default"/>
      </w:rPr>
    </w:lvl>
    <w:lvl w:ilvl="7">
      <w:start w:val="1"/>
      <w:numFmt w:val="none"/>
      <w:lvlText w:val=""/>
      <w:lvlJc w:val="left"/>
      <w:rPr>
        <w:rFonts w:cs="Times New Roman" w:hint="default"/>
      </w:rPr>
    </w:lvl>
    <w:lvl w:ilvl="8">
      <w:start w:val="1"/>
      <w:numFmt w:val="none"/>
      <w:lvlText w:val=""/>
      <w:lvlJc w:val="left"/>
      <w:rPr>
        <w:rFonts w:cs="Times New Roman" w:hint="default"/>
      </w:rPr>
    </w:lvl>
  </w:abstractNum>
  <w:abstractNum w:abstractNumId="17">
    <w:nsid w:val="16BA1057"/>
    <w:multiLevelType w:val="multilevel"/>
    <w:tmpl w:val="0409001D"/>
    <w:styleLink w:val="1ai"/>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18">
    <w:nsid w:val="1D870C2F"/>
    <w:multiLevelType w:val="multilevel"/>
    <w:tmpl w:val="FFFFFFFF"/>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9">
    <w:nsid w:val="21F26C9D"/>
    <w:multiLevelType w:val="hybridMultilevel"/>
    <w:tmpl w:val="A6B04BC8"/>
    <w:lvl w:ilvl="0" w:tplc="573E4D2A">
      <w:start w:val="1"/>
      <w:numFmt w:val="decimal"/>
      <w:pStyle w:val="BBNumberIndent2"/>
      <w:lvlText w:val="%1."/>
      <w:lvlJc w:val="left"/>
      <w:pPr>
        <w:ind w:left="1440" w:hanging="720"/>
      </w:pPr>
      <w:rPr>
        <w:rFonts w:cs="Times New Roman" w:hint="default"/>
      </w:rPr>
    </w:lvl>
    <w:lvl w:ilvl="1" w:tplc="9842BDC6" w:tentative="1">
      <w:start w:val="1"/>
      <w:numFmt w:val="lowerLetter"/>
      <w:lvlText w:val="%2."/>
      <w:lvlJc w:val="left"/>
      <w:pPr>
        <w:ind w:left="1440" w:hanging="360"/>
      </w:pPr>
      <w:rPr>
        <w:rFonts w:cs="Times New Roman"/>
      </w:rPr>
    </w:lvl>
    <w:lvl w:ilvl="2" w:tplc="F8D0CA0A" w:tentative="1">
      <w:start w:val="1"/>
      <w:numFmt w:val="lowerRoman"/>
      <w:lvlText w:val="%3."/>
      <w:lvlJc w:val="right"/>
      <w:pPr>
        <w:ind w:left="2160" w:hanging="180"/>
      </w:pPr>
      <w:rPr>
        <w:rFonts w:cs="Times New Roman"/>
      </w:rPr>
    </w:lvl>
    <w:lvl w:ilvl="3" w:tplc="8A4E7B32" w:tentative="1">
      <w:start w:val="1"/>
      <w:numFmt w:val="decimal"/>
      <w:lvlText w:val="%4."/>
      <w:lvlJc w:val="left"/>
      <w:pPr>
        <w:ind w:left="2880" w:hanging="360"/>
      </w:pPr>
      <w:rPr>
        <w:rFonts w:cs="Times New Roman"/>
      </w:rPr>
    </w:lvl>
    <w:lvl w:ilvl="4" w:tplc="C7C2D366" w:tentative="1">
      <w:start w:val="1"/>
      <w:numFmt w:val="lowerLetter"/>
      <w:lvlText w:val="%5."/>
      <w:lvlJc w:val="left"/>
      <w:pPr>
        <w:ind w:left="3600" w:hanging="360"/>
      </w:pPr>
      <w:rPr>
        <w:rFonts w:cs="Times New Roman"/>
      </w:rPr>
    </w:lvl>
    <w:lvl w:ilvl="5" w:tplc="9558C6CE" w:tentative="1">
      <w:start w:val="1"/>
      <w:numFmt w:val="lowerRoman"/>
      <w:lvlText w:val="%6."/>
      <w:lvlJc w:val="right"/>
      <w:pPr>
        <w:ind w:left="4320" w:hanging="180"/>
      </w:pPr>
      <w:rPr>
        <w:rFonts w:cs="Times New Roman"/>
      </w:rPr>
    </w:lvl>
    <w:lvl w:ilvl="6" w:tplc="67B87162" w:tentative="1">
      <w:start w:val="1"/>
      <w:numFmt w:val="decimal"/>
      <w:lvlText w:val="%7."/>
      <w:lvlJc w:val="left"/>
      <w:pPr>
        <w:ind w:left="5040" w:hanging="360"/>
      </w:pPr>
      <w:rPr>
        <w:rFonts w:cs="Times New Roman"/>
      </w:rPr>
    </w:lvl>
    <w:lvl w:ilvl="7" w:tplc="4A40C5B0" w:tentative="1">
      <w:start w:val="1"/>
      <w:numFmt w:val="lowerLetter"/>
      <w:lvlText w:val="%8."/>
      <w:lvlJc w:val="left"/>
      <w:pPr>
        <w:ind w:left="5760" w:hanging="360"/>
      </w:pPr>
      <w:rPr>
        <w:rFonts w:cs="Times New Roman"/>
      </w:rPr>
    </w:lvl>
    <w:lvl w:ilvl="8" w:tplc="A24E0136" w:tentative="1">
      <w:start w:val="1"/>
      <w:numFmt w:val="lowerRoman"/>
      <w:lvlText w:val="%9."/>
      <w:lvlJc w:val="right"/>
      <w:pPr>
        <w:ind w:left="6480" w:hanging="180"/>
      </w:pPr>
      <w:rPr>
        <w:rFonts w:cs="Times New Roman"/>
      </w:rPr>
    </w:lvl>
  </w:abstractNum>
  <w:abstractNum w:abstractNumId="20">
    <w:nsid w:val="2DB52999"/>
    <w:multiLevelType w:val="multilevel"/>
    <w:tmpl w:val="FFFFFFF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3B850F7E"/>
    <w:multiLevelType w:val="hybridMultilevel"/>
    <w:tmpl w:val="2CD2D944"/>
    <w:lvl w:ilvl="0" w:tplc="0322B0E4">
      <w:start w:val="1"/>
      <w:numFmt w:val="bullet"/>
      <w:pStyle w:val="BBBullets"/>
      <w:lvlText w:val=""/>
      <w:lvlJc w:val="left"/>
      <w:pPr>
        <w:ind w:left="1440" w:hanging="720"/>
      </w:pPr>
      <w:rPr>
        <w:rFonts w:ascii="Symbol" w:hAnsi="Symbol" w:hint="default"/>
      </w:rPr>
    </w:lvl>
    <w:lvl w:ilvl="1" w:tplc="AD08A80C" w:tentative="1">
      <w:start w:val="1"/>
      <w:numFmt w:val="bullet"/>
      <w:lvlText w:val="o"/>
      <w:lvlJc w:val="left"/>
      <w:pPr>
        <w:ind w:left="1440" w:hanging="360"/>
      </w:pPr>
      <w:rPr>
        <w:rFonts w:ascii="Courier New" w:hAnsi="Courier New" w:hint="default"/>
      </w:rPr>
    </w:lvl>
    <w:lvl w:ilvl="2" w:tplc="68B2EF46" w:tentative="1">
      <w:start w:val="1"/>
      <w:numFmt w:val="bullet"/>
      <w:lvlText w:val=""/>
      <w:lvlJc w:val="left"/>
      <w:pPr>
        <w:ind w:left="2160" w:hanging="360"/>
      </w:pPr>
      <w:rPr>
        <w:rFonts w:ascii="Wingdings" w:hAnsi="Wingdings" w:hint="default"/>
      </w:rPr>
    </w:lvl>
    <w:lvl w:ilvl="3" w:tplc="15B2AB38" w:tentative="1">
      <w:start w:val="1"/>
      <w:numFmt w:val="bullet"/>
      <w:lvlText w:val=""/>
      <w:lvlJc w:val="left"/>
      <w:pPr>
        <w:ind w:left="2880" w:hanging="360"/>
      </w:pPr>
      <w:rPr>
        <w:rFonts w:ascii="Symbol" w:hAnsi="Symbol" w:hint="default"/>
      </w:rPr>
    </w:lvl>
    <w:lvl w:ilvl="4" w:tplc="21E25CEE" w:tentative="1">
      <w:start w:val="1"/>
      <w:numFmt w:val="bullet"/>
      <w:lvlText w:val="o"/>
      <w:lvlJc w:val="left"/>
      <w:pPr>
        <w:ind w:left="3600" w:hanging="360"/>
      </w:pPr>
      <w:rPr>
        <w:rFonts w:ascii="Courier New" w:hAnsi="Courier New" w:hint="default"/>
      </w:rPr>
    </w:lvl>
    <w:lvl w:ilvl="5" w:tplc="6D78F4E2" w:tentative="1">
      <w:start w:val="1"/>
      <w:numFmt w:val="bullet"/>
      <w:lvlText w:val=""/>
      <w:lvlJc w:val="left"/>
      <w:pPr>
        <w:ind w:left="4320" w:hanging="360"/>
      </w:pPr>
      <w:rPr>
        <w:rFonts w:ascii="Wingdings" w:hAnsi="Wingdings" w:hint="default"/>
      </w:rPr>
    </w:lvl>
    <w:lvl w:ilvl="6" w:tplc="10283EE6" w:tentative="1">
      <w:start w:val="1"/>
      <w:numFmt w:val="bullet"/>
      <w:lvlText w:val=""/>
      <w:lvlJc w:val="left"/>
      <w:pPr>
        <w:ind w:left="5040" w:hanging="360"/>
      </w:pPr>
      <w:rPr>
        <w:rFonts w:ascii="Symbol" w:hAnsi="Symbol" w:hint="default"/>
      </w:rPr>
    </w:lvl>
    <w:lvl w:ilvl="7" w:tplc="8D988BFA" w:tentative="1">
      <w:start w:val="1"/>
      <w:numFmt w:val="bullet"/>
      <w:lvlText w:val="o"/>
      <w:lvlJc w:val="left"/>
      <w:pPr>
        <w:ind w:left="5760" w:hanging="360"/>
      </w:pPr>
      <w:rPr>
        <w:rFonts w:ascii="Courier New" w:hAnsi="Courier New" w:hint="default"/>
      </w:rPr>
    </w:lvl>
    <w:lvl w:ilvl="8" w:tplc="5E02C950" w:tentative="1">
      <w:start w:val="1"/>
      <w:numFmt w:val="bullet"/>
      <w:lvlText w:val=""/>
      <w:lvlJc w:val="left"/>
      <w:pPr>
        <w:ind w:left="6480" w:hanging="360"/>
      </w:pPr>
      <w:rPr>
        <w:rFonts w:ascii="Wingdings" w:hAnsi="Wingdings" w:hint="default"/>
      </w:rPr>
    </w:lvl>
  </w:abstractNum>
  <w:abstractNum w:abstractNumId="22">
    <w:nsid w:val="4BD15ED9"/>
    <w:multiLevelType w:val="hybridMultilevel"/>
    <w:tmpl w:val="ADBC986E"/>
    <w:lvl w:ilvl="0" w:tplc="45007B16">
      <w:start w:val="1"/>
      <w:numFmt w:val="decimal"/>
      <w:pStyle w:val="BBNumberedBodyText"/>
      <w:lvlText w:val="%1."/>
      <w:lvlJc w:val="left"/>
      <w:pPr>
        <w:ind w:firstLine="720"/>
      </w:pPr>
      <w:rPr>
        <w:rFonts w:cs="Times New Roman" w:hint="default"/>
      </w:rPr>
    </w:lvl>
    <w:lvl w:ilvl="1" w:tplc="96C48A6C" w:tentative="1">
      <w:start w:val="1"/>
      <w:numFmt w:val="lowerLetter"/>
      <w:lvlText w:val="%2."/>
      <w:lvlJc w:val="left"/>
      <w:pPr>
        <w:ind w:left="1440" w:hanging="360"/>
      </w:pPr>
      <w:rPr>
        <w:rFonts w:cs="Times New Roman"/>
      </w:rPr>
    </w:lvl>
    <w:lvl w:ilvl="2" w:tplc="F6F6EC4C" w:tentative="1">
      <w:start w:val="1"/>
      <w:numFmt w:val="lowerRoman"/>
      <w:lvlText w:val="%3."/>
      <w:lvlJc w:val="right"/>
      <w:pPr>
        <w:ind w:left="2160" w:hanging="180"/>
      </w:pPr>
      <w:rPr>
        <w:rFonts w:cs="Times New Roman"/>
      </w:rPr>
    </w:lvl>
    <w:lvl w:ilvl="3" w:tplc="B20CF462" w:tentative="1">
      <w:start w:val="1"/>
      <w:numFmt w:val="decimal"/>
      <w:lvlText w:val="%4."/>
      <w:lvlJc w:val="left"/>
      <w:pPr>
        <w:ind w:left="2880" w:hanging="360"/>
      </w:pPr>
      <w:rPr>
        <w:rFonts w:cs="Times New Roman"/>
      </w:rPr>
    </w:lvl>
    <w:lvl w:ilvl="4" w:tplc="F970C720" w:tentative="1">
      <w:start w:val="1"/>
      <w:numFmt w:val="lowerLetter"/>
      <w:lvlText w:val="%5."/>
      <w:lvlJc w:val="left"/>
      <w:pPr>
        <w:ind w:left="3600" w:hanging="360"/>
      </w:pPr>
      <w:rPr>
        <w:rFonts w:cs="Times New Roman"/>
      </w:rPr>
    </w:lvl>
    <w:lvl w:ilvl="5" w:tplc="CD805288" w:tentative="1">
      <w:start w:val="1"/>
      <w:numFmt w:val="lowerRoman"/>
      <w:lvlText w:val="%6."/>
      <w:lvlJc w:val="right"/>
      <w:pPr>
        <w:ind w:left="4320" w:hanging="180"/>
      </w:pPr>
      <w:rPr>
        <w:rFonts w:cs="Times New Roman"/>
      </w:rPr>
    </w:lvl>
    <w:lvl w:ilvl="6" w:tplc="A6ACA768" w:tentative="1">
      <w:start w:val="1"/>
      <w:numFmt w:val="decimal"/>
      <w:lvlText w:val="%7."/>
      <w:lvlJc w:val="left"/>
      <w:pPr>
        <w:ind w:left="5040" w:hanging="360"/>
      </w:pPr>
      <w:rPr>
        <w:rFonts w:cs="Times New Roman"/>
      </w:rPr>
    </w:lvl>
    <w:lvl w:ilvl="7" w:tplc="ECE232A0" w:tentative="1">
      <w:start w:val="1"/>
      <w:numFmt w:val="lowerLetter"/>
      <w:lvlText w:val="%8."/>
      <w:lvlJc w:val="left"/>
      <w:pPr>
        <w:ind w:left="5760" w:hanging="360"/>
      </w:pPr>
      <w:rPr>
        <w:rFonts w:cs="Times New Roman"/>
      </w:rPr>
    </w:lvl>
    <w:lvl w:ilvl="8" w:tplc="A44A52C6" w:tentative="1">
      <w:start w:val="1"/>
      <w:numFmt w:val="lowerRoman"/>
      <w:lvlText w:val="%9."/>
      <w:lvlJc w:val="right"/>
      <w:pPr>
        <w:ind w:left="6480" w:hanging="180"/>
      </w:pPr>
      <w:rPr>
        <w:rFonts w:cs="Times New Roman"/>
      </w:rPr>
    </w:lvl>
  </w:abstractNum>
  <w:abstractNum w:abstractNumId="23">
    <w:nsid w:val="59961A8E"/>
    <w:multiLevelType w:val="hybridMultilevel"/>
    <w:tmpl w:val="8F9AA3BA"/>
    <w:lvl w:ilvl="0" w:tplc="17E65546">
      <w:start w:val="1"/>
      <w:numFmt w:val="decimal"/>
      <w:pStyle w:val="BBNumberedQuoteIndent"/>
      <w:lvlText w:val="%1."/>
      <w:lvlJc w:val="left"/>
      <w:pPr>
        <w:ind w:left="2160" w:hanging="720"/>
      </w:pPr>
      <w:rPr>
        <w:rFonts w:cs="Times New Roman" w:hint="default"/>
      </w:rPr>
    </w:lvl>
    <w:lvl w:ilvl="1" w:tplc="C39E04BA" w:tentative="1">
      <w:start w:val="1"/>
      <w:numFmt w:val="lowerLetter"/>
      <w:lvlText w:val="%2."/>
      <w:lvlJc w:val="left"/>
      <w:pPr>
        <w:ind w:left="1440" w:hanging="360"/>
      </w:pPr>
      <w:rPr>
        <w:rFonts w:cs="Times New Roman"/>
      </w:rPr>
    </w:lvl>
    <w:lvl w:ilvl="2" w:tplc="9C68EBB4" w:tentative="1">
      <w:start w:val="1"/>
      <w:numFmt w:val="lowerRoman"/>
      <w:lvlText w:val="%3."/>
      <w:lvlJc w:val="right"/>
      <w:pPr>
        <w:ind w:left="2160" w:hanging="180"/>
      </w:pPr>
      <w:rPr>
        <w:rFonts w:cs="Times New Roman"/>
      </w:rPr>
    </w:lvl>
    <w:lvl w:ilvl="3" w:tplc="109218B2" w:tentative="1">
      <w:start w:val="1"/>
      <w:numFmt w:val="decimal"/>
      <w:lvlText w:val="%4."/>
      <w:lvlJc w:val="left"/>
      <w:pPr>
        <w:ind w:left="2880" w:hanging="360"/>
      </w:pPr>
      <w:rPr>
        <w:rFonts w:cs="Times New Roman"/>
      </w:rPr>
    </w:lvl>
    <w:lvl w:ilvl="4" w:tplc="CEA635DA" w:tentative="1">
      <w:start w:val="1"/>
      <w:numFmt w:val="lowerLetter"/>
      <w:lvlText w:val="%5."/>
      <w:lvlJc w:val="left"/>
      <w:pPr>
        <w:ind w:left="3600" w:hanging="360"/>
      </w:pPr>
      <w:rPr>
        <w:rFonts w:cs="Times New Roman"/>
      </w:rPr>
    </w:lvl>
    <w:lvl w:ilvl="5" w:tplc="5BE49528" w:tentative="1">
      <w:start w:val="1"/>
      <w:numFmt w:val="lowerRoman"/>
      <w:lvlText w:val="%6."/>
      <w:lvlJc w:val="right"/>
      <w:pPr>
        <w:ind w:left="4320" w:hanging="180"/>
      </w:pPr>
      <w:rPr>
        <w:rFonts w:cs="Times New Roman"/>
      </w:rPr>
    </w:lvl>
    <w:lvl w:ilvl="6" w:tplc="84A66580" w:tentative="1">
      <w:start w:val="1"/>
      <w:numFmt w:val="decimal"/>
      <w:lvlText w:val="%7."/>
      <w:lvlJc w:val="left"/>
      <w:pPr>
        <w:ind w:left="5040" w:hanging="360"/>
      </w:pPr>
      <w:rPr>
        <w:rFonts w:cs="Times New Roman"/>
      </w:rPr>
    </w:lvl>
    <w:lvl w:ilvl="7" w:tplc="6DBA107C" w:tentative="1">
      <w:start w:val="1"/>
      <w:numFmt w:val="lowerLetter"/>
      <w:lvlText w:val="%8."/>
      <w:lvlJc w:val="left"/>
      <w:pPr>
        <w:ind w:left="5760" w:hanging="360"/>
      </w:pPr>
      <w:rPr>
        <w:rFonts w:cs="Times New Roman"/>
      </w:rPr>
    </w:lvl>
    <w:lvl w:ilvl="8" w:tplc="C62070F6" w:tentative="1">
      <w:start w:val="1"/>
      <w:numFmt w:val="lowerRoman"/>
      <w:lvlText w:val="%9."/>
      <w:lvlJc w:val="right"/>
      <w:pPr>
        <w:ind w:left="6480" w:hanging="180"/>
      </w:pPr>
      <w:rPr>
        <w:rFonts w:cs="Times New Roman"/>
      </w:rPr>
    </w:lvl>
  </w:abstractNum>
  <w:abstractNum w:abstractNumId="24">
    <w:nsid w:val="679C1D7C"/>
    <w:multiLevelType w:val="hybridMultilevel"/>
    <w:tmpl w:val="0382E31A"/>
    <w:lvl w:ilvl="0" w:tplc="07B61D72">
      <w:start w:val="1"/>
      <w:numFmt w:val="upperRoman"/>
      <w:lvlText w:val="%1."/>
      <w:lvlJc w:val="left"/>
      <w:pPr>
        <w:ind w:left="720" w:hanging="720"/>
      </w:pPr>
      <w:rPr>
        <w:rFonts w:cs="Times New Roman"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5">
    <w:nsid w:val="70F1263A"/>
    <w:multiLevelType w:val="hybridMultilevel"/>
    <w:tmpl w:val="E4B6D3C0"/>
    <w:lvl w:ilvl="0" w:tplc="277C149C">
      <w:start w:val="1"/>
      <w:numFmt w:val="decimal"/>
      <w:pStyle w:val="Heading3"/>
      <w:lvlText w:val="%1."/>
      <w:lvlJc w:val="left"/>
      <w:pPr>
        <w:ind w:left="45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26">
    <w:nsid w:val="717B542E"/>
    <w:multiLevelType w:val="multilevel"/>
    <w:tmpl w:val="1FF433FC"/>
    <w:name w:val="General Numbering (1a)"/>
    <w:lvl w:ilvl="0">
      <w:start w:val="1"/>
      <w:numFmt w:val="decimal"/>
      <w:lvlText w:val="%1."/>
      <w:lvlJc w:val="left"/>
      <w:pPr>
        <w:tabs>
          <w:tab w:val="num" w:pos="1440"/>
        </w:tabs>
        <w:ind w:left="1440" w:hanging="720"/>
      </w:pPr>
      <w:rPr>
        <w:rFonts w:cs="Times New Roman"/>
        <w:caps w:val="0"/>
        <w:color w:val="010000"/>
        <w:u w:val="none"/>
      </w:rPr>
    </w:lvl>
    <w:lvl w:ilvl="1">
      <w:start w:val="1"/>
      <w:numFmt w:val="lowerLetter"/>
      <w:lvlText w:val="(%2)"/>
      <w:lvlJc w:val="left"/>
      <w:pPr>
        <w:tabs>
          <w:tab w:val="num" w:pos="2160"/>
        </w:tabs>
        <w:ind w:left="2160" w:hanging="720"/>
      </w:pPr>
      <w:rPr>
        <w:rFonts w:cs="Times New Roman"/>
        <w:caps w:val="0"/>
        <w:color w:val="010000"/>
        <w:u w:val="none"/>
      </w:rPr>
    </w:lvl>
    <w:lvl w:ilvl="2">
      <w:start w:val="1"/>
      <w:numFmt w:val="lowerRoman"/>
      <w:lvlText w:val="(%3)"/>
      <w:lvlJc w:val="left"/>
      <w:pPr>
        <w:tabs>
          <w:tab w:val="num" w:pos="2880"/>
        </w:tabs>
        <w:ind w:left="2880" w:hanging="720"/>
      </w:pPr>
      <w:rPr>
        <w:rFonts w:cs="Times New Roman"/>
        <w:caps w:val="0"/>
        <w:color w:val="010000"/>
        <w:u w:val="none"/>
      </w:rPr>
    </w:lvl>
    <w:lvl w:ilvl="3">
      <w:start w:val="1"/>
      <w:numFmt w:val="decimal"/>
      <w:lvlText w:val="(%4)"/>
      <w:lvlJc w:val="left"/>
      <w:pPr>
        <w:tabs>
          <w:tab w:val="num" w:pos="3600"/>
        </w:tabs>
        <w:ind w:left="3600" w:hanging="720"/>
      </w:pPr>
      <w:rPr>
        <w:rFonts w:cs="Times New Roman"/>
        <w:caps w:val="0"/>
        <w:color w:val="010000"/>
        <w:u w:val="none"/>
      </w:rPr>
    </w:lvl>
    <w:lvl w:ilvl="4">
      <w:start w:val="1"/>
      <w:numFmt w:val="lowerLetter"/>
      <w:lvlText w:val="%5."/>
      <w:lvlJc w:val="left"/>
      <w:pPr>
        <w:tabs>
          <w:tab w:val="num" w:pos="4320"/>
        </w:tabs>
        <w:ind w:left="4320" w:hanging="720"/>
      </w:pPr>
      <w:rPr>
        <w:rFonts w:cs="Times New Roman"/>
        <w:caps w:val="0"/>
        <w:color w:val="010000"/>
        <w:u w:val="none"/>
      </w:rPr>
    </w:lvl>
    <w:lvl w:ilvl="5">
      <w:start w:val="1"/>
      <w:numFmt w:val="lowerRoman"/>
      <w:lvlText w:val="%6."/>
      <w:lvlJc w:val="left"/>
      <w:pPr>
        <w:tabs>
          <w:tab w:val="num" w:pos="5040"/>
        </w:tabs>
        <w:ind w:left="5040" w:hanging="720"/>
      </w:pPr>
      <w:rPr>
        <w:rFonts w:cs="Times New Roman"/>
        <w:caps w:val="0"/>
        <w:color w:val="010000"/>
        <w:u w:val="none"/>
      </w:rPr>
    </w:lvl>
    <w:lvl w:ilvl="6">
      <w:start w:val="1"/>
      <w:numFmt w:val="decimal"/>
      <w:lvlText w:val="%7)"/>
      <w:lvlJc w:val="left"/>
      <w:pPr>
        <w:tabs>
          <w:tab w:val="num" w:pos="5760"/>
        </w:tabs>
        <w:ind w:left="5760" w:hanging="720"/>
      </w:pPr>
      <w:rPr>
        <w:rFonts w:cs="Times New Roman"/>
        <w:caps w:val="0"/>
        <w:color w:val="010000"/>
        <w:u w:val="none"/>
      </w:rPr>
    </w:lvl>
    <w:lvl w:ilvl="7">
      <w:start w:val="1"/>
      <w:numFmt w:val="lowerLetter"/>
      <w:lvlText w:val="%8)"/>
      <w:lvlJc w:val="left"/>
      <w:pPr>
        <w:tabs>
          <w:tab w:val="num" w:pos="6480"/>
        </w:tabs>
        <w:ind w:left="6480" w:hanging="720"/>
      </w:pPr>
      <w:rPr>
        <w:rFonts w:cs="Times New Roman"/>
        <w:caps w:val="0"/>
        <w:color w:val="010000"/>
        <w:u w:val="none"/>
      </w:rPr>
    </w:lvl>
    <w:lvl w:ilvl="8">
      <w:start w:val="1"/>
      <w:numFmt w:val="lowerRoman"/>
      <w:lvlText w:val="%9)"/>
      <w:lvlJc w:val="left"/>
      <w:pPr>
        <w:tabs>
          <w:tab w:val="num" w:pos="7200"/>
        </w:tabs>
        <w:ind w:left="7200" w:hanging="720"/>
      </w:pPr>
      <w:rPr>
        <w:rFonts w:cs="Times New Roman"/>
        <w:caps w:val="0"/>
        <w:color w:val="010000"/>
        <w:u w:val="none"/>
      </w:rPr>
    </w:lvl>
  </w:abstractNum>
  <w:abstractNum w:abstractNumId="27">
    <w:nsid w:val="7D4A56B5"/>
    <w:multiLevelType w:val="multilevel"/>
    <w:tmpl w:val="C4D23E20"/>
    <w:lvl w:ilvl="0">
      <w:start w:val="1"/>
      <w:numFmt w:val="upperRoman"/>
      <w:lvlText w:val="%1."/>
      <w:lvlJc w:val="left"/>
      <w:rPr>
        <w:rFonts w:cs="Times New Roman" w:hint="default"/>
      </w:rPr>
    </w:lvl>
    <w:lvl w:ilvl="1">
      <w:start w:val="1"/>
      <w:numFmt w:val="upperLetter"/>
      <w:lvlText w:val="%2."/>
      <w:lvlJc w:val="left"/>
      <w:pPr>
        <w:ind w:left="720"/>
      </w:pPr>
      <w:rPr>
        <w:rFonts w:cs="Times New Roman" w:hint="default"/>
      </w:rPr>
    </w:lvl>
    <w:lvl w:ilvl="2">
      <w:start w:val="1"/>
      <w:numFmt w:val="decimal"/>
      <w:lvlText w:val="%3."/>
      <w:lvlJc w:val="left"/>
      <w:pPr>
        <w:ind w:left="1440"/>
      </w:pPr>
      <w:rPr>
        <w:rFonts w:cs="Times New Roman" w:hint="default"/>
      </w:rPr>
    </w:lvl>
    <w:lvl w:ilvl="3">
      <w:start w:val="1"/>
      <w:numFmt w:val="lowerLetter"/>
      <w:pStyle w:val="Heading4"/>
      <w:lvlText w:val="%4)"/>
      <w:lvlJc w:val="left"/>
      <w:pPr>
        <w:ind w:left="2160"/>
      </w:pPr>
      <w:rPr>
        <w:rFonts w:cs="Times New Roman" w:hint="default"/>
      </w:rPr>
    </w:lvl>
    <w:lvl w:ilvl="4">
      <w:start w:val="1"/>
      <w:numFmt w:val="decimal"/>
      <w:pStyle w:val="Heading5"/>
      <w:lvlText w:val="(%5)"/>
      <w:lvlJc w:val="left"/>
      <w:pPr>
        <w:ind w:left="2880"/>
      </w:pPr>
      <w:rPr>
        <w:rFonts w:cs="Times New Roman" w:hint="default"/>
      </w:rPr>
    </w:lvl>
    <w:lvl w:ilvl="5">
      <w:start w:val="1"/>
      <w:numFmt w:val="lowerLetter"/>
      <w:pStyle w:val="Heading6"/>
      <w:lvlText w:val="(%6)"/>
      <w:lvlJc w:val="left"/>
      <w:pPr>
        <w:ind w:left="3600"/>
      </w:pPr>
      <w:rPr>
        <w:rFonts w:cs="Times New Roman" w:hint="default"/>
      </w:rPr>
    </w:lvl>
    <w:lvl w:ilvl="6">
      <w:start w:val="1"/>
      <w:numFmt w:val="lowerRoman"/>
      <w:pStyle w:val="Heading7"/>
      <w:lvlText w:val="(%7)"/>
      <w:lvlJc w:val="left"/>
      <w:pPr>
        <w:ind w:left="4320"/>
      </w:pPr>
      <w:rPr>
        <w:rFonts w:cs="Times New Roman" w:hint="default"/>
      </w:rPr>
    </w:lvl>
    <w:lvl w:ilvl="7">
      <w:start w:val="1"/>
      <w:numFmt w:val="lowerLetter"/>
      <w:pStyle w:val="Heading8"/>
      <w:lvlText w:val="(%8)"/>
      <w:lvlJc w:val="left"/>
      <w:pPr>
        <w:ind w:left="5040"/>
      </w:pPr>
      <w:rPr>
        <w:rFonts w:cs="Times New Roman" w:hint="default"/>
      </w:rPr>
    </w:lvl>
    <w:lvl w:ilvl="8">
      <w:start w:val="1"/>
      <w:numFmt w:val="lowerRoman"/>
      <w:pStyle w:val="Heading9"/>
      <w:lvlText w:val="(%9)"/>
      <w:lvlJc w:val="left"/>
      <w:pPr>
        <w:ind w:left="5760"/>
      </w:pPr>
      <w:rPr>
        <w:rFonts w:cs="Times New Roman" w:hint="default"/>
      </w:rPr>
    </w:lvl>
  </w:abstractNum>
  <w:abstractNum w:abstractNumId="28">
    <w:nsid w:val="7DFF02F5"/>
    <w:multiLevelType w:val="multilevel"/>
    <w:tmpl w:val="0409001F"/>
    <w:styleLink w:val="111111"/>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9"/>
  </w:num>
  <w:num w:numId="12">
    <w:abstractNumId w:val="7"/>
  </w:num>
  <w:num w:numId="13">
    <w:abstractNumId w:val="6"/>
  </w:num>
  <w:num w:numId="14">
    <w:abstractNumId w:val="5"/>
  </w:num>
  <w:num w:numId="15">
    <w:abstractNumId w:val="4"/>
  </w:num>
  <w:num w:numId="16">
    <w:abstractNumId w:val="8"/>
  </w:num>
  <w:num w:numId="17">
    <w:abstractNumId w:val="3"/>
  </w:num>
  <w:num w:numId="18">
    <w:abstractNumId w:val="2"/>
  </w:num>
  <w:num w:numId="19">
    <w:abstractNumId w:val="1"/>
  </w:num>
  <w:num w:numId="20">
    <w:abstractNumId w:val="0"/>
  </w:num>
  <w:num w:numId="21">
    <w:abstractNumId w:val="28"/>
  </w:num>
  <w:num w:numId="22">
    <w:abstractNumId w:val="17"/>
  </w:num>
  <w:num w:numId="23">
    <w:abstractNumId w:val="11"/>
  </w:num>
  <w:num w:numId="24">
    <w:abstractNumId w:val="25"/>
  </w:num>
  <w:num w:numId="25">
    <w:abstractNumId w:val="27"/>
  </w:num>
  <w:num w:numId="26">
    <w:abstractNumId w:val="14"/>
  </w:num>
  <w:num w:numId="27">
    <w:abstractNumId w:val="21"/>
  </w:num>
  <w:num w:numId="28">
    <w:abstractNumId w:val="13"/>
  </w:num>
  <w:num w:numId="29">
    <w:abstractNumId w:val="19"/>
  </w:num>
  <w:num w:numId="30">
    <w:abstractNumId w:val="22"/>
  </w:num>
  <w:num w:numId="31">
    <w:abstractNumId w:val="23"/>
  </w:num>
  <w:num w:numId="32">
    <w:abstractNumId w:val="16"/>
  </w:num>
  <w:num w:numId="33">
    <w:abstractNumId w:val="10"/>
  </w:num>
  <w:num w:numId="34">
    <w:abstractNumId w:val="15"/>
  </w:num>
  <w:num w:numId="35">
    <w:abstractNumId w:val="24"/>
  </w:num>
  <w:num w:numId="36">
    <w:abstractNumId w:val="18"/>
  </w:num>
  <w:num w:numId="37">
    <w:abstractNumId w:val="12"/>
  </w:num>
  <w:num w:numId="38">
    <w:abstractNumId w:val="20"/>
  </w:num>
  <w:numIdMacAtCleanup w:val="25"/>
</w:numbering>
</file>

<file path=word/settings.xml><?xml version="1.0" encoding="utf-8"?>
<w:settings xmlns:w="http://schemas.openxmlformats.org/wordprocessingml/2006/main"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mc:Ignorable="w14">
  <w:zoom w:percent="120"/>
  <w:displayBackgroundShape/>
  <w:defaultTabStop w:val="720"/>
  <w:characterSpacingControl w:val="doNotCompress"/>
  <w:hdrShapeDefaults>
    <o:shapedefaults v:ext="edit" spidmax="2049"/>
  </w:hdrShapeDefaults>
  <w:footnotePr>
    <w:numRestart w:val="eachSect"/>
    <w:footnote w:id="-1"/>
    <w:footnote w:id="0"/>
  </w:footnotePr>
  <w:endnotePr>
    <w:pos w:val="sectEnd"/>
    <w:numFmt w:val="decimal"/>
    <w:numRestart w:val="eachSect"/>
    <w:endnote w:id="-1"/>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pPr>
      <w:spacing w:after="120"/>
    </w:pPr>
    <w:rPr>
      <w:rFonts w:ascii="Century Schoolbook" w:hAnsi="Century Schoolbook"/>
    </w:rPr>
  </w:style>
  <w:style w:type="paragraph" w:styleId="Heading1">
    <w:name w:val="heading 1"/>
    <w:basedOn w:val="Normal"/>
    <w:next w:val="Normal"/>
    <w:link w:val="Heading1Char"/>
    <w:uiPriority w:val="99"/>
    <w:qFormat/>
    <w:pPr>
      <w:keepNext/>
      <w:keepLines/>
      <w:spacing w:after="0"/>
      <w:jc w:val="center"/>
      <w:outlineLvl w:val="0"/>
    </w:pPr>
    <w:rPr>
      <w:rFonts w:eastAsia="MS Mincho"/>
      <w:b/>
      <w:bCs/>
      <w:sz w:val="27"/>
    </w:rPr>
  </w:style>
  <w:style w:type="paragraph" w:styleId="Heading2">
    <w:name w:val="heading 2"/>
    <w:basedOn w:val="Normal"/>
    <w:next w:val="Normal"/>
    <w:link w:val="Heading2Char"/>
    <w:uiPriority w:val="99"/>
    <w:qFormat/>
    <w:pPr>
      <w:keepNext/>
      <w:keepLines/>
      <w:numPr>
        <w:numId w:val="26"/>
      </w:numPr>
      <w:spacing w:before="120"/>
      <w:jc w:val="center"/>
      <w:outlineLvl w:val="1"/>
    </w:pPr>
    <w:rPr>
      <w:rFonts w:eastAsia="MS Mincho"/>
      <w:b/>
      <w:sz w:val="20"/>
      <w:szCs w:val="21"/>
    </w:rPr>
  </w:style>
  <w:style w:type="paragraph" w:styleId="Heading3">
    <w:name w:val="heading 3"/>
    <w:basedOn w:val="Normal"/>
    <w:next w:val="BBBodyText2"/>
    <w:link w:val="Heading3Char"/>
    <w:uiPriority w:val="99"/>
    <w:qFormat/>
    <w:pPr>
      <w:keepNext/>
      <w:keepLines/>
      <w:numPr>
        <w:numId w:val="24"/>
      </w:numPr>
      <w:spacing w:before="120"/>
      <w:ind w:left="0" w:firstLine="0"/>
      <w:jc w:val="center"/>
      <w:outlineLvl w:val="2"/>
    </w:pPr>
    <w:rPr>
      <w:rFonts w:eastAsia="MS Mincho"/>
      <w:b/>
      <w:bCs/>
      <w:sz w:val="20"/>
      <w:szCs w:val="26"/>
    </w:rPr>
  </w:style>
  <w:style w:type="paragraph" w:styleId="Heading4">
    <w:name w:val="heading 4"/>
    <w:basedOn w:val="Normal"/>
    <w:next w:val="BBBodyText2"/>
    <w:link w:val="Heading4Char"/>
    <w:uiPriority w:val="99"/>
    <w:qFormat/>
    <w:pPr>
      <w:numPr>
        <w:ilvl w:val="3"/>
        <w:numId w:val="25"/>
      </w:numPr>
      <w:spacing w:after="240"/>
      <w:outlineLvl w:val="3"/>
    </w:pPr>
    <w:rPr>
      <w:rFonts w:ascii="Times New Roman" w:eastAsia="Times New Roman" w:hAnsi="Times New Roman"/>
      <w:bCs/>
      <w:sz w:val="28"/>
      <w:szCs w:val="28"/>
      <w:u w:val="single"/>
    </w:rPr>
  </w:style>
  <w:style w:type="paragraph" w:styleId="Heading5">
    <w:name w:val="heading 5"/>
    <w:basedOn w:val="Normal"/>
    <w:next w:val="BBBodyText2"/>
    <w:link w:val="Heading5Char"/>
    <w:uiPriority w:val="99"/>
    <w:qFormat/>
    <w:pPr>
      <w:numPr>
        <w:ilvl w:val="4"/>
        <w:numId w:val="25"/>
      </w:numPr>
      <w:spacing w:after="240"/>
      <w:outlineLvl w:val="4"/>
    </w:pPr>
    <w:rPr>
      <w:rFonts w:ascii="Times New Roman" w:eastAsia="Times New Roman" w:hAnsi="Times New Roman"/>
      <w:bCs/>
      <w:iCs/>
      <w:sz w:val="24"/>
      <w:szCs w:val="26"/>
    </w:rPr>
  </w:style>
  <w:style w:type="paragraph" w:styleId="Heading6">
    <w:name w:val="heading 6"/>
    <w:basedOn w:val="Normal"/>
    <w:next w:val="BBBodyText2"/>
    <w:link w:val="Heading6Char"/>
    <w:uiPriority w:val="99"/>
    <w:qFormat/>
    <w:pPr>
      <w:numPr>
        <w:ilvl w:val="5"/>
        <w:numId w:val="25"/>
      </w:numPr>
      <w:spacing w:after="240"/>
      <w:outlineLvl w:val="5"/>
    </w:pPr>
    <w:rPr>
      <w:rFonts w:ascii="Times New Roman" w:eastAsia="Times New Roman" w:hAnsi="Times New Roman"/>
      <w:bCs/>
      <w:sz w:val="24"/>
      <w:szCs w:val="20"/>
    </w:rPr>
  </w:style>
  <w:style w:type="paragraph" w:styleId="Heading7">
    <w:name w:val="heading 7"/>
    <w:basedOn w:val="Normal"/>
    <w:next w:val="BBBodyText2"/>
    <w:link w:val="Heading7Char"/>
    <w:uiPriority w:val="99"/>
    <w:qFormat/>
    <w:pPr>
      <w:numPr>
        <w:ilvl w:val="6"/>
        <w:numId w:val="25"/>
      </w:numPr>
      <w:spacing w:after="240"/>
      <w:outlineLvl w:val="6"/>
    </w:pPr>
    <w:rPr>
      <w:rFonts w:ascii="Times New Roman" w:eastAsia="Times New Roman" w:hAnsi="Times New Roman"/>
      <w:sz w:val="24"/>
      <w:szCs w:val="24"/>
    </w:rPr>
  </w:style>
  <w:style w:type="paragraph" w:styleId="Heading8">
    <w:name w:val="heading 8"/>
    <w:basedOn w:val="Normal"/>
    <w:next w:val="BBBodyText2"/>
    <w:link w:val="Heading8Char"/>
    <w:uiPriority w:val="99"/>
    <w:qFormat/>
    <w:pPr>
      <w:numPr>
        <w:ilvl w:val="7"/>
        <w:numId w:val="25"/>
      </w:numPr>
      <w:spacing w:after="240"/>
      <w:outlineLvl w:val="7"/>
    </w:pPr>
    <w:rPr>
      <w:rFonts w:ascii="Times New Roman" w:eastAsia="Times New Roman" w:hAnsi="Times New Roman"/>
      <w:iCs/>
      <w:sz w:val="24"/>
      <w:szCs w:val="24"/>
    </w:rPr>
  </w:style>
  <w:style w:type="paragraph" w:styleId="Heading9">
    <w:name w:val="heading 9"/>
    <w:basedOn w:val="Normal"/>
    <w:next w:val="BBBodyText2"/>
    <w:link w:val="Heading9Char"/>
    <w:uiPriority w:val="99"/>
    <w:qFormat/>
    <w:pPr>
      <w:numPr>
        <w:ilvl w:val="8"/>
        <w:numId w:val="25"/>
      </w:numPr>
      <w:spacing w:after="240"/>
      <w:outlineLvl w:val="8"/>
    </w:pPr>
    <w:rPr>
      <w:rFonts w:ascii="Times New Roman" w:eastAsia="Times New Roman" w:hAnsi="Times New Roman"/>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entury Schoolbook" w:eastAsia="MS Mincho" w:hAnsi="Century Schoolbook" w:cs="Times New Roman"/>
      <w:b/>
      <w:sz w:val="22"/>
    </w:rPr>
  </w:style>
  <w:style w:type="character" w:customStyle="1" w:styleId="Heading2Char">
    <w:name w:val="Heading 2 Char"/>
    <w:basedOn w:val="DefaultParagraphFont"/>
    <w:link w:val="Heading2"/>
    <w:uiPriority w:val="99"/>
    <w:locked/>
    <w:rPr>
      <w:rFonts w:ascii="Century Schoolbook" w:eastAsia="MS Mincho" w:hAnsi="Century Schoolbook"/>
      <w:b/>
      <w:sz w:val="20"/>
      <w:szCs w:val="21"/>
    </w:rPr>
  </w:style>
  <w:style w:type="character" w:customStyle="1" w:styleId="Heading3Char">
    <w:name w:val="Heading 3 Char"/>
    <w:basedOn w:val="DefaultParagraphFont"/>
    <w:link w:val="Heading3"/>
    <w:uiPriority w:val="99"/>
    <w:locked/>
    <w:rPr>
      <w:rFonts w:ascii="Century Schoolbook" w:eastAsia="MS Mincho" w:hAnsi="Century Schoolbook"/>
      <w:b/>
      <w:bCs/>
      <w:sz w:val="20"/>
      <w:szCs w:val="26"/>
    </w:rPr>
  </w:style>
  <w:style w:type="character" w:customStyle="1" w:styleId="Heading4Char">
    <w:name w:val="Heading 4 Char"/>
    <w:basedOn w:val="DefaultParagraphFont"/>
    <w:link w:val="Heading4"/>
    <w:uiPriority w:val="99"/>
    <w:locked/>
    <w:rPr>
      <w:rFonts w:ascii="Times New Roman" w:eastAsia="Times New Roman" w:hAnsi="Times New Roman"/>
      <w:bCs/>
      <w:sz w:val="28"/>
      <w:szCs w:val="28"/>
      <w:u w:val="single"/>
    </w:rPr>
  </w:style>
  <w:style w:type="character" w:customStyle="1" w:styleId="Heading5Char">
    <w:name w:val="Heading 5 Char"/>
    <w:basedOn w:val="DefaultParagraphFont"/>
    <w:link w:val="Heading5"/>
    <w:uiPriority w:val="99"/>
    <w:locked/>
    <w:rPr>
      <w:rFonts w:ascii="Times New Roman" w:eastAsia="Times New Roman" w:hAnsi="Times New Roman"/>
      <w:bCs/>
      <w:iCs/>
      <w:sz w:val="24"/>
      <w:szCs w:val="26"/>
    </w:rPr>
  </w:style>
  <w:style w:type="character" w:customStyle="1" w:styleId="Heading6Char">
    <w:name w:val="Heading 6 Char"/>
    <w:basedOn w:val="DefaultParagraphFont"/>
    <w:link w:val="Heading6"/>
    <w:uiPriority w:val="99"/>
    <w:locked/>
    <w:rPr>
      <w:rFonts w:ascii="Times New Roman" w:eastAsia="Times New Roman" w:hAnsi="Times New Roman"/>
      <w:bCs/>
      <w:sz w:val="24"/>
      <w:szCs w:val="20"/>
    </w:rPr>
  </w:style>
  <w:style w:type="character" w:customStyle="1" w:styleId="Heading7Char">
    <w:name w:val="Heading 7 Char"/>
    <w:basedOn w:val="DefaultParagraphFont"/>
    <w:link w:val="Heading7"/>
    <w:uiPriority w:val="99"/>
    <w:locked/>
    <w:rPr>
      <w:rFonts w:ascii="Times New Roman" w:eastAsia="Times New Roman" w:hAnsi="Times New Roman"/>
      <w:sz w:val="24"/>
      <w:szCs w:val="24"/>
    </w:rPr>
  </w:style>
  <w:style w:type="character" w:customStyle="1" w:styleId="Heading8Char">
    <w:name w:val="Heading 8 Char"/>
    <w:basedOn w:val="DefaultParagraphFont"/>
    <w:link w:val="Heading8"/>
    <w:uiPriority w:val="99"/>
    <w:locked/>
    <w:rPr>
      <w:rFonts w:ascii="Times New Roman" w:eastAsia="Times New Roman" w:hAnsi="Times New Roman"/>
      <w:iCs/>
      <w:sz w:val="24"/>
      <w:szCs w:val="24"/>
    </w:rPr>
  </w:style>
  <w:style w:type="character" w:customStyle="1" w:styleId="Heading9Char">
    <w:name w:val="Heading 9 Char"/>
    <w:basedOn w:val="DefaultParagraphFont"/>
    <w:link w:val="Heading9"/>
    <w:uiPriority w:val="99"/>
    <w:locked/>
    <w:rPr>
      <w:rFonts w:ascii="Times New Roman" w:eastAsia="Times New Roman" w:hAnsi="Times New Roman"/>
      <w:sz w:val="24"/>
      <w:szCs w:val="20"/>
    </w:rPr>
  </w:style>
  <w:style w:type="paragraph" w:styleId="TOCHeading">
    <w:name w:val="TOC Heading"/>
    <w:basedOn w:val="Heading1"/>
    <w:next w:val="Normal"/>
    <w:uiPriority w:val="99"/>
    <w:qFormat/>
    <w:pPr>
      <w:outlineLvl w:val="9"/>
    </w:pPr>
    <w:rPr>
      <w:lang w:eastAsia="ja-JP"/>
    </w:rPr>
  </w:style>
  <w:style w:type="paragraph" w:styleId="TOC2">
    <w:name w:val="toc 2"/>
    <w:basedOn w:val="Normal"/>
    <w:next w:val="Normal"/>
    <w:autoRedefine/>
    <w:uiPriority w:val="99"/>
    <w:pPr>
      <w:spacing w:after="100"/>
      <w:ind w:left="220"/>
    </w:pPr>
    <w:rPr>
      <w:rFonts w:eastAsia="Times New Roman"/>
      <w:i/>
      <w:sz w:val="20"/>
      <w:lang w:eastAsia="ja-JP"/>
    </w:rPr>
  </w:style>
  <w:style w:type="paragraph" w:styleId="TOC1">
    <w:name w:val="toc 1"/>
    <w:basedOn w:val="GDLA"/>
    <w:autoRedefine/>
    <w:uiPriority w:val="99"/>
    <w:pPr>
      <w:tabs>
        <w:tab w:val="right" w:leader="dot" w:pos="9350"/>
      </w:tabs>
      <w:spacing w:before="120" w:after="180"/>
      <w:jc w:val="left"/>
    </w:pPr>
    <w:rPr>
      <w:rFonts w:eastAsia="Times New Roman"/>
      <w:noProof/>
      <w:sz w:val="22"/>
      <w:lang w:eastAsia="ja-JP"/>
    </w:rPr>
  </w:style>
  <w:style w:type="paragraph" w:styleId="TOC3">
    <w:name w:val="toc 3"/>
    <w:basedOn w:val="Normal"/>
    <w:next w:val="Normal"/>
    <w:autoRedefine/>
    <w:uiPriority w:val="99"/>
    <w:pPr>
      <w:spacing w:after="100"/>
      <w:ind w:left="440"/>
    </w:pPr>
    <w:rPr>
      <w:rFonts w:eastAsia="Times New Roman"/>
      <w:b/>
      <w:sz w:val="18"/>
      <w:lang w:eastAsia="ja-JP"/>
    </w:rPr>
  </w:style>
  <w:style w:type="paragraph" w:styleId="BalloonText">
    <w:name w:val="Balloon Text"/>
    <w:basedOn w:val="Normal"/>
    <w:link w:val="BalloonTextChar"/>
    <w:uiPriority w:val="99"/>
    <w:semiHidden/>
    <w:pPr>
      <w:spacing w:after="0"/>
    </w:pPr>
    <w:rPr>
      <w:rFonts w:ascii="Tahoma" w:hAnsi="Tahoma"/>
      <w:sz w:val="16"/>
      <w:szCs w:val="16"/>
    </w:rPr>
  </w:style>
  <w:style w:type="character" w:customStyle="1" w:styleId="BalloonTextChar">
    <w:name w:val="Balloon Text Char"/>
    <w:basedOn w:val="DefaultParagraphFont"/>
    <w:link w:val="BalloonText"/>
    <w:uiPriority w:val="99"/>
    <w:semiHidden/>
    <w:locked/>
    <w:rPr>
      <w:rFonts w:ascii="Tahoma" w:hAnsi="Tahoma" w:cs="Times New Roman"/>
      <w:sz w:val="16"/>
    </w:rPr>
  </w:style>
  <w:style w:type="paragraph" w:styleId="NoSpacing">
    <w:name w:val="No Spacing"/>
    <w:link w:val="NoSpacingChar"/>
    <w:uiPriority w:val="99"/>
    <w:qFormat/>
    <w:rPr>
      <w:rFonts w:eastAsia="Times New Roman"/>
      <w:lang w:eastAsia="ja-JP"/>
    </w:rPr>
  </w:style>
  <w:style w:type="character" w:customStyle="1" w:styleId="NoSpacingChar">
    <w:name w:val="No Spacing Char"/>
    <w:link w:val="NoSpacing"/>
    <w:uiPriority w:val="99"/>
    <w:locked/>
    <w:rPr>
      <w:rFonts w:eastAsia="Times New Roman"/>
      <w:sz w:val="22"/>
      <w:lang w:val="en-US" w:eastAsia="ja-JP"/>
    </w:rPr>
  </w:style>
  <w:style w:type="paragraph" w:styleId="Header">
    <w:name w:val="header"/>
    <w:basedOn w:val="Normal"/>
    <w:link w:val="HeaderChar"/>
    <w:uiPriority w:val="99"/>
    <w:pPr>
      <w:tabs>
        <w:tab w:val="center" w:pos="4680"/>
        <w:tab w:val="right" w:pos="9360"/>
      </w:tabs>
      <w:spacing w:after="0"/>
    </w:pPr>
    <w:rPr>
      <w:rFonts w:ascii="Calibri" w:hAnsi="Calibri"/>
      <w:sz w:val="20"/>
      <w:szCs w:val="20"/>
    </w:rPr>
  </w:style>
  <w:style w:type="character" w:customStyle="1" w:styleId="HeaderChar">
    <w:name w:val="Header Char"/>
    <w:basedOn w:val="DefaultParagraphFont"/>
    <w:link w:val="Header"/>
    <w:uiPriority w:val="99"/>
    <w:locked/>
    <w:rPr>
      <w:rFonts w:cs="Times New Roman"/>
    </w:rPr>
  </w:style>
  <w:style w:type="paragraph" w:styleId="Footer">
    <w:name w:val="footer"/>
    <w:basedOn w:val="Normal"/>
    <w:link w:val="FooterChar"/>
    <w:uiPriority w:val="99"/>
    <w:pPr>
      <w:tabs>
        <w:tab w:val="center" w:pos="4680"/>
        <w:tab w:val="right" w:pos="9360"/>
      </w:tabs>
      <w:spacing w:after="0"/>
    </w:pPr>
    <w:rPr>
      <w:rFonts w:ascii="Calibri" w:hAnsi="Calibri"/>
      <w:sz w:val="20"/>
      <w:szCs w:val="20"/>
    </w:rPr>
  </w:style>
  <w:style w:type="character" w:customStyle="1" w:styleId="FooterChar">
    <w:name w:val="Footer Char"/>
    <w:basedOn w:val="DefaultParagraphFont"/>
    <w:link w:val="Footer"/>
    <w:uiPriority w:val="99"/>
    <w:locked/>
    <w:rPr>
      <w:rFonts w:cs="Times New Roman"/>
    </w:rPr>
  </w:style>
  <w:style w:type="paragraph" w:customStyle="1" w:styleId="D345FF3D873148C5AE3FBF3267827368">
    <w:name w:val="D345FF3D873148C5AE3FBF3267827368"/>
    <w:uiPriority w:val="99"/>
    <w:pPr>
      <w:spacing w:after="200" w:line="276" w:lineRule="auto"/>
    </w:pPr>
    <w:rPr>
      <w:rFonts w:eastAsia="Times New Roman"/>
      <w:lang w:eastAsia="ja-JP"/>
    </w:rPr>
  </w:style>
  <w:style w:type="paragraph" w:styleId="EndnoteText">
    <w:name w:val="endnote text"/>
    <w:basedOn w:val="Normal"/>
    <w:link w:val="EndnoteTextChar"/>
    <w:uiPriority w:val="99"/>
    <w:rPr>
      <w:rFonts w:eastAsia="Times New Roman"/>
      <w:sz w:val="20"/>
      <w:szCs w:val="20"/>
    </w:rPr>
  </w:style>
  <w:style w:type="character" w:customStyle="1" w:styleId="EndnoteTextChar">
    <w:name w:val="Endnote Text Char"/>
    <w:basedOn w:val="DefaultParagraphFont"/>
    <w:link w:val="EndnoteText"/>
    <w:uiPriority w:val="99"/>
    <w:locked/>
    <w:rPr>
      <w:rFonts w:ascii="Century Schoolbook" w:hAnsi="Century Schoolbook" w:cs="Times New Roman"/>
      <w:sz w:val="20"/>
    </w:rPr>
  </w:style>
  <w:style w:type="character" w:styleId="EndnoteReference">
    <w:name w:val="endnote reference"/>
    <w:basedOn w:val="DefaultParagraphFont"/>
    <w:uiPriority w:val="99"/>
    <w:rPr>
      <w:rFonts w:ascii="Times New Roman" w:hAnsi="Times New Roman" w:cs="Times New Roman"/>
      <w:vertAlign w:val="superscript"/>
    </w:rPr>
  </w:style>
  <w:style w:type="paragraph" w:customStyle="1" w:styleId="GDLA">
    <w:name w:val="GDLA"/>
    <w:basedOn w:val="Normal"/>
    <w:uiPriority w:val="99"/>
    <w:pPr>
      <w:spacing w:after="0"/>
      <w:jc w:val="center"/>
    </w:pPr>
    <w:rPr>
      <w:b/>
      <w:sz w:val="28"/>
      <w:szCs w:val="28"/>
    </w:rPr>
  </w:style>
  <w:style w:type="character" w:styleId="Hyperlink">
    <w:name w:val="Hyperlink"/>
    <w:basedOn w:val="DefaultParagraphFont"/>
    <w:uiPriority w:val="99"/>
    <w:rPr>
      <w:rFonts w:cs="Times New Roman"/>
      <w:color w:val="0000FF"/>
      <w:u w:val="single"/>
    </w:rPr>
  </w:style>
  <w:style w:type="character" w:styleId="PageNumber">
    <w:name w:val="page number"/>
    <w:basedOn w:val="DefaultParagraphFont"/>
    <w:uiPriority w:val="99"/>
    <w:rPr>
      <w:rFonts w:cs="Times New Roman"/>
    </w:rPr>
  </w:style>
  <w:style w:type="table" w:styleId="TableGrid">
    <w:name w:val="Table Grid"/>
    <w:basedOn w:val="TableNormal"/>
    <w:uiPriority w:val="99"/>
    <w:rPr>
      <w:rFonts w:ascii="Times New Roman" w:eastAsia="MS Mincho" w:hAnsi="Times New Roman"/>
      <w:sz w:val="20"/>
      <w:szCs w:val="20"/>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uthor">
    <w:name w:val="Author"/>
    <w:basedOn w:val="Normal"/>
    <w:link w:val="AuthorChar"/>
    <w:uiPriority w:val="99"/>
    <w:pPr>
      <w:spacing w:after="0"/>
      <w:jc w:val="center"/>
    </w:pPr>
    <w:rPr>
      <w:sz w:val="24"/>
      <w:szCs w:val="20"/>
    </w:rPr>
  </w:style>
  <w:style w:type="character" w:customStyle="1" w:styleId="AuthorChar">
    <w:name w:val="Author Char"/>
    <w:link w:val="Author"/>
    <w:uiPriority w:val="99"/>
    <w:locked/>
    <w:rPr>
      <w:rFonts w:ascii="Century Schoolbook" w:hAnsi="Century Schoolbook"/>
      <w:sz w:val="24"/>
    </w:rPr>
  </w:style>
  <w:style w:type="paragraph" w:customStyle="1" w:styleId="BodyText05">
    <w:name w:val="Body Text 0.5"/>
    <w:basedOn w:val="Normal"/>
    <w:uiPriority w:val="99"/>
    <w:pPr>
      <w:spacing w:before="240" w:after="0"/>
      <w:ind w:firstLine="720"/>
    </w:pPr>
    <w:rPr>
      <w:rFonts w:ascii="Times New Roman" w:eastAsia="Times New Roman" w:hAnsi="Times New Roman"/>
      <w:sz w:val="24"/>
      <w:szCs w:val="24"/>
    </w:rPr>
  </w:style>
  <w:style w:type="character" w:customStyle="1" w:styleId="ssit">
    <w:name w:val="ss_it"/>
    <w:uiPriority w:val="99"/>
  </w:style>
  <w:style w:type="character" w:customStyle="1" w:styleId="ssrfcpassagedeactivated">
    <w:name w:val="ss_rfcpassage_deactivated"/>
    <w:uiPriority w:val="99"/>
  </w:style>
  <w:style w:type="character" w:customStyle="1" w:styleId="ssun">
    <w:name w:val="ss_un"/>
    <w:uiPriority w:val="99"/>
  </w:style>
  <w:style w:type="character" w:styleId="Emphasis">
    <w:name w:val="Emphasis"/>
    <w:basedOn w:val="DefaultParagraphFont"/>
    <w:uiPriority w:val="99"/>
    <w:qFormat/>
    <w:rPr>
      <w:rFonts w:cs="Times New Roman"/>
      <w:i/>
    </w:rPr>
  </w:style>
  <w:style w:type="paragraph" w:customStyle="1" w:styleId="THBODY1default">
    <w:name w:val="*TH BODY 1 default"/>
    <w:basedOn w:val="Normal"/>
    <w:uiPriority w:val="99"/>
    <w:pPr>
      <w:spacing w:after="240"/>
    </w:pPr>
    <w:rPr>
      <w:rFonts w:ascii="Times New Roman" w:eastAsia="Times New Roman" w:hAnsi="Times New Roman"/>
      <w:color w:val="000000"/>
      <w:sz w:val="24"/>
      <w:szCs w:val="24"/>
    </w:rPr>
  </w:style>
  <w:style w:type="paragraph" w:customStyle="1" w:styleId="BBBodyText2">
    <w:name w:val="BB Body Text 2"/>
    <w:basedOn w:val="Normal"/>
    <w:link w:val="BBBodyText2Char"/>
    <w:uiPriority w:val="99"/>
    <w:pPr>
      <w:spacing w:after="0" w:line="480" w:lineRule="auto"/>
      <w:ind w:firstLine="720"/>
      <w:jc w:val="both"/>
    </w:pPr>
    <w:rPr>
      <w:rFonts w:ascii="Times New Roman" w:hAnsi="Times New Roman"/>
      <w:sz w:val="24"/>
      <w:szCs w:val="20"/>
    </w:rPr>
  </w:style>
  <w:style w:type="character" w:customStyle="1" w:styleId="BBBodyText2Char">
    <w:name w:val="BB Body Text 2 Char"/>
    <w:link w:val="BBBodyText2"/>
    <w:uiPriority w:val="99"/>
    <w:locked/>
    <w:rPr>
      <w:rFonts w:ascii="Times New Roman" w:hAnsi="Times New Roman"/>
      <w:sz w:val="24"/>
    </w:rPr>
  </w:style>
  <w:style w:type="paragraph" w:customStyle="1" w:styleId="SingleSpacing">
    <w:name w:val="Single Spacing"/>
    <w:basedOn w:val="Normal"/>
    <w:uiPriority w:val="99"/>
    <w:pPr>
      <w:spacing w:after="0"/>
    </w:pPr>
    <w:rPr>
      <w:rFonts w:ascii="Courier New" w:eastAsia="Times New Roman" w:hAnsi="Courier New"/>
      <w:sz w:val="24"/>
      <w:szCs w:val="24"/>
    </w:rPr>
  </w:style>
  <w:style w:type="paragraph" w:customStyle="1" w:styleId="PleadingTitleCentered">
    <w:name w:val="Pleading Title Centered"/>
    <w:basedOn w:val="Normal"/>
    <w:uiPriority w:val="99"/>
    <w:pPr>
      <w:keepNext/>
      <w:keepLines/>
      <w:spacing w:before="240" w:after="240"/>
      <w:jc w:val="center"/>
    </w:pPr>
    <w:rPr>
      <w:rFonts w:ascii="Courier New" w:eastAsia="Times New Roman" w:hAnsi="Courier New"/>
      <w:b/>
      <w:caps/>
      <w:sz w:val="24"/>
      <w:szCs w:val="24"/>
      <w:u w:val="single"/>
    </w:rPr>
  </w:style>
  <w:style w:type="paragraph" w:customStyle="1" w:styleId="border">
    <w:name w:val="border"/>
    <w:basedOn w:val="Normal"/>
    <w:uiPriority w:val="99"/>
    <w:pPr>
      <w:widowControl w:val="0"/>
      <w:spacing w:after="0"/>
      <w:jc w:val="center"/>
    </w:pPr>
    <w:rPr>
      <w:rFonts w:ascii="Courier New" w:eastAsia="Times New Roman" w:hAnsi="Courier New"/>
      <w:sz w:val="24"/>
      <w:szCs w:val="24"/>
    </w:rPr>
  </w:style>
  <w:style w:type="paragraph" w:styleId="FootnoteText">
    <w:name w:val="footnote text"/>
    <w:aliases w:val="FN"/>
    <w:basedOn w:val="Normal"/>
    <w:link w:val="FootnoteTextChar"/>
    <w:uiPriority w:val="99"/>
    <w:pPr>
      <w:spacing w:after="0"/>
      <w:ind w:firstLine="720"/>
      <w:jc w:val="both"/>
    </w:pPr>
    <w:rPr>
      <w:rFonts w:ascii="Times New Roman" w:hAnsi="Times New Roman"/>
      <w:sz w:val="20"/>
      <w:szCs w:val="20"/>
    </w:rPr>
  </w:style>
  <w:style w:type="character" w:customStyle="1" w:styleId="FootnoteTextChar">
    <w:name w:val="Footnote Text Char"/>
    <w:aliases w:val="FN Char"/>
    <w:basedOn w:val="DefaultParagraphFont"/>
    <w:link w:val="FootnoteText"/>
    <w:uiPriority w:val="99"/>
    <w:locked/>
    <w:rPr>
      <w:rFonts w:ascii="Times New Roman" w:hAnsi="Times New Roman" w:cs="Times New Roman"/>
      <w:sz w:val="20"/>
    </w:rPr>
  </w:style>
  <w:style w:type="character" w:styleId="FootnoteReference">
    <w:name w:val="footnote reference"/>
    <w:basedOn w:val="DefaultParagraphFont"/>
    <w:uiPriority w:val="99"/>
    <w:semiHidden/>
    <w:rPr>
      <w:rFonts w:cs="Times New Roman"/>
      <w:vertAlign w:val="superscript"/>
    </w:rPr>
  </w:style>
  <w:style w:type="paragraph" w:customStyle="1" w:styleId="BBSignature">
    <w:name w:val="BB Signature"/>
    <w:basedOn w:val="Normal"/>
    <w:uiPriority w:val="99"/>
    <w:pPr>
      <w:keepNext/>
      <w:spacing w:after="0"/>
      <w:ind w:left="4320"/>
    </w:pPr>
    <w:rPr>
      <w:rFonts w:ascii="Courier New" w:eastAsia="Times New Roman" w:hAnsi="Courier New" w:cs="Courier New"/>
      <w:sz w:val="24"/>
      <w:szCs w:val="24"/>
    </w:rPr>
  </w:style>
  <w:style w:type="paragraph" w:customStyle="1" w:styleId="BBSignatureNI">
    <w:name w:val="BB Signature NI"/>
    <w:basedOn w:val="BBSignature"/>
    <w:uiPriority w:val="99"/>
    <w:pPr>
      <w:ind w:left="0"/>
    </w:pPr>
  </w:style>
  <w:style w:type="paragraph" w:customStyle="1" w:styleId="BBMainHeading">
    <w:name w:val="BB Main Heading"/>
    <w:basedOn w:val="Normal"/>
    <w:next w:val="Normal"/>
    <w:uiPriority w:val="99"/>
    <w:pPr>
      <w:keepNext/>
      <w:spacing w:after="240"/>
      <w:jc w:val="center"/>
    </w:pPr>
    <w:rPr>
      <w:rFonts w:ascii="Courier New" w:eastAsia="Times New Roman" w:hAnsi="Courier New" w:cs="Courier New"/>
      <w:b/>
      <w:caps/>
      <w:sz w:val="24"/>
      <w:szCs w:val="24"/>
      <w:u w:val="single"/>
    </w:rPr>
  </w:style>
  <w:style w:type="paragraph" w:customStyle="1" w:styleId="ByLine">
    <w:name w:val="ByLine"/>
    <w:basedOn w:val="Normal"/>
    <w:uiPriority w:val="99"/>
    <w:pPr>
      <w:tabs>
        <w:tab w:val="left" w:pos="4320"/>
        <w:tab w:val="left" w:pos="5040"/>
        <w:tab w:val="left" w:pos="9360"/>
      </w:tabs>
      <w:spacing w:after="0"/>
      <w:ind w:left="5040" w:hanging="5040"/>
    </w:pPr>
    <w:rPr>
      <w:rFonts w:ascii="Courier New" w:eastAsia="Times New Roman" w:hAnsi="Courier New"/>
      <w:noProof/>
      <w:sz w:val="24"/>
      <w:szCs w:val="24"/>
    </w:rPr>
  </w:style>
  <w:style w:type="paragraph" w:customStyle="1" w:styleId="BBAddress">
    <w:name w:val="BB Address"/>
    <w:basedOn w:val="Normal"/>
    <w:uiPriority w:val="99"/>
    <w:pPr>
      <w:spacing w:after="0"/>
      <w:ind w:left="4320"/>
    </w:pPr>
    <w:rPr>
      <w:rFonts w:ascii="Courier New" w:eastAsia="Times New Roman" w:hAnsi="Courier New" w:cs="Courier New"/>
      <w:sz w:val="24"/>
      <w:szCs w:val="24"/>
    </w:rPr>
  </w:style>
  <w:style w:type="paragraph" w:styleId="ListBullet">
    <w:name w:val="List Bullet"/>
    <w:basedOn w:val="Normal"/>
    <w:uiPriority w:val="99"/>
    <w:pPr>
      <w:numPr>
        <w:numId w:val="1"/>
      </w:numPr>
      <w:spacing w:after="0"/>
      <w:contextualSpacing/>
    </w:pPr>
    <w:rPr>
      <w:rFonts w:ascii="Times New Roman" w:eastAsia="Times New Roman" w:hAnsi="Times New Roman"/>
      <w:sz w:val="24"/>
      <w:szCs w:val="24"/>
    </w:rPr>
  </w:style>
  <w:style w:type="character" w:styleId="FollowedHyperlink">
    <w:name w:val="FollowedHyperlink"/>
    <w:basedOn w:val="DefaultParagraphFont"/>
    <w:uiPriority w:val="99"/>
    <w:rPr>
      <w:rFonts w:cs="Times New Roman"/>
      <w:color w:val="800080"/>
      <w:u w:val="single"/>
    </w:rPr>
  </w:style>
  <w:style w:type="paragraph" w:customStyle="1" w:styleId="BBBodyText">
    <w:name w:val="BB Body Text"/>
    <w:basedOn w:val="Normal"/>
    <w:uiPriority w:val="99"/>
    <w:pPr>
      <w:spacing w:after="240"/>
      <w:ind w:firstLine="720"/>
      <w:jc w:val="both"/>
    </w:pPr>
    <w:rPr>
      <w:rFonts w:ascii="Times New Roman" w:eastAsia="Times New Roman" w:hAnsi="Times New Roman"/>
      <w:sz w:val="24"/>
      <w:szCs w:val="24"/>
    </w:rPr>
  </w:style>
  <w:style w:type="paragraph" w:customStyle="1" w:styleId="BBDoubleIndent">
    <w:name w:val="BB Double Indent"/>
    <w:basedOn w:val="Normal"/>
    <w:next w:val="BBBodyText"/>
    <w:uiPriority w:val="99"/>
    <w:pPr>
      <w:ind w:left="720" w:right="720"/>
      <w:jc w:val="both"/>
    </w:pPr>
    <w:rPr>
      <w:rFonts w:eastAsia="Times New Roman"/>
      <w:sz w:val="24"/>
      <w:szCs w:val="24"/>
    </w:rPr>
  </w:style>
  <w:style w:type="paragraph" w:customStyle="1" w:styleId="CourtName">
    <w:name w:val="Court Name"/>
    <w:basedOn w:val="Normal"/>
    <w:link w:val="CourtNameChar"/>
    <w:uiPriority w:val="99"/>
    <w:pPr>
      <w:spacing w:after="360"/>
      <w:contextualSpacing/>
      <w:jc w:val="center"/>
    </w:pPr>
    <w:rPr>
      <w:rFonts w:ascii="Times New Roman" w:hAnsi="Times New Roman"/>
      <w:b/>
      <w:caps/>
      <w:sz w:val="24"/>
      <w:szCs w:val="20"/>
    </w:rPr>
  </w:style>
  <w:style w:type="paragraph" w:customStyle="1" w:styleId="BBSignatureLine">
    <w:name w:val="BB Signature Line"/>
    <w:basedOn w:val="Normal"/>
    <w:uiPriority w:val="99"/>
    <w:pPr>
      <w:tabs>
        <w:tab w:val="right" w:pos="9360"/>
      </w:tabs>
      <w:spacing w:after="0"/>
      <w:ind w:left="4320"/>
      <w:jc w:val="both"/>
    </w:pPr>
    <w:rPr>
      <w:rFonts w:ascii="Times New Roman" w:eastAsia="Times New Roman" w:hAnsi="Times New Roman"/>
      <w:sz w:val="28"/>
      <w:szCs w:val="24"/>
      <w:u w:val="single"/>
    </w:rPr>
  </w:style>
  <w:style w:type="paragraph" w:customStyle="1" w:styleId="BBSignatureCap">
    <w:name w:val="BB Signature Cap"/>
    <w:basedOn w:val="BBSignatureNI"/>
    <w:uiPriority w:val="99"/>
    <w:rPr>
      <w:rFonts w:ascii="Times New Roman" w:hAnsi="Times New Roman"/>
      <w:caps/>
      <w:sz w:val="28"/>
    </w:rPr>
  </w:style>
  <w:style w:type="paragraph" w:styleId="BodyTextIndent">
    <w:name w:val="Body Text Indent"/>
    <w:basedOn w:val="Normal"/>
    <w:link w:val="BodyTextIndentChar"/>
    <w:uiPriority w:val="99"/>
    <w:pPr>
      <w:suppressAutoHyphens/>
      <w:spacing w:after="0" w:line="480" w:lineRule="auto"/>
      <w:ind w:firstLine="720"/>
      <w:jc w:val="both"/>
    </w:pPr>
    <w:rPr>
      <w:rFonts w:ascii="Times New Roman" w:hAnsi="Times New Roman"/>
      <w:spacing w:val="-2"/>
      <w:sz w:val="20"/>
      <w:szCs w:val="20"/>
    </w:rPr>
  </w:style>
  <w:style w:type="character" w:customStyle="1" w:styleId="BodyTextIndentChar">
    <w:name w:val="Body Text Indent Char"/>
    <w:basedOn w:val="DefaultParagraphFont"/>
    <w:link w:val="BodyTextIndent"/>
    <w:uiPriority w:val="99"/>
    <w:locked/>
    <w:rPr>
      <w:rFonts w:ascii="Times New Roman" w:hAnsi="Times New Roman" w:cs="Times New Roman"/>
      <w:spacing w:val="-2"/>
      <w:sz w:val="20"/>
    </w:rPr>
  </w:style>
  <w:style w:type="character" w:customStyle="1" w:styleId="searchterm">
    <w:name w:val="searchterm"/>
    <w:uiPriority w:val="99"/>
  </w:style>
  <w:style w:type="character" w:customStyle="1" w:styleId="starpage">
    <w:name w:val="starpage"/>
    <w:uiPriority w:val="99"/>
  </w:style>
  <w:style w:type="character" w:customStyle="1" w:styleId="DocID">
    <w:name w:val="DocID"/>
    <w:uiPriority w:val="99"/>
    <w:rPr>
      <w:rFonts w:ascii="Times New Roman" w:hAnsi="Times New Roman"/>
      <w:color w:val="000000"/>
      <w:sz w:val="28"/>
      <w:u w:val="none"/>
    </w:rPr>
  </w:style>
  <w:style w:type="paragraph" w:styleId="Bibliography">
    <w:name w:val="Bibliography"/>
    <w:basedOn w:val="Normal"/>
    <w:next w:val="Normal"/>
    <w:uiPriority w:val="99"/>
    <w:semiHidden/>
    <w:pPr>
      <w:spacing w:after="0"/>
    </w:pPr>
    <w:rPr>
      <w:rFonts w:ascii="Times New Roman" w:eastAsia="Times New Roman" w:hAnsi="Times New Roman"/>
      <w:sz w:val="24"/>
      <w:szCs w:val="24"/>
    </w:rPr>
  </w:style>
  <w:style w:type="paragraph" w:styleId="BlockText">
    <w:name w:val="Block Text"/>
    <w:basedOn w:val="Normal"/>
    <w:uiPriority w:val="99"/>
    <w:pPr>
      <w:ind w:left="1440" w:right="1440"/>
    </w:pPr>
    <w:rPr>
      <w:rFonts w:ascii="Times New Roman" w:eastAsia="Times New Roman" w:hAnsi="Times New Roman"/>
      <w:sz w:val="24"/>
      <w:szCs w:val="24"/>
    </w:rPr>
  </w:style>
  <w:style w:type="paragraph" w:styleId="BodyText">
    <w:name w:val="Body Text"/>
    <w:basedOn w:val="Normal"/>
    <w:link w:val="BodyTextChar"/>
    <w:uiPriority w:val="99"/>
    <w:pPr>
      <w:jc w:val="both"/>
    </w:pPr>
    <w:rPr>
      <w:rFonts w:eastAsia="Times New Roman"/>
      <w:sz w:val="24"/>
      <w:szCs w:val="24"/>
    </w:rPr>
  </w:style>
  <w:style w:type="character" w:customStyle="1" w:styleId="BodyTextChar">
    <w:name w:val="Body Text Char"/>
    <w:basedOn w:val="DefaultParagraphFont"/>
    <w:link w:val="BodyText"/>
    <w:uiPriority w:val="99"/>
    <w:locked/>
    <w:rPr>
      <w:rFonts w:ascii="Century Schoolbook" w:hAnsi="Century Schoolbook" w:cs="Times New Roman"/>
      <w:sz w:val="24"/>
      <w:szCs w:val="24"/>
    </w:rPr>
  </w:style>
  <w:style w:type="paragraph" w:styleId="BodyText2">
    <w:name w:val="Body Text 2"/>
    <w:basedOn w:val="Normal"/>
    <w:link w:val="BodyText2Char"/>
    <w:uiPriority w:val="99"/>
    <w:pPr>
      <w:spacing w:line="480" w:lineRule="auto"/>
    </w:pPr>
    <w:rPr>
      <w:rFonts w:ascii="Times New Roman" w:hAnsi="Times New Roman"/>
      <w:sz w:val="24"/>
      <w:szCs w:val="24"/>
    </w:rPr>
  </w:style>
  <w:style w:type="character" w:customStyle="1" w:styleId="BodyText2Char">
    <w:name w:val="Body Text 2 Char"/>
    <w:basedOn w:val="DefaultParagraphFont"/>
    <w:link w:val="BodyText2"/>
    <w:uiPriority w:val="99"/>
    <w:locked/>
    <w:rPr>
      <w:rFonts w:ascii="Times New Roman" w:hAnsi="Times New Roman" w:cs="Times New Roman"/>
      <w:sz w:val="24"/>
    </w:rPr>
  </w:style>
  <w:style w:type="paragraph" w:styleId="BodyText3">
    <w:name w:val="Body Text 3"/>
    <w:basedOn w:val="Normal"/>
    <w:link w:val="BodyText3Char"/>
    <w:uiPriority w:val="99"/>
    <w:rPr>
      <w:rFonts w:ascii="Times New Roman" w:hAnsi="Times New Roman"/>
      <w:sz w:val="16"/>
      <w:szCs w:val="16"/>
    </w:rPr>
  </w:style>
  <w:style w:type="character" w:customStyle="1" w:styleId="BodyText3Char">
    <w:name w:val="Body Text 3 Char"/>
    <w:basedOn w:val="DefaultParagraphFont"/>
    <w:link w:val="BodyText3"/>
    <w:uiPriority w:val="99"/>
    <w:locked/>
    <w:rPr>
      <w:rFonts w:ascii="Times New Roman" w:hAnsi="Times New Roman" w:cs="Times New Roman"/>
      <w:sz w:val="16"/>
    </w:rPr>
  </w:style>
  <w:style w:type="paragraph" w:styleId="BodyTextFirstIndent">
    <w:name w:val="Body Text First Indent"/>
    <w:basedOn w:val="BodyText"/>
    <w:link w:val="BodyTextFirstIndentChar"/>
    <w:uiPriority w:val="99"/>
    <w:pPr>
      <w:spacing w:before="120"/>
      <w:ind w:firstLine="720"/>
    </w:pPr>
  </w:style>
  <w:style w:type="character" w:customStyle="1" w:styleId="BodyTextFirstIndentChar">
    <w:name w:val="Body Text First Indent Char"/>
    <w:basedOn w:val="BodyTextChar"/>
    <w:link w:val="BodyTextFirstIndent"/>
    <w:uiPriority w:val="99"/>
    <w:locked/>
    <w:rPr>
      <w:rFonts w:ascii="Century Schoolbook" w:hAnsi="Century Schoolbook" w:cs="Times New Roman"/>
      <w:sz w:val="24"/>
      <w:szCs w:val="24"/>
    </w:rPr>
  </w:style>
  <w:style w:type="paragraph" w:styleId="BodyTextFirstIndent2">
    <w:name w:val="Body Text First Indent 2"/>
    <w:basedOn w:val="BodyTextIndent"/>
    <w:link w:val="BodyTextFirstIndent2Char"/>
    <w:uiPriority w:val="99"/>
    <w:pPr>
      <w:suppressAutoHyphens w:val="0"/>
      <w:spacing w:after="120" w:line="240" w:lineRule="auto"/>
      <w:ind w:left="360" w:firstLine="210"/>
      <w:jc w:val="left"/>
    </w:pPr>
    <w:rPr>
      <w:rFonts w:ascii="Century Schoolbook" w:hAnsi="Century Schoolbook"/>
      <w:szCs w:val="24"/>
    </w:rPr>
  </w:style>
  <w:style w:type="character" w:customStyle="1" w:styleId="BodyTextFirstIndent2Char">
    <w:name w:val="Body Text First Indent 2 Char"/>
    <w:basedOn w:val="BodyTextIndentChar"/>
    <w:link w:val="BodyTextFirstIndent2"/>
    <w:uiPriority w:val="99"/>
    <w:locked/>
    <w:rPr>
      <w:rFonts w:ascii="Century Schoolbook" w:hAnsi="Century Schoolbook" w:cs="Times New Roman"/>
      <w:spacing w:val="-2"/>
      <w:sz w:val="24"/>
    </w:rPr>
  </w:style>
  <w:style w:type="paragraph" w:styleId="BodyTextIndent2">
    <w:name w:val="Body Text Indent 2"/>
    <w:basedOn w:val="Normal"/>
    <w:link w:val="BodyTextIndent2Char"/>
    <w:uiPriority w:val="99"/>
    <w:pPr>
      <w:spacing w:line="480" w:lineRule="auto"/>
      <w:ind w:left="360"/>
    </w:pPr>
    <w:rPr>
      <w:rFonts w:ascii="Times New Roman" w:hAnsi="Times New Roman"/>
      <w:sz w:val="24"/>
      <w:szCs w:val="24"/>
    </w:rPr>
  </w:style>
  <w:style w:type="character" w:customStyle="1" w:styleId="BodyTextIndent2Char">
    <w:name w:val="Body Text Indent 2 Char"/>
    <w:basedOn w:val="DefaultParagraphFont"/>
    <w:link w:val="BodyTextIndent2"/>
    <w:uiPriority w:val="99"/>
    <w:locked/>
    <w:rPr>
      <w:rFonts w:ascii="Times New Roman" w:hAnsi="Times New Roman" w:cs="Times New Roman"/>
      <w:sz w:val="24"/>
    </w:rPr>
  </w:style>
  <w:style w:type="paragraph" w:styleId="BodyTextIndent3">
    <w:name w:val="Body Text Indent 3"/>
    <w:basedOn w:val="Normal"/>
    <w:link w:val="BodyTextIndent3Char"/>
    <w:uiPriority w:val="99"/>
    <w:pPr>
      <w:ind w:left="360"/>
    </w:pPr>
    <w:rPr>
      <w:rFonts w:ascii="Times New Roman" w:hAnsi="Times New Roman"/>
      <w:sz w:val="16"/>
      <w:szCs w:val="16"/>
    </w:rPr>
  </w:style>
  <w:style w:type="character" w:customStyle="1" w:styleId="BodyTextIndent3Char">
    <w:name w:val="Body Text Indent 3 Char"/>
    <w:basedOn w:val="DefaultParagraphFont"/>
    <w:link w:val="BodyTextIndent3"/>
    <w:uiPriority w:val="99"/>
    <w:locked/>
    <w:rPr>
      <w:rFonts w:ascii="Times New Roman" w:hAnsi="Times New Roman" w:cs="Times New Roman"/>
      <w:sz w:val="16"/>
    </w:rPr>
  </w:style>
  <w:style w:type="character" w:styleId="BookTitle">
    <w:name w:val="Book Title"/>
    <w:basedOn w:val="DefaultParagraphFont"/>
    <w:uiPriority w:val="99"/>
    <w:qFormat/>
    <w:rPr>
      <w:rFonts w:cs="Times New Roman"/>
      <w:b/>
      <w:smallCaps/>
      <w:spacing w:val="5"/>
    </w:rPr>
  </w:style>
  <w:style w:type="paragraph" w:styleId="Caption">
    <w:name w:val="caption"/>
    <w:basedOn w:val="Normal"/>
    <w:next w:val="Normal"/>
    <w:uiPriority w:val="99"/>
    <w:qFormat/>
    <w:pPr>
      <w:spacing w:after="0"/>
    </w:pPr>
    <w:rPr>
      <w:rFonts w:ascii="Times New Roman" w:eastAsia="Times New Roman" w:hAnsi="Times New Roman"/>
      <w:b/>
      <w:bCs/>
      <w:sz w:val="20"/>
      <w:szCs w:val="20"/>
    </w:rPr>
  </w:style>
  <w:style w:type="paragraph" w:styleId="Closing">
    <w:name w:val="Closing"/>
    <w:basedOn w:val="Normal"/>
    <w:link w:val="ClosingChar"/>
    <w:uiPriority w:val="99"/>
    <w:pPr>
      <w:spacing w:after="0"/>
      <w:ind w:left="4320"/>
    </w:pPr>
    <w:rPr>
      <w:rFonts w:ascii="Times New Roman" w:hAnsi="Times New Roman"/>
      <w:sz w:val="24"/>
      <w:szCs w:val="24"/>
    </w:rPr>
  </w:style>
  <w:style w:type="character" w:customStyle="1" w:styleId="ClosingChar">
    <w:name w:val="Closing Char"/>
    <w:basedOn w:val="DefaultParagraphFont"/>
    <w:link w:val="Closing"/>
    <w:uiPriority w:val="99"/>
    <w:locked/>
    <w:rPr>
      <w:rFonts w:ascii="Times New Roman" w:hAnsi="Times New Roman" w:cs="Times New Roman"/>
      <w:sz w:val="24"/>
    </w:rPr>
  </w:style>
  <w:style w:type="table" w:styleId="ColorfulGrid">
    <w:name w:val="Colorful Grid"/>
    <w:basedOn w:val="TableNormal"/>
    <w:uiPriority w:val="99"/>
    <w:rPr>
      <w:rFonts w:ascii="Times New Roman" w:eastAsia="Times New Roman" w:hAnsi="Times New Roman"/>
      <w:color w:val="000000"/>
      <w:sz w:val="20"/>
      <w:szCs w:val="2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styleId="ColorfulGrid-Accent1">
    <w:name w:val="Colorful Grid Accent 1"/>
    <w:basedOn w:val="TableNormal"/>
    <w:uiPriority w:val="99"/>
    <w:rPr>
      <w:rFonts w:ascii="Times New Roman" w:eastAsia="Times New Roman" w:hAnsi="Times New Roman"/>
      <w:color w:val="000000"/>
      <w:sz w:val="20"/>
      <w:szCs w:val="2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rFonts w:cs="Times New Roman"/>
        <w:b/>
        <w:bCs/>
      </w:rPr>
      <w:tblPr/>
      <w:tcPr>
        <w:shd w:val="clear" w:color="auto" w:fill="B8CCE4"/>
      </w:tcPr>
    </w:tblStylePr>
    <w:tblStylePr w:type="lastRow">
      <w:rPr>
        <w:rFonts w:cs="Times New Roman"/>
        <w:b/>
        <w:bCs/>
        <w:color w:val="000000"/>
      </w:rPr>
      <w:tblPr/>
      <w:tcPr>
        <w:shd w:val="clear" w:color="auto" w:fill="B8CCE4"/>
      </w:tcPr>
    </w:tblStylePr>
    <w:tblStylePr w:type="firstCol">
      <w:rPr>
        <w:rFonts w:cs="Times New Roman"/>
        <w:color w:val="FFFFFF"/>
      </w:rPr>
      <w:tblPr/>
      <w:tcPr>
        <w:shd w:val="clear" w:color="auto" w:fill="365F91"/>
      </w:tcPr>
    </w:tblStylePr>
    <w:tblStylePr w:type="lastCol">
      <w:rPr>
        <w:rFonts w:cs="Times New Roman"/>
        <w:color w:val="FFFFFF"/>
      </w:rPr>
      <w:tblPr/>
      <w:tcPr>
        <w:shd w:val="clear" w:color="auto" w:fill="365F91"/>
      </w:tc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styleId="ColorfulGrid-Accent2">
    <w:name w:val="Colorful Grid Accent 2"/>
    <w:basedOn w:val="TableNormal"/>
    <w:uiPriority w:val="99"/>
    <w:rPr>
      <w:rFonts w:ascii="Times New Roman" w:eastAsia="Times New Roman" w:hAnsi="Times New Roman"/>
      <w:color w:val="000000"/>
      <w:sz w:val="20"/>
      <w:szCs w:val="2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rFonts w:cs="Times New Roman"/>
        <w:b/>
        <w:bCs/>
      </w:rPr>
      <w:tblPr/>
      <w:tcPr>
        <w:shd w:val="clear" w:color="auto" w:fill="E5B8B7"/>
      </w:tcPr>
    </w:tblStylePr>
    <w:tblStylePr w:type="lastRow">
      <w:rPr>
        <w:rFonts w:cs="Times New Roman"/>
        <w:b/>
        <w:bCs/>
        <w:color w:val="000000"/>
      </w:rPr>
      <w:tblPr/>
      <w:tcPr>
        <w:shd w:val="clear" w:color="auto" w:fill="E5B8B7"/>
      </w:tcPr>
    </w:tblStylePr>
    <w:tblStylePr w:type="firstCol">
      <w:rPr>
        <w:rFonts w:cs="Times New Roman"/>
        <w:color w:val="FFFFFF"/>
      </w:rPr>
      <w:tblPr/>
      <w:tcPr>
        <w:shd w:val="clear" w:color="auto" w:fill="943634"/>
      </w:tcPr>
    </w:tblStylePr>
    <w:tblStylePr w:type="lastCol">
      <w:rPr>
        <w:rFonts w:cs="Times New Roman"/>
        <w:color w:val="FFFFFF"/>
      </w:rPr>
      <w:tblPr/>
      <w:tcPr>
        <w:shd w:val="clear" w:color="auto" w:fill="943634"/>
      </w:tc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styleId="ColorfulGrid-Accent3">
    <w:name w:val="Colorful Grid Accent 3"/>
    <w:basedOn w:val="TableNormal"/>
    <w:uiPriority w:val="99"/>
    <w:rPr>
      <w:rFonts w:ascii="Times New Roman" w:eastAsia="Times New Roman" w:hAnsi="Times New Roman"/>
      <w:color w:val="000000"/>
      <w:sz w:val="20"/>
      <w:szCs w:val="2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rFonts w:cs="Times New Roman"/>
        <w:b/>
        <w:bCs/>
      </w:rPr>
      <w:tblPr/>
      <w:tcPr>
        <w:shd w:val="clear" w:color="auto" w:fill="D6E3BC"/>
      </w:tcPr>
    </w:tblStylePr>
    <w:tblStylePr w:type="lastRow">
      <w:rPr>
        <w:rFonts w:cs="Times New Roman"/>
        <w:b/>
        <w:bCs/>
        <w:color w:val="000000"/>
      </w:rPr>
      <w:tblPr/>
      <w:tcPr>
        <w:shd w:val="clear" w:color="auto" w:fill="D6E3BC"/>
      </w:tcPr>
    </w:tblStylePr>
    <w:tblStylePr w:type="firstCol">
      <w:rPr>
        <w:rFonts w:cs="Times New Roman"/>
        <w:color w:val="FFFFFF"/>
      </w:rPr>
      <w:tblPr/>
      <w:tcPr>
        <w:shd w:val="clear" w:color="auto" w:fill="76923C"/>
      </w:tcPr>
    </w:tblStylePr>
    <w:tblStylePr w:type="lastCol">
      <w:rPr>
        <w:rFonts w:cs="Times New Roman"/>
        <w:color w:val="FFFFFF"/>
      </w:rPr>
      <w:tblPr/>
      <w:tcPr>
        <w:shd w:val="clear" w:color="auto" w:fill="76923C"/>
      </w:tc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styleId="ColorfulGrid-Accent4">
    <w:name w:val="Colorful Grid Accent 4"/>
    <w:basedOn w:val="TableNormal"/>
    <w:uiPriority w:val="99"/>
    <w:rPr>
      <w:rFonts w:ascii="Times New Roman" w:eastAsia="Times New Roman" w:hAnsi="Times New Roman"/>
      <w:color w:val="000000"/>
      <w:sz w:val="20"/>
      <w:szCs w:val="2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rFonts w:cs="Times New Roman"/>
        <w:b/>
        <w:bCs/>
      </w:rPr>
      <w:tblPr/>
      <w:tcPr>
        <w:shd w:val="clear" w:color="auto" w:fill="CCC0D9"/>
      </w:tcPr>
    </w:tblStylePr>
    <w:tblStylePr w:type="lastRow">
      <w:rPr>
        <w:rFonts w:cs="Times New Roman"/>
        <w:b/>
        <w:bCs/>
        <w:color w:val="000000"/>
      </w:rPr>
      <w:tblPr/>
      <w:tcPr>
        <w:shd w:val="clear" w:color="auto" w:fill="CCC0D9"/>
      </w:tcPr>
    </w:tblStylePr>
    <w:tblStylePr w:type="firstCol">
      <w:rPr>
        <w:rFonts w:cs="Times New Roman"/>
        <w:color w:val="FFFFFF"/>
      </w:rPr>
      <w:tblPr/>
      <w:tcPr>
        <w:shd w:val="clear" w:color="auto" w:fill="5F497A"/>
      </w:tcPr>
    </w:tblStylePr>
    <w:tblStylePr w:type="lastCol">
      <w:rPr>
        <w:rFonts w:cs="Times New Roman"/>
        <w:color w:val="FFFFFF"/>
      </w:rPr>
      <w:tblPr/>
      <w:tcPr>
        <w:shd w:val="clear" w:color="auto" w:fill="5F497A"/>
      </w:tc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styleId="ColorfulGrid-Accent5">
    <w:name w:val="Colorful Grid Accent 5"/>
    <w:basedOn w:val="TableNormal"/>
    <w:uiPriority w:val="99"/>
    <w:rPr>
      <w:rFonts w:ascii="Times New Roman" w:eastAsia="Times New Roman" w:hAnsi="Times New Roman"/>
      <w:color w:val="000000"/>
      <w:sz w:val="20"/>
      <w:szCs w:val="2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rFonts w:cs="Times New Roman"/>
        <w:b/>
        <w:bCs/>
      </w:rPr>
      <w:tblPr/>
      <w:tcPr>
        <w:shd w:val="clear" w:color="auto" w:fill="B6DDE8"/>
      </w:tcPr>
    </w:tblStylePr>
    <w:tblStylePr w:type="lastRow">
      <w:rPr>
        <w:rFonts w:cs="Times New Roman"/>
        <w:b/>
        <w:bCs/>
        <w:color w:val="000000"/>
      </w:rPr>
      <w:tblPr/>
      <w:tcPr>
        <w:shd w:val="clear" w:color="auto" w:fill="B6DDE8"/>
      </w:tcPr>
    </w:tblStylePr>
    <w:tblStylePr w:type="firstCol">
      <w:rPr>
        <w:rFonts w:cs="Times New Roman"/>
        <w:color w:val="FFFFFF"/>
      </w:rPr>
      <w:tblPr/>
      <w:tcPr>
        <w:shd w:val="clear" w:color="auto" w:fill="31849B"/>
      </w:tcPr>
    </w:tblStylePr>
    <w:tblStylePr w:type="lastCol">
      <w:rPr>
        <w:rFonts w:cs="Times New Roman"/>
        <w:color w:val="FFFFFF"/>
      </w:rPr>
      <w:tblPr/>
      <w:tcPr>
        <w:shd w:val="clear" w:color="auto" w:fill="31849B"/>
      </w:tc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styleId="ColorfulGrid-Accent6">
    <w:name w:val="Colorful Grid Accent 6"/>
    <w:basedOn w:val="TableNormal"/>
    <w:uiPriority w:val="99"/>
    <w:rPr>
      <w:rFonts w:ascii="Times New Roman" w:eastAsia="Times New Roman" w:hAnsi="Times New Roman"/>
      <w:color w:val="000000"/>
      <w:sz w:val="20"/>
      <w:szCs w:val="2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rFonts w:cs="Times New Roman"/>
        <w:b/>
        <w:bCs/>
      </w:rPr>
      <w:tblPr/>
      <w:tcPr>
        <w:shd w:val="clear" w:color="auto" w:fill="FBD4B4"/>
      </w:tcPr>
    </w:tblStylePr>
    <w:tblStylePr w:type="lastRow">
      <w:rPr>
        <w:rFonts w:cs="Times New Roman"/>
        <w:b/>
        <w:bCs/>
        <w:color w:val="000000"/>
      </w:rPr>
      <w:tblPr/>
      <w:tcPr>
        <w:shd w:val="clear" w:color="auto" w:fill="FBD4B4"/>
      </w:tcPr>
    </w:tblStylePr>
    <w:tblStylePr w:type="firstCol">
      <w:rPr>
        <w:rFonts w:cs="Times New Roman"/>
        <w:color w:val="FFFFFF"/>
      </w:rPr>
      <w:tblPr/>
      <w:tcPr>
        <w:shd w:val="clear" w:color="auto" w:fill="E36C0A"/>
      </w:tcPr>
    </w:tblStylePr>
    <w:tblStylePr w:type="lastCol">
      <w:rPr>
        <w:rFonts w:cs="Times New Roman"/>
        <w:color w:val="FFFFFF"/>
      </w:rPr>
      <w:tblPr/>
      <w:tcPr>
        <w:shd w:val="clear" w:color="auto" w:fill="E36C0A"/>
      </w:tc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table" w:styleId="ColorfulList">
    <w:name w:val="Colorful List"/>
    <w:basedOn w:val="TableNormal"/>
    <w:uiPriority w:val="99"/>
    <w:rPr>
      <w:rFonts w:ascii="Times New Roman" w:eastAsia="Times New Roman" w:hAnsi="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styleId="ColorfulList-Accent1">
    <w:name w:val="Colorful List Accent 1"/>
    <w:basedOn w:val="TableNormal"/>
    <w:uiPriority w:val="99"/>
    <w:rPr>
      <w:rFonts w:ascii="Times New Roman" w:eastAsia="Times New Roman" w:hAnsi="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styleId="ColorfulList-Accent2">
    <w:name w:val="Colorful List Accent 2"/>
    <w:basedOn w:val="TableNormal"/>
    <w:uiPriority w:val="99"/>
    <w:rPr>
      <w:rFonts w:ascii="Times New Roman" w:eastAsia="Times New Roman" w:hAnsi="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FD3D2"/>
      </w:tcPr>
    </w:tblStylePr>
    <w:tblStylePr w:type="band1Horz">
      <w:rPr>
        <w:rFonts w:cs="Times New Roman"/>
      </w:rPr>
      <w:tblPr/>
      <w:tcPr>
        <w:shd w:val="clear" w:color="auto" w:fill="F2DBDB"/>
      </w:tcPr>
    </w:tblStylePr>
  </w:style>
  <w:style w:type="table" w:styleId="ColorfulList-Accent3">
    <w:name w:val="Colorful List Accent 3"/>
    <w:basedOn w:val="TableNormal"/>
    <w:uiPriority w:val="99"/>
    <w:rPr>
      <w:rFonts w:ascii="Times New Roman" w:eastAsia="Times New Roman" w:hAnsi="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rFonts w:cs="Times New Roman"/>
        <w:b/>
        <w:bCs/>
        <w:color w:val="FFFFFF"/>
      </w:rPr>
      <w:tblPr/>
      <w:tcPr>
        <w:tcBorders>
          <w:bottom w:val="single" w:sz="12" w:space="0" w:color="FFFFFF"/>
        </w:tcBorders>
        <w:shd w:val="clear" w:color="auto" w:fill="664E82"/>
      </w:tcPr>
    </w:tblStylePr>
    <w:tblStylePr w:type="lastRow">
      <w:rPr>
        <w:rFonts w:cs="Times New Roman"/>
        <w:b/>
        <w:bCs/>
        <w:color w:val="664E82"/>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6EED5"/>
      </w:tcPr>
    </w:tblStylePr>
    <w:tblStylePr w:type="band1Horz">
      <w:rPr>
        <w:rFonts w:cs="Times New Roman"/>
      </w:rPr>
      <w:tblPr/>
      <w:tcPr>
        <w:shd w:val="clear" w:color="auto" w:fill="EAF1DD"/>
      </w:tcPr>
    </w:tblStylePr>
  </w:style>
  <w:style w:type="table" w:styleId="ColorfulList-Accent4">
    <w:name w:val="Colorful List Accent 4"/>
    <w:basedOn w:val="TableNormal"/>
    <w:uiPriority w:val="99"/>
    <w:rPr>
      <w:rFonts w:ascii="Times New Roman" w:eastAsia="Times New Roman" w:hAnsi="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table" w:styleId="ColorfulList-Accent5">
    <w:name w:val="Colorful List Accent 5"/>
    <w:basedOn w:val="TableNormal"/>
    <w:uiPriority w:val="99"/>
    <w:rPr>
      <w:rFonts w:ascii="Times New Roman" w:eastAsia="Times New Roman" w:hAnsi="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rFonts w:cs="Times New Roman"/>
        <w:b/>
        <w:bCs/>
        <w:color w:val="FFFFFF"/>
      </w:rPr>
      <w:tblPr/>
      <w:tcPr>
        <w:tcBorders>
          <w:bottom w:val="single" w:sz="12" w:space="0" w:color="FFFFFF"/>
        </w:tcBorders>
        <w:shd w:val="clear" w:color="auto" w:fill="F2730A"/>
      </w:tcPr>
    </w:tblStylePr>
    <w:tblStylePr w:type="lastRow">
      <w:rPr>
        <w:rFonts w:cs="Times New Roman"/>
        <w:b/>
        <w:bCs/>
        <w:color w:val="F2730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2EAF1"/>
      </w:tcPr>
    </w:tblStylePr>
    <w:tblStylePr w:type="band1Horz">
      <w:rPr>
        <w:rFonts w:cs="Times New Roman"/>
      </w:rPr>
      <w:tblPr/>
      <w:tcPr>
        <w:shd w:val="clear" w:color="auto" w:fill="DAEEF3"/>
      </w:tcPr>
    </w:tblStylePr>
  </w:style>
  <w:style w:type="table" w:styleId="ColorfulList-Accent6">
    <w:name w:val="Colorful List Accent 6"/>
    <w:basedOn w:val="TableNormal"/>
    <w:uiPriority w:val="99"/>
    <w:rPr>
      <w:rFonts w:ascii="Times New Roman" w:eastAsia="Times New Roman" w:hAnsi="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table" w:styleId="ColorfulShading">
    <w:name w:val="Colorful Shading"/>
    <w:basedOn w:val="TableNormal"/>
    <w:uiPriority w:val="99"/>
    <w:rPr>
      <w:rFonts w:ascii="Times New Roman" w:eastAsia="Times New Roman" w:hAnsi="Times New Roman"/>
      <w:color w:val="000000"/>
      <w:sz w:val="20"/>
      <w:szCs w:val="2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styleId="ColorfulShading-Accent1">
    <w:name w:val="Colorful Shading Accent 1"/>
    <w:basedOn w:val="TableNormal"/>
    <w:uiPriority w:val="99"/>
    <w:rPr>
      <w:rFonts w:ascii="Times New Roman" w:eastAsia="Times New Roman" w:hAnsi="Times New Roman"/>
      <w:color w:val="000000"/>
      <w:sz w:val="20"/>
      <w:szCs w:val="2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table" w:styleId="ColorfulShading-Accent2">
    <w:name w:val="Colorful Shading Accent 2"/>
    <w:basedOn w:val="TableNormal"/>
    <w:uiPriority w:val="99"/>
    <w:rPr>
      <w:rFonts w:ascii="Times New Roman" w:eastAsia="Times New Roman" w:hAnsi="Times New Roman"/>
      <w:color w:val="000000"/>
      <w:sz w:val="20"/>
      <w:szCs w:val="2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772C2A"/>
      </w:tcPr>
    </w:tblStylePr>
    <w:tblStylePr w:type="firstCol">
      <w:rPr>
        <w:rFonts w:cs="Times New Roman"/>
        <w:color w:val="FFFFFF"/>
      </w:rPr>
      <w:tblPr/>
      <w:tcPr>
        <w:tcBorders>
          <w:top w:val="nil"/>
          <w:left w:val="nil"/>
          <w:bottom w:val="nil"/>
          <w:right w:val="nil"/>
          <w:insideH w:val="single" w:sz="4" w:space="0" w:color="772C2A"/>
          <w:insideV w:val="nil"/>
        </w:tcBorders>
        <w:shd w:val="clear" w:color="auto" w:fill="772C2A"/>
      </w:tcPr>
    </w:tblStylePr>
    <w:tblStylePr w:type="lastCol">
      <w:rPr>
        <w:rFonts w:cs="Times New Roman"/>
        <w:color w:val="FFFFFF"/>
      </w:rPr>
      <w:tblPr/>
      <w:tcPr>
        <w:tcBorders>
          <w:top w:val="nil"/>
          <w:left w:val="nil"/>
          <w:bottom w:val="nil"/>
          <w:right w:val="nil"/>
          <w:insideH w:val="nil"/>
          <w:insideV w:val="nil"/>
        </w:tcBorders>
        <w:shd w:val="clear" w:color="auto" w:fill="772C2A"/>
      </w:tcPr>
    </w:tblStylePr>
    <w:tblStylePr w:type="band1Vert">
      <w:rPr>
        <w:rFonts w:cs="Times New Roman"/>
      </w:rPr>
      <w:tblPr/>
      <w:tcPr>
        <w:shd w:val="clear" w:color="auto" w:fill="E5B8B7"/>
      </w:tcPr>
    </w:tblStylePr>
    <w:tblStylePr w:type="band1Horz">
      <w:rPr>
        <w:rFonts w:cs="Times New Roman"/>
      </w:rPr>
      <w:tblPr/>
      <w:tcPr>
        <w:shd w:val="clear" w:color="auto" w:fill="DFA7A6"/>
      </w:tcPr>
    </w:tblStylePr>
    <w:tblStylePr w:type="neCell">
      <w:rPr>
        <w:rFonts w:cs="Times New Roman"/>
        <w:color w:val="000000"/>
      </w:rPr>
    </w:tblStylePr>
    <w:tblStylePr w:type="nwCell">
      <w:rPr>
        <w:rFonts w:cs="Times New Roman"/>
        <w:color w:val="000000"/>
      </w:rPr>
    </w:tblStylePr>
  </w:style>
  <w:style w:type="table" w:styleId="ColorfulShading-Accent3">
    <w:name w:val="Colorful Shading Accent 3"/>
    <w:basedOn w:val="TableNormal"/>
    <w:uiPriority w:val="99"/>
    <w:rPr>
      <w:rFonts w:ascii="Times New Roman" w:eastAsia="Times New Roman" w:hAnsi="Times New Roman"/>
      <w:color w:val="000000"/>
      <w:sz w:val="20"/>
      <w:szCs w:val="2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rFonts w:cs="Times New Roman"/>
        <w:b/>
        <w:bCs/>
      </w:rPr>
      <w:tblPr/>
      <w:tcPr>
        <w:tcBorders>
          <w:top w:val="nil"/>
          <w:left w:val="nil"/>
          <w:bottom w:val="single" w:sz="24" w:space="0" w:color="8064A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E7530"/>
      </w:tcPr>
    </w:tblStylePr>
    <w:tblStylePr w:type="firstCol">
      <w:rPr>
        <w:rFonts w:cs="Times New Roman"/>
        <w:color w:val="FFFFFF"/>
      </w:rPr>
      <w:tblPr/>
      <w:tcPr>
        <w:tcBorders>
          <w:top w:val="nil"/>
          <w:left w:val="nil"/>
          <w:bottom w:val="nil"/>
          <w:right w:val="nil"/>
          <w:insideH w:val="single" w:sz="4" w:space="0" w:color="5E7530"/>
          <w:insideV w:val="nil"/>
        </w:tcBorders>
        <w:shd w:val="clear" w:color="auto" w:fill="5E7530"/>
      </w:tcPr>
    </w:tblStylePr>
    <w:tblStylePr w:type="lastCol">
      <w:rPr>
        <w:rFonts w:cs="Times New Roman"/>
        <w:color w:val="FFFFFF"/>
      </w:rPr>
      <w:tblPr/>
      <w:tcPr>
        <w:tcBorders>
          <w:top w:val="nil"/>
          <w:left w:val="nil"/>
          <w:bottom w:val="nil"/>
          <w:right w:val="nil"/>
          <w:insideH w:val="nil"/>
          <w:insideV w:val="nil"/>
        </w:tcBorders>
        <w:shd w:val="clear" w:color="auto" w:fill="5E7530"/>
      </w:tcPr>
    </w:tblStylePr>
    <w:tblStylePr w:type="band1Vert">
      <w:rPr>
        <w:rFonts w:cs="Times New Roman"/>
      </w:rPr>
      <w:tblPr/>
      <w:tcPr>
        <w:shd w:val="clear" w:color="auto" w:fill="D6E3BC"/>
      </w:tcPr>
    </w:tblStylePr>
    <w:tblStylePr w:type="band1Horz">
      <w:rPr>
        <w:rFonts w:cs="Times New Roman"/>
      </w:rPr>
      <w:tblPr/>
      <w:tcPr>
        <w:shd w:val="clear" w:color="auto" w:fill="CDDDAC"/>
      </w:tcPr>
    </w:tblStylePr>
  </w:style>
  <w:style w:type="table" w:styleId="ColorfulShading-Accent4">
    <w:name w:val="Colorful Shading Accent 4"/>
    <w:basedOn w:val="TableNormal"/>
    <w:uiPriority w:val="99"/>
    <w:rPr>
      <w:rFonts w:ascii="Times New Roman" w:eastAsia="Times New Roman" w:hAnsi="Times New Roman"/>
      <w:color w:val="000000"/>
      <w:sz w:val="20"/>
      <w:szCs w:val="2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rFonts w:cs="Times New Roman"/>
        <w:b/>
        <w:bCs/>
      </w:rPr>
      <w:tblPr/>
      <w:tcPr>
        <w:tcBorders>
          <w:top w:val="nil"/>
          <w:left w:val="nil"/>
          <w:bottom w:val="single" w:sz="24" w:space="0" w:color="9BBB59"/>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3B62"/>
      </w:tcPr>
    </w:tblStylePr>
    <w:tblStylePr w:type="firstCol">
      <w:rPr>
        <w:rFonts w:cs="Times New Roman"/>
        <w:color w:val="FFFFFF"/>
      </w:rPr>
      <w:tblPr/>
      <w:tcPr>
        <w:tcBorders>
          <w:top w:val="nil"/>
          <w:left w:val="nil"/>
          <w:bottom w:val="nil"/>
          <w:right w:val="nil"/>
          <w:insideH w:val="single" w:sz="4" w:space="0" w:color="4C3B62"/>
          <w:insideV w:val="nil"/>
        </w:tcBorders>
        <w:shd w:val="clear" w:color="auto" w:fill="4C3B62"/>
      </w:tcPr>
    </w:tblStylePr>
    <w:tblStylePr w:type="lastCol">
      <w:rPr>
        <w:rFonts w:cs="Times New Roman"/>
        <w:color w:val="FFFFFF"/>
      </w:rPr>
      <w:tblPr/>
      <w:tcPr>
        <w:tcBorders>
          <w:top w:val="nil"/>
          <w:left w:val="nil"/>
          <w:bottom w:val="nil"/>
          <w:right w:val="nil"/>
          <w:insideH w:val="nil"/>
          <w:insideV w:val="nil"/>
        </w:tcBorders>
        <w:shd w:val="clear" w:color="auto" w:fill="4C3B62"/>
      </w:tcPr>
    </w:tblStylePr>
    <w:tblStylePr w:type="band1Vert">
      <w:rPr>
        <w:rFonts w:cs="Times New Roman"/>
      </w:rPr>
      <w:tblPr/>
      <w:tcPr>
        <w:shd w:val="clear" w:color="auto" w:fill="CCC0D9"/>
      </w:tcPr>
    </w:tblStylePr>
    <w:tblStylePr w:type="band1Horz">
      <w:rPr>
        <w:rFonts w:cs="Times New Roman"/>
      </w:rPr>
      <w:tblPr/>
      <w:tcPr>
        <w:shd w:val="clear" w:color="auto" w:fill="BFB1D0"/>
      </w:tcPr>
    </w:tblStylePr>
    <w:tblStylePr w:type="neCell">
      <w:rPr>
        <w:rFonts w:cs="Times New Roman"/>
        <w:color w:val="000000"/>
      </w:rPr>
    </w:tblStylePr>
    <w:tblStylePr w:type="nwCell">
      <w:rPr>
        <w:rFonts w:cs="Times New Roman"/>
        <w:color w:val="000000"/>
      </w:rPr>
    </w:tblStylePr>
  </w:style>
  <w:style w:type="table" w:styleId="ColorfulShading-Accent5">
    <w:name w:val="Colorful Shading Accent 5"/>
    <w:basedOn w:val="TableNormal"/>
    <w:uiPriority w:val="99"/>
    <w:rPr>
      <w:rFonts w:ascii="Times New Roman" w:eastAsia="Times New Roman" w:hAnsi="Times New Roman"/>
      <w:color w:val="000000"/>
      <w:sz w:val="20"/>
      <w:szCs w:val="2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table" w:styleId="ColorfulShading-Accent6">
    <w:name w:val="Colorful Shading Accent 6"/>
    <w:basedOn w:val="TableNormal"/>
    <w:uiPriority w:val="99"/>
    <w:rPr>
      <w:rFonts w:ascii="Times New Roman" w:eastAsia="Times New Roman" w:hAnsi="Times New Roman"/>
      <w:color w:val="000000"/>
      <w:sz w:val="20"/>
      <w:szCs w:val="2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rFonts w:cs="Times New Roman"/>
        <w:b/>
        <w:bCs/>
      </w:rPr>
      <w:tblPr/>
      <w:tcPr>
        <w:tcBorders>
          <w:top w:val="nil"/>
          <w:left w:val="nil"/>
          <w:bottom w:val="single" w:sz="24" w:space="0" w:color="4BACC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B65608"/>
      </w:tcPr>
    </w:tblStylePr>
    <w:tblStylePr w:type="firstCol">
      <w:rPr>
        <w:rFonts w:cs="Times New Roman"/>
        <w:color w:val="FFFFFF"/>
      </w:rPr>
      <w:tblPr/>
      <w:tcPr>
        <w:tcBorders>
          <w:top w:val="nil"/>
          <w:left w:val="nil"/>
          <w:bottom w:val="nil"/>
          <w:right w:val="nil"/>
          <w:insideH w:val="single" w:sz="4" w:space="0" w:color="B65608"/>
          <w:insideV w:val="nil"/>
        </w:tcBorders>
        <w:shd w:val="clear" w:color="auto" w:fill="B65608"/>
      </w:tcPr>
    </w:tblStylePr>
    <w:tblStylePr w:type="lastCol">
      <w:rPr>
        <w:rFonts w:cs="Times New Roman"/>
        <w:color w:val="FFFFFF"/>
      </w:rPr>
      <w:tblPr/>
      <w:tcPr>
        <w:tcBorders>
          <w:top w:val="nil"/>
          <w:left w:val="nil"/>
          <w:bottom w:val="nil"/>
          <w:right w:val="nil"/>
          <w:insideH w:val="nil"/>
          <w:insideV w:val="nil"/>
        </w:tcBorders>
        <w:shd w:val="clear" w:color="auto" w:fill="B65608"/>
      </w:tcPr>
    </w:tblStylePr>
    <w:tblStylePr w:type="band1Vert">
      <w:rPr>
        <w:rFonts w:cs="Times New Roman"/>
      </w:rPr>
      <w:tblPr/>
      <w:tcPr>
        <w:shd w:val="clear" w:color="auto" w:fill="FBD4B4"/>
      </w:tcPr>
    </w:tblStylePr>
    <w:tblStylePr w:type="band1Horz">
      <w:rPr>
        <w:rFonts w:cs="Times New Roman"/>
      </w:rPr>
      <w:tblPr/>
      <w:tcPr>
        <w:shd w:val="clear" w:color="auto" w:fill="FBCAA2"/>
      </w:tcPr>
    </w:tblStylePr>
    <w:tblStylePr w:type="neCell">
      <w:rPr>
        <w:rFonts w:cs="Times New Roman"/>
        <w:color w:val="000000"/>
      </w:rPr>
    </w:tblStylePr>
    <w:tblStylePr w:type="nwCell">
      <w:rPr>
        <w:rFonts w:cs="Times New Roman"/>
        <w:color w:val="000000"/>
      </w:rPr>
    </w:tblStylePr>
  </w:style>
  <w:style w:type="character" w:styleId="CommentReference">
    <w:name w:val="annotation reference"/>
    <w:basedOn w:val="DefaultParagraphFont"/>
    <w:uiPriority w:val="99"/>
    <w:rPr>
      <w:rFonts w:cs="Times New Roman"/>
      <w:sz w:val="16"/>
    </w:rPr>
  </w:style>
  <w:style w:type="paragraph" w:styleId="CommentText">
    <w:name w:val="annotation text"/>
    <w:basedOn w:val="Normal"/>
    <w:link w:val="CommentTextChar"/>
    <w:uiPriority w:val="99"/>
    <w:pPr>
      <w:spacing w:after="0"/>
    </w:pPr>
    <w:rPr>
      <w:rFonts w:ascii="Times New Roman" w:hAnsi="Times New Roman"/>
      <w:sz w:val="20"/>
      <w:szCs w:val="20"/>
    </w:rPr>
  </w:style>
  <w:style w:type="character" w:customStyle="1" w:styleId="CommentTextChar">
    <w:name w:val="Comment Text Char"/>
    <w:basedOn w:val="DefaultParagraphFont"/>
    <w:link w:val="CommentText"/>
    <w:uiPriority w:val="99"/>
    <w:locked/>
    <w:rPr>
      <w:rFonts w:ascii="Times New Roman" w:hAnsi="Times New Roman" w:cs="Times New Roman"/>
      <w:sz w:val="20"/>
    </w:rPr>
  </w:style>
  <w:style w:type="paragraph" w:styleId="CommentSubject">
    <w:name w:val="annotation subject"/>
    <w:basedOn w:val="CommentText"/>
    <w:next w:val="CommentText"/>
    <w:link w:val="CommentSubjectChar"/>
    <w:uiPriority w:val="99"/>
    <w:rPr>
      <w:b/>
      <w:bCs/>
    </w:rPr>
  </w:style>
  <w:style w:type="character" w:customStyle="1" w:styleId="CommentSubjectChar">
    <w:name w:val="Comment Subject Char"/>
    <w:basedOn w:val="CommentTextChar"/>
    <w:link w:val="CommentSubject"/>
    <w:uiPriority w:val="99"/>
    <w:locked/>
    <w:rPr>
      <w:rFonts w:ascii="Times New Roman" w:hAnsi="Times New Roman" w:cs="Times New Roman"/>
      <w:b/>
      <w:sz w:val="20"/>
    </w:rPr>
  </w:style>
  <w:style w:type="table" w:styleId="DarkList">
    <w:name w:val="Dark List"/>
    <w:basedOn w:val="TableNormal"/>
    <w:uiPriority w:val="99"/>
    <w:rPr>
      <w:rFonts w:ascii="Times New Roman" w:eastAsia="Times New Roman" w:hAnsi="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uiPriority w:val="99"/>
    <w:rPr>
      <w:rFonts w:ascii="Times New Roman" w:eastAsia="Times New Roman" w:hAnsi="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43F60"/>
      </w:tcPr>
    </w:tblStylePr>
    <w:tblStylePr w:type="firstCol">
      <w:rPr>
        <w:rFonts w:cs="Times New Roman"/>
      </w:rPr>
      <w:tblPr/>
      <w:tcPr>
        <w:tcBorders>
          <w:top w:val="nil"/>
          <w:left w:val="nil"/>
          <w:bottom w:val="nil"/>
          <w:right w:val="single" w:sz="18" w:space="0" w:color="FFFFFF"/>
          <w:insideH w:val="nil"/>
          <w:insideV w:val="nil"/>
        </w:tcBorders>
        <w:shd w:val="clear" w:color="auto" w:fill="365F91"/>
      </w:tcPr>
    </w:tblStylePr>
    <w:tblStylePr w:type="lastCol">
      <w:rPr>
        <w:rFonts w:cs="Times New Roman"/>
      </w:rPr>
      <w:tblPr/>
      <w:tcPr>
        <w:tcBorders>
          <w:top w:val="nil"/>
          <w:left w:val="single" w:sz="18" w:space="0" w:color="FFFFFF"/>
          <w:bottom w:val="nil"/>
          <w:right w:val="nil"/>
          <w:insideH w:val="nil"/>
          <w:insideV w:val="nil"/>
        </w:tcBorders>
        <w:shd w:val="clear" w:color="auto" w:fill="365F91"/>
      </w:tcPr>
    </w:tblStylePr>
    <w:tblStylePr w:type="band1Vert">
      <w:rPr>
        <w:rFonts w:cs="Times New Roman"/>
      </w:rPr>
      <w:tblPr/>
      <w:tcPr>
        <w:tcBorders>
          <w:top w:val="nil"/>
          <w:left w:val="nil"/>
          <w:bottom w:val="nil"/>
          <w:right w:val="nil"/>
          <w:insideH w:val="nil"/>
          <w:insideV w:val="nil"/>
        </w:tcBorders>
        <w:shd w:val="clear" w:color="auto" w:fill="365F91"/>
      </w:tcPr>
    </w:tblStylePr>
    <w:tblStylePr w:type="band1Horz">
      <w:rPr>
        <w:rFonts w:cs="Times New Roman"/>
      </w:rPr>
      <w:tblPr/>
      <w:tcPr>
        <w:tcBorders>
          <w:top w:val="nil"/>
          <w:left w:val="nil"/>
          <w:bottom w:val="nil"/>
          <w:right w:val="nil"/>
          <w:insideH w:val="nil"/>
          <w:insideV w:val="nil"/>
        </w:tcBorders>
        <w:shd w:val="clear" w:color="auto" w:fill="365F91"/>
      </w:tcPr>
    </w:tblStylePr>
  </w:style>
  <w:style w:type="table" w:styleId="DarkList-Accent2">
    <w:name w:val="Dark List Accent 2"/>
    <w:basedOn w:val="TableNormal"/>
    <w:uiPriority w:val="99"/>
    <w:rPr>
      <w:rFonts w:ascii="Times New Roman" w:eastAsia="Times New Roman" w:hAnsi="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22423"/>
      </w:tcPr>
    </w:tblStylePr>
    <w:tblStylePr w:type="firstCol">
      <w:rPr>
        <w:rFonts w:cs="Times New Roman"/>
      </w:rPr>
      <w:tblPr/>
      <w:tcPr>
        <w:tcBorders>
          <w:top w:val="nil"/>
          <w:left w:val="nil"/>
          <w:bottom w:val="nil"/>
          <w:right w:val="single" w:sz="18" w:space="0" w:color="FFFFFF"/>
          <w:insideH w:val="nil"/>
          <w:insideV w:val="nil"/>
        </w:tcBorders>
        <w:shd w:val="clear" w:color="auto" w:fill="943634"/>
      </w:tcPr>
    </w:tblStylePr>
    <w:tblStylePr w:type="lastCol">
      <w:rPr>
        <w:rFonts w:cs="Times New Roman"/>
      </w:rPr>
      <w:tblPr/>
      <w:tcPr>
        <w:tcBorders>
          <w:top w:val="nil"/>
          <w:left w:val="single" w:sz="18" w:space="0" w:color="FFFFFF"/>
          <w:bottom w:val="nil"/>
          <w:right w:val="nil"/>
          <w:insideH w:val="nil"/>
          <w:insideV w:val="nil"/>
        </w:tcBorders>
        <w:shd w:val="clear" w:color="auto" w:fill="943634"/>
      </w:tcPr>
    </w:tblStylePr>
    <w:tblStylePr w:type="band1Vert">
      <w:rPr>
        <w:rFonts w:cs="Times New Roman"/>
      </w:rPr>
      <w:tblPr/>
      <w:tcPr>
        <w:tcBorders>
          <w:top w:val="nil"/>
          <w:left w:val="nil"/>
          <w:bottom w:val="nil"/>
          <w:right w:val="nil"/>
          <w:insideH w:val="nil"/>
          <w:insideV w:val="nil"/>
        </w:tcBorders>
        <w:shd w:val="clear" w:color="auto" w:fill="943634"/>
      </w:tcPr>
    </w:tblStylePr>
    <w:tblStylePr w:type="band1Horz">
      <w:rPr>
        <w:rFonts w:cs="Times New Roman"/>
      </w:rPr>
      <w:tblPr/>
      <w:tcPr>
        <w:tcBorders>
          <w:top w:val="nil"/>
          <w:left w:val="nil"/>
          <w:bottom w:val="nil"/>
          <w:right w:val="nil"/>
          <w:insideH w:val="nil"/>
          <w:insideV w:val="nil"/>
        </w:tcBorders>
        <w:shd w:val="clear" w:color="auto" w:fill="943634"/>
      </w:tcPr>
    </w:tblStylePr>
  </w:style>
  <w:style w:type="table" w:styleId="DarkList-Accent3">
    <w:name w:val="Dark List Accent 3"/>
    <w:basedOn w:val="TableNormal"/>
    <w:uiPriority w:val="99"/>
    <w:rPr>
      <w:rFonts w:ascii="Times New Roman" w:eastAsia="Times New Roman" w:hAnsi="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4E6128"/>
      </w:tcPr>
    </w:tblStylePr>
    <w:tblStylePr w:type="firstCol">
      <w:rPr>
        <w:rFonts w:cs="Times New Roman"/>
      </w:rPr>
      <w:tblPr/>
      <w:tcPr>
        <w:tcBorders>
          <w:top w:val="nil"/>
          <w:left w:val="nil"/>
          <w:bottom w:val="nil"/>
          <w:right w:val="single" w:sz="18" w:space="0" w:color="FFFFFF"/>
          <w:insideH w:val="nil"/>
          <w:insideV w:val="nil"/>
        </w:tcBorders>
        <w:shd w:val="clear" w:color="auto" w:fill="76923C"/>
      </w:tcPr>
    </w:tblStylePr>
    <w:tblStylePr w:type="lastCol">
      <w:rPr>
        <w:rFonts w:cs="Times New Roman"/>
      </w:rPr>
      <w:tblPr/>
      <w:tcPr>
        <w:tcBorders>
          <w:top w:val="nil"/>
          <w:left w:val="single" w:sz="18" w:space="0" w:color="FFFFFF"/>
          <w:bottom w:val="nil"/>
          <w:right w:val="nil"/>
          <w:insideH w:val="nil"/>
          <w:insideV w:val="nil"/>
        </w:tcBorders>
        <w:shd w:val="clear" w:color="auto" w:fill="76923C"/>
      </w:tcPr>
    </w:tblStylePr>
    <w:tblStylePr w:type="band1Vert">
      <w:rPr>
        <w:rFonts w:cs="Times New Roman"/>
      </w:rPr>
      <w:tblPr/>
      <w:tcPr>
        <w:tcBorders>
          <w:top w:val="nil"/>
          <w:left w:val="nil"/>
          <w:bottom w:val="nil"/>
          <w:right w:val="nil"/>
          <w:insideH w:val="nil"/>
          <w:insideV w:val="nil"/>
        </w:tcBorders>
        <w:shd w:val="clear" w:color="auto" w:fill="76923C"/>
      </w:tcPr>
    </w:tblStylePr>
    <w:tblStylePr w:type="band1Horz">
      <w:rPr>
        <w:rFonts w:cs="Times New Roman"/>
      </w:rPr>
      <w:tblPr/>
      <w:tcPr>
        <w:tcBorders>
          <w:top w:val="nil"/>
          <w:left w:val="nil"/>
          <w:bottom w:val="nil"/>
          <w:right w:val="nil"/>
          <w:insideH w:val="nil"/>
          <w:insideV w:val="nil"/>
        </w:tcBorders>
        <w:shd w:val="clear" w:color="auto" w:fill="76923C"/>
      </w:tcPr>
    </w:tblStylePr>
  </w:style>
  <w:style w:type="table" w:styleId="DarkList-Accent4">
    <w:name w:val="Dark List Accent 4"/>
    <w:basedOn w:val="TableNormal"/>
    <w:uiPriority w:val="99"/>
    <w:rPr>
      <w:rFonts w:ascii="Times New Roman" w:eastAsia="Times New Roman" w:hAnsi="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3F3151"/>
      </w:tcPr>
    </w:tblStylePr>
    <w:tblStylePr w:type="firstCol">
      <w:rPr>
        <w:rFonts w:cs="Times New Roman"/>
      </w:rPr>
      <w:tblPr/>
      <w:tcPr>
        <w:tcBorders>
          <w:top w:val="nil"/>
          <w:left w:val="nil"/>
          <w:bottom w:val="nil"/>
          <w:right w:val="single" w:sz="18" w:space="0" w:color="FFFFFF"/>
          <w:insideH w:val="nil"/>
          <w:insideV w:val="nil"/>
        </w:tcBorders>
        <w:shd w:val="clear" w:color="auto" w:fill="5F497A"/>
      </w:tcPr>
    </w:tblStylePr>
    <w:tblStylePr w:type="lastCol">
      <w:rPr>
        <w:rFonts w:cs="Times New Roman"/>
      </w:rPr>
      <w:tblPr/>
      <w:tcPr>
        <w:tcBorders>
          <w:top w:val="nil"/>
          <w:left w:val="single" w:sz="18" w:space="0" w:color="FFFFFF"/>
          <w:bottom w:val="nil"/>
          <w:right w:val="nil"/>
          <w:insideH w:val="nil"/>
          <w:insideV w:val="nil"/>
        </w:tcBorders>
        <w:shd w:val="clear" w:color="auto" w:fill="5F497A"/>
      </w:tcPr>
    </w:tblStylePr>
    <w:tblStylePr w:type="band1Vert">
      <w:rPr>
        <w:rFonts w:cs="Times New Roman"/>
      </w:rPr>
      <w:tblPr/>
      <w:tcPr>
        <w:tcBorders>
          <w:top w:val="nil"/>
          <w:left w:val="nil"/>
          <w:bottom w:val="nil"/>
          <w:right w:val="nil"/>
          <w:insideH w:val="nil"/>
          <w:insideV w:val="nil"/>
        </w:tcBorders>
        <w:shd w:val="clear" w:color="auto" w:fill="5F497A"/>
      </w:tcPr>
    </w:tblStylePr>
    <w:tblStylePr w:type="band1Horz">
      <w:rPr>
        <w:rFonts w:cs="Times New Roman"/>
      </w:rPr>
      <w:tblPr/>
      <w:tcPr>
        <w:tcBorders>
          <w:top w:val="nil"/>
          <w:left w:val="nil"/>
          <w:bottom w:val="nil"/>
          <w:right w:val="nil"/>
          <w:insideH w:val="nil"/>
          <w:insideV w:val="nil"/>
        </w:tcBorders>
        <w:shd w:val="clear" w:color="auto" w:fill="5F497A"/>
      </w:tcPr>
    </w:tblStylePr>
  </w:style>
  <w:style w:type="table" w:styleId="DarkList-Accent5">
    <w:name w:val="Dark List Accent 5"/>
    <w:basedOn w:val="TableNormal"/>
    <w:uiPriority w:val="99"/>
    <w:rPr>
      <w:rFonts w:ascii="Times New Roman" w:eastAsia="Times New Roman" w:hAnsi="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05867"/>
      </w:tcPr>
    </w:tblStylePr>
    <w:tblStylePr w:type="firstCol">
      <w:rPr>
        <w:rFonts w:cs="Times New Roman"/>
      </w:rPr>
      <w:tblPr/>
      <w:tcPr>
        <w:tcBorders>
          <w:top w:val="nil"/>
          <w:left w:val="nil"/>
          <w:bottom w:val="nil"/>
          <w:right w:val="single" w:sz="18" w:space="0" w:color="FFFFFF"/>
          <w:insideH w:val="nil"/>
          <w:insideV w:val="nil"/>
        </w:tcBorders>
        <w:shd w:val="clear" w:color="auto" w:fill="31849B"/>
      </w:tcPr>
    </w:tblStylePr>
    <w:tblStylePr w:type="lastCol">
      <w:rPr>
        <w:rFonts w:cs="Times New Roman"/>
      </w:rPr>
      <w:tblPr/>
      <w:tcPr>
        <w:tcBorders>
          <w:top w:val="nil"/>
          <w:left w:val="single" w:sz="18" w:space="0" w:color="FFFFFF"/>
          <w:bottom w:val="nil"/>
          <w:right w:val="nil"/>
          <w:insideH w:val="nil"/>
          <w:insideV w:val="nil"/>
        </w:tcBorders>
        <w:shd w:val="clear" w:color="auto" w:fill="31849B"/>
      </w:tcPr>
    </w:tblStylePr>
    <w:tblStylePr w:type="band1Vert">
      <w:rPr>
        <w:rFonts w:cs="Times New Roman"/>
      </w:rPr>
      <w:tblPr/>
      <w:tcPr>
        <w:tcBorders>
          <w:top w:val="nil"/>
          <w:left w:val="nil"/>
          <w:bottom w:val="nil"/>
          <w:right w:val="nil"/>
          <w:insideH w:val="nil"/>
          <w:insideV w:val="nil"/>
        </w:tcBorders>
        <w:shd w:val="clear" w:color="auto" w:fill="31849B"/>
      </w:tcPr>
    </w:tblStylePr>
    <w:tblStylePr w:type="band1Horz">
      <w:rPr>
        <w:rFonts w:cs="Times New Roman"/>
      </w:rPr>
      <w:tblPr/>
      <w:tcPr>
        <w:tcBorders>
          <w:top w:val="nil"/>
          <w:left w:val="nil"/>
          <w:bottom w:val="nil"/>
          <w:right w:val="nil"/>
          <w:insideH w:val="nil"/>
          <w:insideV w:val="nil"/>
        </w:tcBorders>
        <w:shd w:val="clear" w:color="auto" w:fill="31849B"/>
      </w:tcPr>
    </w:tblStylePr>
  </w:style>
  <w:style w:type="table" w:styleId="DarkList-Accent6">
    <w:name w:val="Dark List Accent 6"/>
    <w:basedOn w:val="TableNormal"/>
    <w:uiPriority w:val="99"/>
    <w:rPr>
      <w:rFonts w:ascii="Times New Roman" w:eastAsia="Times New Roman" w:hAnsi="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974706"/>
      </w:tcPr>
    </w:tblStylePr>
    <w:tblStylePr w:type="firstCol">
      <w:rPr>
        <w:rFonts w:cs="Times New Roman"/>
      </w:rPr>
      <w:tblPr/>
      <w:tcPr>
        <w:tcBorders>
          <w:top w:val="nil"/>
          <w:left w:val="nil"/>
          <w:bottom w:val="nil"/>
          <w:right w:val="single" w:sz="18" w:space="0" w:color="FFFFFF"/>
          <w:insideH w:val="nil"/>
          <w:insideV w:val="nil"/>
        </w:tcBorders>
        <w:shd w:val="clear" w:color="auto" w:fill="E36C0A"/>
      </w:tcPr>
    </w:tblStylePr>
    <w:tblStylePr w:type="lastCol">
      <w:rPr>
        <w:rFonts w:cs="Times New Roman"/>
      </w:rPr>
      <w:tblPr/>
      <w:tcPr>
        <w:tcBorders>
          <w:top w:val="nil"/>
          <w:left w:val="single" w:sz="18" w:space="0" w:color="FFFFFF"/>
          <w:bottom w:val="nil"/>
          <w:right w:val="nil"/>
          <w:insideH w:val="nil"/>
          <w:insideV w:val="nil"/>
        </w:tcBorders>
        <w:shd w:val="clear" w:color="auto" w:fill="E36C0A"/>
      </w:tcPr>
    </w:tblStylePr>
    <w:tblStylePr w:type="band1Vert">
      <w:rPr>
        <w:rFonts w:cs="Times New Roman"/>
      </w:rPr>
      <w:tblPr/>
      <w:tcPr>
        <w:tcBorders>
          <w:top w:val="nil"/>
          <w:left w:val="nil"/>
          <w:bottom w:val="nil"/>
          <w:right w:val="nil"/>
          <w:insideH w:val="nil"/>
          <w:insideV w:val="nil"/>
        </w:tcBorders>
        <w:shd w:val="clear" w:color="auto" w:fill="E36C0A"/>
      </w:tcPr>
    </w:tblStylePr>
    <w:tblStylePr w:type="band1Horz">
      <w:rPr>
        <w:rFonts w:cs="Times New Roman"/>
      </w:rPr>
      <w:tblPr/>
      <w:tcPr>
        <w:tcBorders>
          <w:top w:val="nil"/>
          <w:left w:val="nil"/>
          <w:bottom w:val="nil"/>
          <w:right w:val="nil"/>
          <w:insideH w:val="nil"/>
          <w:insideV w:val="nil"/>
        </w:tcBorders>
        <w:shd w:val="clear" w:color="auto" w:fill="E36C0A"/>
      </w:tcPr>
    </w:tblStylePr>
  </w:style>
  <w:style w:type="paragraph" w:styleId="Date">
    <w:name w:val="Date"/>
    <w:basedOn w:val="Normal"/>
    <w:next w:val="Normal"/>
    <w:link w:val="DateChar"/>
    <w:uiPriority w:val="99"/>
    <w:pPr>
      <w:spacing w:after="0"/>
    </w:pPr>
    <w:rPr>
      <w:rFonts w:ascii="Times New Roman" w:hAnsi="Times New Roman"/>
      <w:sz w:val="24"/>
      <w:szCs w:val="24"/>
    </w:rPr>
  </w:style>
  <w:style w:type="character" w:customStyle="1" w:styleId="DateChar">
    <w:name w:val="Date Char"/>
    <w:basedOn w:val="DefaultParagraphFont"/>
    <w:link w:val="Date"/>
    <w:uiPriority w:val="99"/>
    <w:locked/>
    <w:rPr>
      <w:rFonts w:ascii="Times New Roman" w:hAnsi="Times New Roman" w:cs="Times New Roman"/>
      <w:sz w:val="24"/>
    </w:rPr>
  </w:style>
  <w:style w:type="paragraph" w:styleId="DocumentMap">
    <w:name w:val="Document Map"/>
    <w:basedOn w:val="Normal"/>
    <w:link w:val="DocumentMapChar"/>
    <w:uiPriority w:val="99"/>
    <w:pPr>
      <w:spacing w:after="0"/>
    </w:pPr>
    <w:rPr>
      <w:rFonts w:ascii="Tahoma" w:hAnsi="Tahoma"/>
      <w:sz w:val="16"/>
      <w:szCs w:val="16"/>
    </w:rPr>
  </w:style>
  <w:style w:type="character" w:customStyle="1" w:styleId="DocumentMapChar">
    <w:name w:val="Document Map Char"/>
    <w:basedOn w:val="DefaultParagraphFont"/>
    <w:link w:val="DocumentMap"/>
    <w:uiPriority w:val="99"/>
    <w:locked/>
    <w:rPr>
      <w:rFonts w:ascii="Tahoma" w:hAnsi="Tahoma" w:cs="Times New Roman"/>
      <w:sz w:val="16"/>
    </w:rPr>
  </w:style>
  <w:style w:type="paragraph" w:styleId="E-mailSignature">
    <w:name w:val="E-mail Signature"/>
    <w:basedOn w:val="Normal"/>
    <w:link w:val="E-mailSignatureChar"/>
    <w:uiPriority w:val="99"/>
    <w:pPr>
      <w:spacing w:after="0"/>
    </w:pPr>
    <w:rPr>
      <w:rFonts w:ascii="Times New Roman" w:hAnsi="Times New Roman"/>
      <w:sz w:val="24"/>
      <w:szCs w:val="24"/>
    </w:rPr>
  </w:style>
  <w:style w:type="character" w:customStyle="1" w:styleId="E-mailSignatureChar">
    <w:name w:val="E-mail Signature Char"/>
    <w:basedOn w:val="DefaultParagraphFont"/>
    <w:link w:val="E-mailSignature"/>
    <w:uiPriority w:val="99"/>
    <w:locked/>
    <w:rPr>
      <w:rFonts w:ascii="Times New Roman" w:hAnsi="Times New Roman" w:cs="Times New Roman"/>
      <w:sz w:val="24"/>
    </w:rPr>
  </w:style>
  <w:style w:type="paragraph" w:styleId="EnvelopeAddress">
    <w:name w:val="envelope address"/>
    <w:basedOn w:val="Normal"/>
    <w:uiPriority w:val="99"/>
    <w:pPr>
      <w:framePr w:w="7920" w:h="1980" w:hRule="exact" w:hSpace="180" w:wrap="auto" w:hAnchor="page" w:xAlign="center" w:yAlign="bottom"/>
      <w:spacing w:after="0"/>
      <w:ind w:left="2880"/>
    </w:pPr>
    <w:rPr>
      <w:rFonts w:ascii="Cambria" w:eastAsia="Times New Roman" w:hAnsi="Cambria"/>
      <w:sz w:val="24"/>
      <w:szCs w:val="24"/>
    </w:rPr>
  </w:style>
  <w:style w:type="paragraph" w:styleId="EnvelopeReturn">
    <w:name w:val="envelope return"/>
    <w:basedOn w:val="Normal"/>
    <w:uiPriority w:val="99"/>
    <w:pPr>
      <w:spacing w:after="0"/>
    </w:pPr>
    <w:rPr>
      <w:rFonts w:ascii="Cambria" w:eastAsia="Times New Roman" w:hAnsi="Cambria"/>
      <w:sz w:val="20"/>
      <w:szCs w:val="20"/>
    </w:rPr>
  </w:style>
  <w:style w:type="character" w:styleId="HTMLAcronym">
    <w:name w:val="HTML Acronym"/>
    <w:basedOn w:val="DefaultParagraphFont"/>
    <w:uiPriority w:val="99"/>
    <w:rPr>
      <w:rFonts w:cs="Times New Roman"/>
    </w:rPr>
  </w:style>
  <w:style w:type="paragraph" w:styleId="HTMLAddress">
    <w:name w:val="HTML Address"/>
    <w:basedOn w:val="Normal"/>
    <w:link w:val="HTMLAddressChar"/>
    <w:uiPriority w:val="99"/>
    <w:pPr>
      <w:spacing w:after="0"/>
    </w:pPr>
    <w:rPr>
      <w:rFonts w:ascii="Times New Roman" w:hAnsi="Times New Roman"/>
      <w:i/>
      <w:iCs/>
      <w:sz w:val="24"/>
      <w:szCs w:val="24"/>
    </w:rPr>
  </w:style>
  <w:style w:type="character" w:customStyle="1" w:styleId="HTMLAddressChar">
    <w:name w:val="HTML Address Char"/>
    <w:basedOn w:val="DefaultParagraphFont"/>
    <w:link w:val="HTMLAddress"/>
    <w:uiPriority w:val="99"/>
    <w:locked/>
    <w:rPr>
      <w:rFonts w:ascii="Times New Roman" w:hAnsi="Times New Roman" w:cs="Times New Roman"/>
      <w:i/>
      <w:sz w:val="24"/>
    </w:rPr>
  </w:style>
  <w:style w:type="character" w:styleId="HTMLCite">
    <w:name w:val="HTML Cite"/>
    <w:basedOn w:val="DefaultParagraphFont"/>
    <w:uiPriority w:val="99"/>
    <w:rPr>
      <w:rFonts w:cs="Times New Roman"/>
      <w:i/>
    </w:rPr>
  </w:style>
  <w:style w:type="character" w:styleId="HTMLCode">
    <w:name w:val="HTML Code"/>
    <w:basedOn w:val="DefaultParagraphFont"/>
    <w:uiPriority w:val="99"/>
    <w:rPr>
      <w:rFonts w:ascii="Courier New" w:hAnsi="Courier New" w:cs="Times New Roman"/>
      <w:sz w:val="20"/>
    </w:rPr>
  </w:style>
  <w:style w:type="character" w:styleId="HTMLDefinition">
    <w:name w:val="HTML Definition"/>
    <w:basedOn w:val="DefaultParagraphFont"/>
    <w:uiPriority w:val="99"/>
    <w:rPr>
      <w:rFonts w:cs="Times New Roman"/>
      <w:i/>
    </w:rPr>
  </w:style>
  <w:style w:type="character" w:styleId="HTMLKeyboard">
    <w:name w:val="HTML Keyboard"/>
    <w:basedOn w:val="DefaultParagraphFont"/>
    <w:uiPriority w:val="99"/>
    <w:rPr>
      <w:rFonts w:ascii="Courier New" w:hAnsi="Courier New" w:cs="Times New Roman"/>
      <w:sz w:val="20"/>
    </w:rPr>
  </w:style>
  <w:style w:type="paragraph" w:styleId="HTMLPreformatted">
    <w:name w:val="HTML Preformatted"/>
    <w:basedOn w:val="Normal"/>
    <w:link w:val="HTMLPreformattedChar"/>
    <w:uiPriority w:val="99"/>
    <w:pPr>
      <w:spacing w:after="0"/>
    </w:pPr>
    <w:rPr>
      <w:rFonts w:ascii="Courier New" w:hAnsi="Courier New"/>
      <w:sz w:val="20"/>
      <w:szCs w:val="20"/>
    </w:rPr>
  </w:style>
  <w:style w:type="character" w:customStyle="1" w:styleId="HTMLPreformattedChar">
    <w:name w:val="HTML Preformatted Char"/>
    <w:basedOn w:val="DefaultParagraphFont"/>
    <w:link w:val="HTMLPreformatted"/>
    <w:uiPriority w:val="99"/>
    <w:locked/>
    <w:rPr>
      <w:rFonts w:ascii="Courier New" w:hAnsi="Courier New" w:cs="Times New Roman"/>
      <w:sz w:val="20"/>
    </w:rPr>
  </w:style>
  <w:style w:type="character" w:styleId="HTMLSample">
    <w:name w:val="HTML Sample"/>
    <w:basedOn w:val="DefaultParagraphFont"/>
    <w:uiPriority w:val="99"/>
    <w:rPr>
      <w:rFonts w:ascii="Courier New" w:hAnsi="Courier New" w:cs="Times New Roman"/>
    </w:rPr>
  </w:style>
  <w:style w:type="character" w:styleId="HTMLTypewriter">
    <w:name w:val="HTML Typewriter"/>
    <w:basedOn w:val="DefaultParagraphFont"/>
    <w:uiPriority w:val="99"/>
    <w:rPr>
      <w:rFonts w:ascii="Courier New" w:hAnsi="Courier New" w:cs="Times New Roman"/>
      <w:sz w:val="20"/>
    </w:rPr>
  </w:style>
  <w:style w:type="character" w:styleId="HTMLVariable">
    <w:name w:val="HTML Variable"/>
    <w:basedOn w:val="DefaultParagraphFont"/>
    <w:uiPriority w:val="99"/>
    <w:rPr>
      <w:rFonts w:cs="Times New Roman"/>
      <w:i/>
    </w:rPr>
  </w:style>
  <w:style w:type="paragraph" w:styleId="Index1">
    <w:name w:val="index 1"/>
    <w:basedOn w:val="Normal"/>
    <w:next w:val="Normal"/>
    <w:autoRedefine/>
    <w:uiPriority w:val="99"/>
    <w:pPr>
      <w:spacing w:after="0"/>
      <w:ind w:left="240" w:hanging="240"/>
    </w:pPr>
    <w:rPr>
      <w:rFonts w:ascii="Times New Roman" w:eastAsia="Times New Roman" w:hAnsi="Times New Roman"/>
      <w:sz w:val="24"/>
      <w:szCs w:val="24"/>
    </w:rPr>
  </w:style>
  <w:style w:type="paragraph" w:styleId="Index2">
    <w:name w:val="index 2"/>
    <w:basedOn w:val="Normal"/>
    <w:next w:val="Normal"/>
    <w:autoRedefine/>
    <w:uiPriority w:val="99"/>
    <w:pPr>
      <w:spacing w:after="0"/>
      <w:ind w:left="480" w:hanging="240"/>
    </w:pPr>
    <w:rPr>
      <w:rFonts w:ascii="Times New Roman" w:eastAsia="Times New Roman" w:hAnsi="Times New Roman"/>
      <w:sz w:val="24"/>
      <w:szCs w:val="24"/>
    </w:rPr>
  </w:style>
  <w:style w:type="paragraph" w:styleId="Index3">
    <w:name w:val="index 3"/>
    <w:basedOn w:val="Normal"/>
    <w:next w:val="Normal"/>
    <w:autoRedefine/>
    <w:uiPriority w:val="99"/>
    <w:pPr>
      <w:spacing w:after="0"/>
      <w:ind w:left="720" w:hanging="240"/>
    </w:pPr>
    <w:rPr>
      <w:rFonts w:ascii="Times New Roman" w:eastAsia="Times New Roman" w:hAnsi="Times New Roman"/>
      <w:sz w:val="24"/>
      <w:szCs w:val="24"/>
    </w:rPr>
  </w:style>
  <w:style w:type="paragraph" w:styleId="Index4">
    <w:name w:val="index 4"/>
    <w:basedOn w:val="Normal"/>
    <w:next w:val="Normal"/>
    <w:autoRedefine/>
    <w:uiPriority w:val="99"/>
    <w:pPr>
      <w:spacing w:after="0"/>
      <w:ind w:left="960" w:hanging="240"/>
    </w:pPr>
    <w:rPr>
      <w:rFonts w:ascii="Times New Roman" w:eastAsia="Times New Roman" w:hAnsi="Times New Roman"/>
      <w:sz w:val="24"/>
      <w:szCs w:val="24"/>
    </w:rPr>
  </w:style>
  <w:style w:type="paragraph" w:styleId="Index5">
    <w:name w:val="index 5"/>
    <w:basedOn w:val="Normal"/>
    <w:next w:val="Normal"/>
    <w:autoRedefine/>
    <w:uiPriority w:val="99"/>
    <w:pPr>
      <w:spacing w:after="0"/>
      <w:ind w:left="1200" w:hanging="240"/>
    </w:pPr>
    <w:rPr>
      <w:rFonts w:ascii="Times New Roman" w:eastAsia="Times New Roman" w:hAnsi="Times New Roman"/>
      <w:sz w:val="24"/>
      <w:szCs w:val="24"/>
    </w:rPr>
  </w:style>
  <w:style w:type="paragraph" w:styleId="Index6">
    <w:name w:val="index 6"/>
    <w:basedOn w:val="Normal"/>
    <w:next w:val="Normal"/>
    <w:autoRedefine/>
    <w:uiPriority w:val="99"/>
    <w:pPr>
      <w:spacing w:after="0"/>
      <w:ind w:left="1440" w:hanging="240"/>
    </w:pPr>
    <w:rPr>
      <w:rFonts w:ascii="Times New Roman" w:eastAsia="Times New Roman" w:hAnsi="Times New Roman"/>
      <w:sz w:val="24"/>
      <w:szCs w:val="24"/>
    </w:rPr>
  </w:style>
  <w:style w:type="paragraph" w:styleId="Index7">
    <w:name w:val="index 7"/>
    <w:basedOn w:val="Normal"/>
    <w:next w:val="Normal"/>
    <w:autoRedefine/>
    <w:uiPriority w:val="99"/>
    <w:pPr>
      <w:spacing w:after="0"/>
      <w:ind w:left="1680" w:hanging="240"/>
    </w:pPr>
    <w:rPr>
      <w:rFonts w:ascii="Times New Roman" w:eastAsia="Times New Roman" w:hAnsi="Times New Roman"/>
      <w:sz w:val="24"/>
      <w:szCs w:val="24"/>
    </w:rPr>
  </w:style>
  <w:style w:type="paragraph" w:styleId="Index8">
    <w:name w:val="index 8"/>
    <w:basedOn w:val="Normal"/>
    <w:next w:val="Normal"/>
    <w:autoRedefine/>
    <w:uiPriority w:val="99"/>
    <w:pPr>
      <w:spacing w:after="0"/>
      <w:ind w:left="1920" w:hanging="240"/>
    </w:pPr>
    <w:rPr>
      <w:rFonts w:ascii="Times New Roman" w:eastAsia="Times New Roman" w:hAnsi="Times New Roman"/>
      <w:sz w:val="24"/>
      <w:szCs w:val="24"/>
    </w:rPr>
  </w:style>
  <w:style w:type="paragraph" w:styleId="Index9">
    <w:name w:val="index 9"/>
    <w:basedOn w:val="Normal"/>
    <w:next w:val="Normal"/>
    <w:autoRedefine/>
    <w:uiPriority w:val="99"/>
    <w:pPr>
      <w:spacing w:after="0"/>
      <w:ind w:left="2160" w:hanging="240"/>
    </w:pPr>
    <w:rPr>
      <w:rFonts w:ascii="Times New Roman" w:eastAsia="Times New Roman" w:hAnsi="Times New Roman"/>
      <w:sz w:val="24"/>
      <w:szCs w:val="24"/>
    </w:rPr>
  </w:style>
  <w:style w:type="paragraph" w:styleId="IndexHeading">
    <w:name w:val="index heading"/>
    <w:basedOn w:val="Normal"/>
    <w:next w:val="Index1"/>
    <w:uiPriority w:val="99"/>
    <w:pPr>
      <w:spacing w:after="0"/>
    </w:pPr>
    <w:rPr>
      <w:rFonts w:ascii="Cambria" w:eastAsia="Times New Roman" w:hAnsi="Cambria"/>
      <w:b/>
      <w:bCs/>
      <w:sz w:val="24"/>
      <w:szCs w:val="24"/>
    </w:rPr>
  </w:style>
  <w:style w:type="character" w:styleId="IntenseEmphasis">
    <w:name w:val="Intense Emphasis"/>
    <w:basedOn w:val="DefaultParagraphFont"/>
    <w:uiPriority w:val="99"/>
    <w:qFormat/>
    <w:rPr>
      <w:rFonts w:cs="Times New Roman"/>
      <w:b/>
      <w:i/>
      <w:color w:val="4F81BD"/>
    </w:rPr>
  </w:style>
  <w:style w:type="paragraph" w:styleId="IntenseQuote">
    <w:name w:val="Intense Quote"/>
    <w:basedOn w:val="Normal"/>
    <w:next w:val="Normal"/>
    <w:link w:val="IntenseQuoteChar"/>
    <w:uiPriority w:val="99"/>
    <w:qFormat/>
    <w:pPr>
      <w:pBdr>
        <w:bottom w:val="single" w:sz="4" w:space="4" w:color="4F81BD"/>
      </w:pBdr>
      <w:spacing w:before="200" w:after="280"/>
      <w:ind w:left="936" w:right="936"/>
    </w:pPr>
    <w:rPr>
      <w:rFonts w:ascii="Times New Roman" w:hAnsi="Times New Roman"/>
      <w:b/>
      <w:bCs/>
      <w:i/>
      <w:iCs/>
      <w:color w:val="4F81BD"/>
      <w:sz w:val="24"/>
      <w:szCs w:val="24"/>
    </w:rPr>
  </w:style>
  <w:style w:type="character" w:customStyle="1" w:styleId="IntenseQuoteChar">
    <w:name w:val="Intense Quote Char"/>
    <w:basedOn w:val="DefaultParagraphFont"/>
    <w:link w:val="IntenseQuote"/>
    <w:uiPriority w:val="99"/>
    <w:locked/>
    <w:rPr>
      <w:rFonts w:ascii="Times New Roman" w:hAnsi="Times New Roman" w:cs="Times New Roman"/>
      <w:b/>
      <w:i/>
      <w:color w:val="4F81BD"/>
      <w:sz w:val="24"/>
    </w:rPr>
  </w:style>
  <w:style w:type="character" w:styleId="IntenseReference">
    <w:name w:val="Intense Reference"/>
    <w:basedOn w:val="DefaultParagraphFont"/>
    <w:uiPriority w:val="99"/>
    <w:qFormat/>
    <w:rPr>
      <w:rFonts w:cs="Times New Roman"/>
      <w:b/>
      <w:smallCaps/>
      <w:color w:val="C0504D"/>
      <w:spacing w:val="5"/>
      <w:u w:val="single"/>
    </w:rPr>
  </w:style>
  <w:style w:type="table" w:styleId="LightGrid">
    <w:name w:val="Light Grid"/>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Accent1">
    <w:name w:val="Light Grid Accent 1"/>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2">
    <w:name w:val="Light Grid Accent 2"/>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3">
    <w:name w:val="Light Grid Accent 3"/>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Grid-Accent4">
    <w:name w:val="Light Grid Accent 4"/>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Grid-Accent5">
    <w:name w:val="Light Grid Accent 5"/>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Grid-Accent6">
    <w:name w:val="Light Grid Accent 6"/>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LightList">
    <w:name w:val="Light List"/>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000000"/>
      </w:tcPr>
    </w:tblStylePr>
    <w:tblStylePr w:type="lastRow">
      <w:pPr>
        <w:spacing w:before="0" w:after="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styleId="LightList-Accent1">
    <w:name w:val="Light List Accent 1"/>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styleId="LightList-Accent2">
    <w:name w:val="Light List Accent 2"/>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C0504D"/>
      </w:tcPr>
    </w:tblStylePr>
    <w:tblStylePr w:type="lastRow">
      <w:pPr>
        <w:spacing w:before="0" w:after="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styleId="LightList-Accent3">
    <w:name w:val="Light List Accent 3"/>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9BBB59"/>
      </w:tcPr>
    </w:tblStylePr>
    <w:tblStylePr w:type="lastRow">
      <w:pPr>
        <w:spacing w:before="0" w:after="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styleId="LightList-Accent4">
    <w:name w:val="Light List Accent 4"/>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8064A2"/>
      </w:tcPr>
    </w:tblStylePr>
    <w:tblStylePr w:type="lastRow">
      <w:pPr>
        <w:spacing w:before="0" w:after="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styleId="LightList-Accent5">
    <w:name w:val="Light List Accent 5"/>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styleId="LightList-Accent6">
    <w:name w:val="Light List Accent 6"/>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styleId="LightShading">
    <w:name w:val="Light Shading"/>
    <w:basedOn w:val="TableNormal"/>
    <w:uiPriority w:val="99"/>
    <w:rPr>
      <w:rFonts w:ascii="Times New Roman" w:eastAsia="Times New Roman" w:hAnsi="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99"/>
    <w:rPr>
      <w:rFonts w:ascii="Times New Roman" w:eastAsia="Times New Roman" w:hAnsi="Times New Roman"/>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99"/>
    <w:rPr>
      <w:rFonts w:ascii="Times New Roman" w:eastAsia="Times New Roman" w:hAnsi="Times New Roman"/>
      <w:color w:val="943634"/>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99"/>
    <w:rPr>
      <w:rFonts w:ascii="Times New Roman" w:eastAsia="Times New Roman" w:hAnsi="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99"/>
    <w:rPr>
      <w:rFonts w:ascii="Times New Roman" w:eastAsia="Times New Roman" w:hAnsi="Times New Roman"/>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99"/>
    <w:rPr>
      <w:rFonts w:ascii="Times New Roman" w:eastAsia="Times New Roman" w:hAnsi="Times New Roman"/>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styleId="LightShading-Accent6">
    <w:name w:val="Light Shading Accent 6"/>
    <w:basedOn w:val="TableNormal"/>
    <w:uiPriority w:val="99"/>
    <w:rPr>
      <w:rFonts w:ascii="Times New Roman" w:eastAsia="Times New Roman" w:hAnsi="Times New Roman"/>
      <w:color w:val="E36C0A"/>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character" w:styleId="LineNumber">
    <w:name w:val="line number"/>
    <w:basedOn w:val="DefaultParagraphFont"/>
    <w:uiPriority w:val="99"/>
    <w:rPr>
      <w:rFonts w:cs="Times New Roman"/>
    </w:rPr>
  </w:style>
  <w:style w:type="paragraph" w:styleId="List">
    <w:name w:val="List"/>
    <w:basedOn w:val="Normal"/>
    <w:uiPriority w:val="99"/>
    <w:pPr>
      <w:spacing w:after="0"/>
      <w:ind w:left="360" w:hanging="360"/>
      <w:contextualSpacing/>
    </w:pPr>
    <w:rPr>
      <w:rFonts w:ascii="Times New Roman" w:eastAsia="Times New Roman" w:hAnsi="Times New Roman"/>
      <w:sz w:val="24"/>
      <w:szCs w:val="24"/>
    </w:rPr>
  </w:style>
  <w:style w:type="paragraph" w:styleId="List2">
    <w:name w:val="List 2"/>
    <w:basedOn w:val="Normal"/>
    <w:uiPriority w:val="99"/>
    <w:pPr>
      <w:spacing w:after="0"/>
      <w:ind w:left="720" w:hanging="360"/>
      <w:contextualSpacing/>
    </w:pPr>
    <w:rPr>
      <w:rFonts w:ascii="Times New Roman" w:eastAsia="Times New Roman" w:hAnsi="Times New Roman"/>
      <w:sz w:val="24"/>
      <w:szCs w:val="24"/>
    </w:rPr>
  </w:style>
  <w:style w:type="paragraph" w:styleId="List3">
    <w:name w:val="List 3"/>
    <w:basedOn w:val="Normal"/>
    <w:uiPriority w:val="99"/>
    <w:pPr>
      <w:spacing w:after="0"/>
      <w:ind w:left="1080" w:hanging="360"/>
      <w:contextualSpacing/>
    </w:pPr>
    <w:rPr>
      <w:rFonts w:ascii="Times New Roman" w:eastAsia="Times New Roman" w:hAnsi="Times New Roman"/>
      <w:sz w:val="24"/>
      <w:szCs w:val="24"/>
    </w:rPr>
  </w:style>
  <w:style w:type="paragraph" w:styleId="List4">
    <w:name w:val="List 4"/>
    <w:basedOn w:val="Normal"/>
    <w:uiPriority w:val="99"/>
    <w:pPr>
      <w:spacing w:after="0"/>
      <w:ind w:left="1440" w:hanging="360"/>
      <w:contextualSpacing/>
    </w:pPr>
    <w:rPr>
      <w:rFonts w:ascii="Times New Roman" w:eastAsia="Times New Roman" w:hAnsi="Times New Roman"/>
      <w:sz w:val="24"/>
      <w:szCs w:val="24"/>
    </w:rPr>
  </w:style>
  <w:style w:type="paragraph" w:styleId="List5">
    <w:name w:val="List 5"/>
    <w:basedOn w:val="Normal"/>
    <w:uiPriority w:val="99"/>
    <w:pPr>
      <w:spacing w:after="0"/>
      <w:ind w:left="1800" w:hanging="360"/>
      <w:contextualSpacing/>
    </w:pPr>
    <w:rPr>
      <w:rFonts w:ascii="Times New Roman" w:eastAsia="Times New Roman" w:hAnsi="Times New Roman"/>
      <w:sz w:val="24"/>
      <w:szCs w:val="24"/>
    </w:rPr>
  </w:style>
  <w:style w:type="paragraph" w:styleId="ListBullet2">
    <w:name w:val="List Bullet 2"/>
    <w:basedOn w:val="Normal"/>
    <w:uiPriority w:val="99"/>
    <w:pPr>
      <w:numPr>
        <w:numId w:val="2"/>
      </w:numPr>
      <w:spacing w:after="0"/>
      <w:contextualSpacing/>
    </w:pPr>
    <w:rPr>
      <w:rFonts w:ascii="Times New Roman" w:eastAsia="Times New Roman" w:hAnsi="Times New Roman"/>
      <w:sz w:val="24"/>
      <w:szCs w:val="24"/>
    </w:rPr>
  </w:style>
  <w:style w:type="paragraph" w:styleId="ListBullet3">
    <w:name w:val="List Bullet 3"/>
    <w:basedOn w:val="Normal"/>
    <w:uiPriority w:val="99"/>
    <w:pPr>
      <w:numPr>
        <w:numId w:val="3"/>
      </w:numPr>
      <w:spacing w:after="0"/>
      <w:contextualSpacing/>
    </w:pPr>
    <w:rPr>
      <w:rFonts w:ascii="Times New Roman" w:eastAsia="Times New Roman" w:hAnsi="Times New Roman"/>
      <w:sz w:val="24"/>
      <w:szCs w:val="24"/>
    </w:rPr>
  </w:style>
  <w:style w:type="paragraph" w:styleId="ListBullet4">
    <w:name w:val="List Bullet 4"/>
    <w:basedOn w:val="Normal"/>
    <w:uiPriority w:val="99"/>
    <w:pPr>
      <w:numPr>
        <w:numId w:val="4"/>
      </w:numPr>
      <w:spacing w:after="0"/>
      <w:contextualSpacing/>
    </w:pPr>
    <w:rPr>
      <w:rFonts w:ascii="Times New Roman" w:eastAsia="Times New Roman" w:hAnsi="Times New Roman"/>
      <w:sz w:val="24"/>
      <w:szCs w:val="24"/>
    </w:rPr>
  </w:style>
  <w:style w:type="paragraph" w:styleId="ListBullet5">
    <w:name w:val="List Bullet 5"/>
    <w:basedOn w:val="Normal"/>
    <w:uiPriority w:val="99"/>
    <w:pPr>
      <w:numPr>
        <w:numId w:val="5"/>
      </w:numPr>
      <w:spacing w:after="0"/>
      <w:contextualSpacing/>
    </w:pPr>
    <w:rPr>
      <w:rFonts w:ascii="Times New Roman" w:eastAsia="Times New Roman" w:hAnsi="Times New Roman"/>
      <w:sz w:val="24"/>
      <w:szCs w:val="24"/>
    </w:rPr>
  </w:style>
  <w:style w:type="paragraph" w:styleId="ListContinue">
    <w:name w:val="List Continue"/>
    <w:basedOn w:val="Normal"/>
    <w:uiPriority w:val="99"/>
    <w:pPr>
      <w:ind w:left="360"/>
      <w:contextualSpacing/>
    </w:pPr>
    <w:rPr>
      <w:rFonts w:ascii="Times New Roman" w:eastAsia="Times New Roman" w:hAnsi="Times New Roman"/>
      <w:sz w:val="24"/>
      <w:szCs w:val="24"/>
    </w:rPr>
  </w:style>
  <w:style w:type="paragraph" w:styleId="ListContinue2">
    <w:name w:val="List Continue 2"/>
    <w:basedOn w:val="Normal"/>
    <w:uiPriority w:val="99"/>
    <w:pPr>
      <w:ind w:left="720"/>
      <w:contextualSpacing/>
    </w:pPr>
    <w:rPr>
      <w:rFonts w:ascii="Times New Roman" w:eastAsia="Times New Roman" w:hAnsi="Times New Roman"/>
      <w:sz w:val="24"/>
      <w:szCs w:val="24"/>
    </w:rPr>
  </w:style>
  <w:style w:type="paragraph" w:styleId="ListContinue3">
    <w:name w:val="List Continue 3"/>
    <w:basedOn w:val="Normal"/>
    <w:uiPriority w:val="99"/>
    <w:pPr>
      <w:ind w:left="1080"/>
      <w:contextualSpacing/>
    </w:pPr>
    <w:rPr>
      <w:rFonts w:ascii="Times New Roman" w:eastAsia="Times New Roman" w:hAnsi="Times New Roman"/>
      <w:sz w:val="24"/>
      <w:szCs w:val="24"/>
    </w:rPr>
  </w:style>
  <w:style w:type="paragraph" w:styleId="ListContinue4">
    <w:name w:val="List Continue 4"/>
    <w:basedOn w:val="Normal"/>
    <w:uiPriority w:val="99"/>
    <w:pPr>
      <w:ind w:left="1440"/>
      <w:contextualSpacing/>
    </w:pPr>
    <w:rPr>
      <w:rFonts w:ascii="Times New Roman" w:eastAsia="Times New Roman" w:hAnsi="Times New Roman"/>
      <w:sz w:val="24"/>
      <w:szCs w:val="24"/>
    </w:rPr>
  </w:style>
  <w:style w:type="paragraph" w:styleId="ListContinue5">
    <w:name w:val="List Continue 5"/>
    <w:basedOn w:val="Normal"/>
    <w:uiPriority w:val="99"/>
    <w:pPr>
      <w:ind w:left="1800"/>
      <w:contextualSpacing/>
    </w:pPr>
    <w:rPr>
      <w:rFonts w:ascii="Times New Roman" w:eastAsia="Times New Roman" w:hAnsi="Times New Roman"/>
      <w:sz w:val="24"/>
      <w:szCs w:val="24"/>
    </w:rPr>
  </w:style>
  <w:style w:type="paragraph" w:styleId="ListNumber">
    <w:name w:val="List Number"/>
    <w:basedOn w:val="Normal"/>
    <w:uiPriority w:val="99"/>
    <w:pPr>
      <w:numPr>
        <w:numId w:val="6"/>
      </w:numPr>
      <w:spacing w:after="0"/>
      <w:contextualSpacing/>
    </w:pPr>
    <w:rPr>
      <w:rFonts w:ascii="Times New Roman" w:eastAsia="Times New Roman" w:hAnsi="Times New Roman"/>
      <w:sz w:val="24"/>
      <w:szCs w:val="24"/>
    </w:rPr>
  </w:style>
  <w:style w:type="paragraph" w:styleId="ListNumber2">
    <w:name w:val="List Number 2"/>
    <w:basedOn w:val="Normal"/>
    <w:uiPriority w:val="99"/>
    <w:pPr>
      <w:numPr>
        <w:numId w:val="7"/>
      </w:numPr>
      <w:spacing w:after="0"/>
      <w:contextualSpacing/>
    </w:pPr>
    <w:rPr>
      <w:rFonts w:ascii="Times New Roman" w:eastAsia="Times New Roman" w:hAnsi="Times New Roman"/>
      <w:sz w:val="24"/>
      <w:szCs w:val="24"/>
    </w:rPr>
  </w:style>
  <w:style w:type="paragraph" w:styleId="ListNumber3">
    <w:name w:val="List Number 3"/>
    <w:basedOn w:val="Normal"/>
    <w:uiPriority w:val="99"/>
    <w:pPr>
      <w:numPr>
        <w:numId w:val="8"/>
      </w:numPr>
      <w:spacing w:after="0"/>
      <w:contextualSpacing/>
    </w:pPr>
    <w:rPr>
      <w:rFonts w:ascii="Times New Roman" w:eastAsia="Times New Roman" w:hAnsi="Times New Roman"/>
      <w:sz w:val="24"/>
      <w:szCs w:val="24"/>
    </w:rPr>
  </w:style>
  <w:style w:type="paragraph" w:styleId="ListNumber4">
    <w:name w:val="List Number 4"/>
    <w:basedOn w:val="Normal"/>
    <w:uiPriority w:val="99"/>
    <w:pPr>
      <w:numPr>
        <w:numId w:val="9"/>
      </w:numPr>
      <w:spacing w:after="0"/>
      <w:contextualSpacing/>
    </w:pPr>
    <w:rPr>
      <w:rFonts w:ascii="Times New Roman" w:eastAsia="Times New Roman" w:hAnsi="Times New Roman"/>
      <w:sz w:val="24"/>
      <w:szCs w:val="24"/>
    </w:rPr>
  </w:style>
  <w:style w:type="paragraph" w:styleId="ListNumber5">
    <w:name w:val="List Number 5"/>
    <w:basedOn w:val="Normal"/>
    <w:uiPriority w:val="99"/>
    <w:pPr>
      <w:numPr>
        <w:numId w:val="10"/>
      </w:numPr>
      <w:spacing w:after="0"/>
      <w:contextualSpacing/>
    </w:pPr>
    <w:rPr>
      <w:rFonts w:ascii="Times New Roman" w:eastAsia="Times New Roman" w:hAnsi="Times New Roman"/>
      <w:sz w:val="24"/>
      <w:szCs w:val="24"/>
    </w:rPr>
  </w:style>
  <w:style w:type="paragraph" w:styleId="ListParagraph">
    <w:name w:val="List Paragraph"/>
    <w:basedOn w:val="Normal"/>
    <w:uiPriority w:val="99"/>
    <w:qFormat/>
    <w:pPr>
      <w:spacing w:after="0"/>
      <w:ind w:left="720"/>
    </w:pPr>
    <w:rPr>
      <w:rFonts w:ascii="Times New Roman" w:eastAsia="Times New Roman" w:hAnsi="Times New Roman"/>
      <w:sz w:val="24"/>
      <w:szCs w:val="24"/>
    </w:rPr>
  </w:style>
  <w:style w:type="paragraph" w:styleId="MacroText">
    <w:name w:val="macro"/>
    <w:link w:val="MacroTextChar"/>
    <w:uiPriority w:val="99"/>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sz w:val="20"/>
      <w:szCs w:val="20"/>
    </w:rPr>
  </w:style>
  <w:style w:type="character" w:customStyle="1" w:styleId="MacroTextChar">
    <w:name w:val="Macro Text Char"/>
    <w:basedOn w:val="DefaultParagraphFont"/>
    <w:link w:val="MacroText"/>
    <w:uiPriority w:val="99"/>
    <w:locked/>
    <w:rPr>
      <w:rFonts w:ascii="Courier New" w:hAnsi="Courier New" w:cs="Courier New"/>
      <w:lang w:val="en-US" w:eastAsia="en-US" w:bidi="ar-SA"/>
    </w:rPr>
  </w:style>
  <w:style w:type="table" w:styleId="MediumGrid1">
    <w:name w:val="Medium Grid 1"/>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styleId="MediumGrid1-Accent1">
    <w:name w:val="Medium Grid 1 Accent 1"/>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styleId="MediumGrid1-Accent2">
    <w:name w:val="Medium Grid 1 Accent 2"/>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rFonts w:cs="Times New Roman"/>
        <w:b/>
        <w:bCs/>
      </w:rPr>
    </w:tblStylePr>
    <w:tblStylePr w:type="lastRow">
      <w:rPr>
        <w:rFonts w:cs="Times New Roman"/>
        <w:b/>
        <w:bCs/>
      </w:rPr>
      <w:tblPr/>
      <w:tcPr>
        <w:tcBorders>
          <w:top w:val="single" w:sz="18" w:space="0" w:color="CF7B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styleId="MediumGrid1-Accent3">
    <w:name w:val="Medium Grid 1 Accent 3"/>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rFonts w:cs="Times New Roman"/>
        <w:b/>
        <w:bCs/>
      </w:rPr>
    </w:tblStylePr>
    <w:tblStylePr w:type="lastRow">
      <w:rPr>
        <w:rFonts w:cs="Times New Roman"/>
        <w:b/>
        <w:bCs/>
      </w:rPr>
      <w:tblPr/>
      <w:tcPr>
        <w:tcBorders>
          <w:top w:val="single" w:sz="18" w:space="0" w:color="B3CC8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styleId="MediumGrid1-Accent4">
    <w:name w:val="Medium Grid 1 Accent 4"/>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styleId="MediumGrid1-Accent5">
    <w:name w:val="Medium Grid 1 Accent 5"/>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styleId="MediumGrid1-Accent6">
    <w:name w:val="Medium Grid 1 Accent 6"/>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rFonts w:cs="Times New Roman"/>
        <w:b/>
        <w:bCs/>
      </w:rPr>
    </w:tblStylePr>
    <w:tblStylePr w:type="lastRow">
      <w:rPr>
        <w:rFonts w:cs="Times New Roman"/>
        <w:b/>
        <w:bCs/>
      </w:rPr>
      <w:tblPr/>
      <w:tcPr>
        <w:tcBorders>
          <w:top w:val="single" w:sz="18" w:space="0" w:color="F9B07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table" w:styleId="MediumGrid2">
    <w:name w:val="Medium Grid 2"/>
    <w:basedOn w:val="TableNormal"/>
    <w:uiPriority w:val="99"/>
    <w:rPr>
      <w:rFonts w:ascii="Cambria" w:eastAsia="Times New Roman" w:hAnsi="Cambria"/>
      <w:color w:val="000000"/>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styleId="MediumGrid2-Accent1">
    <w:name w:val="Medium Grid 2 Accent 1"/>
    <w:basedOn w:val="TableNormal"/>
    <w:uiPriority w:val="99"/>
    <w:rPr>
      <w:rFonts w:ascii="Cambria" w:eastAsia="Times New Roman" w:hAnsi="Cambria"/>
      <w:color w:val="000000"/>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styleId="MediumGrid2-Accent2">
    <w:name w:val="Medium Grid 2 Accent 2"/>
    <w:basedOn w:val="TableNormal"/>
    <w:uiPriority w:val="99"/>
    <w:rPr>
      <w:rFonts w:ascii="Cambria" w:eastAsia="Times New Roman" w:hAnsi="Cambria"/>
      <w:color w:val="000000"/>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rFonts w:cs="Times New Roman"/>
        <w:b/>
        <w:bCs/>
        <w:color w:val="000000"/>
      </w:rPr>
      <w:tblPr/>
      <w:tcPr>
        <w:shd w:val="clear" w:color="auto" w:fill="F8EDED"/>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2DBDB"/>
      </w:tcPr>
    </w:tblStylePr>
    <w:tblStylePr w:type="band1Vert">
      <w:rPr>
        <w:rFonts w:cs="Times New Roman"/>
      </w:rPr>
      <w:tblPr/>
      <w:tcPr>
        <w:shd w:val="clear" w:color="auto" w:fill="DFA7A6"/>
      </w:tcPr>
    </w:tblStylePr>
    <w:tblStylePr w:type="band1Horz">
      <w:rPr>
        <w:rFonts w:cs="Times New Roman"/>
      </w:rPr>
      <w:tblPr/>
      <w:tcPr>
        <w:tcBorders>
          <w:insideH w:val="single" w:sz="6" w:space="0" w:color="C0504D"/>
          <w:insideV w:val="single" w:sz="6" w:space="0" w:color="C0504D"/>
        </w:tcBorders>
        <w:shd w:val="clear" w:color="auto" w:fill="DFA7A6"/>
      </w:tcPr>
    </w:tblStylePr>
    <w:tblStylePr w:type="nwCell">
      <w:rPr>
        <w:rFonts w:cs="Times New Roman"/>
      </w:rPr>
      <w:tblPr/>
      <w:tcPr>
        <w:shd w:val="clear" w:color="auto" w:fill="FFFFFF"/>
      </w:tcPr>
    </w:tblStylePr>
  </w:style>
  <w:style w:type="table" w:styleId="MediumGrid2-Accent3">
    <w:name w:val="Medium Grid 2 Accent 3"/>
    <w:basedOn w:val="TableNormal"/>
    <w:uiPriority w:val="99"/>
    <w:rPr>
      <w:rFonts w:ascii="Cambria" w:eastAsia="Times New Roman" w:hAnsi="Cambria"/>
      <w:color w:val="000000"/>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rFonts w:cs="Times New Roman"/>
        <w:b/>
        <w:bCs/>
        <w:color w:val="000000"/>
      </w:rPr>
      <w:tblPr/>
      <w:tcPr>
        <w:shd w:val="clear" w:color="auto" w:fill="F5F8EE"/>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F1DD"/>
      </w:tcPr>
    </w:tblStylePr>
    <w:tblStylePr w:type="band1Vert">
      <w:rPr>
        <w:rFonts w:cs="Times New Roman"/>
      </w:rPr>
      <w:tblPr/>
      <w:tcPr>
        <w:shd w:val="clear" w:color="auto" w:fill="CDDDAC"/>
      </w:tcPr>
    </w:tblStylePr>
    <w:tblStylePr w:type="band1Horz">
      <w:rPr>
        <w:rFonts w:cs="Times New Roman"/>
      </w:rPr>
      <w:tblPr/>
      <w:tcPr>
        <w:tcBorders>
          <w:insideH w:val="single" w:sz="6" w:space="0" w:color="9BBB59"/>
          <w:insideV w:val="single" w:sz="6" w:space="0" w:color="9BBB59"/>
        </w:tcBorders>
        <w:shd w:val="clear" w:color="auto" w:fill="CDDDAC"/>
      </w:tcPr>
    </w:tblStylePr>
    <w:tblStylePr w:type="nwCell">
      <w:rPr>
        <w:rFonts w:cs="Times New Roman"/>
      </w:rPr>
      <w:tblPr/>
      <w:tcPr>
        <w:shd w:val="clear" w:color="auto" w:fill="FFFFFF"/>
      </w:tcPr>
    </w:tblStylePr>
  </w:style>
  <w:style w:type="table" w:styleId="MediumGrid2-Accent4">
    <w:name w:val="Medium Grid 2 Accent 4"/>
    <w:basedOn w:val="TableNormal"/>
    <w:uiPriority w:val="99"/>
    <w:rPr>
      <w:rFonts w:ascii="Cambria" w:eastAsia="Times New Roman" w:hAnsi="Cambria"/>
      <w:color w:val="000000"/>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rFonts w:cs="Times New Roman"/>
        <w:b/>
        <w:bCs/>
        <w:color w:val="000000"/>
      </w:rPr>
      <w:tblPr/>
      <w:tcPr>
        <w:shd w:val="clear" w:color="auto" w:fill="F2EFF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DFEC"/>
      </w:tcPr>
    </w:tblStylePr>
    <w:tblStylePr w:type="band1Vert">
      <w:rPr>
        <w:rFonts w:cs="Times New Roman"/>
      </w:rPr>
      <w:tblPr/>
      <w:tcPr>
        <w:shd w:val="clear" w:color="auto" w:fill="BFB1D0"/>
      </w:tcPr>
    </w:tblStylePr>
    <w:tblStylePr w:type="band1Horz">
      <w:rPr>
        <w:rFonts w:cs="Times New Roman"/>
      </w:rPr>
      <w:tblPr/>
      <w:tcPr>
        <w:tcBorders>
          <w:insideH w:val="single" w:sz="6" w:space="0" w:color="8064A2"/>
          <w:insideV w:val="single" w:sz="6" w:space="0" w:color="8064A2"/>
        </w:tcBorders>
        <w:shd w:val="clear" w:color="auto" w:fill="BFB1D0"/>
      </w:tcPr>
    </w:tblStylePr>
    <w:tblStylePr w:type="nwCell">
      <w:rPr>
        <w:rFonts w:cs="Times New Roman"/>
      </w:rPr>
      <w:tblPr/>
      <w:tcPr>
        <w:shd w:val="clear" w:color="auto" w:fill="FFFFFF"/>
      </w:tcPr>
    </w:tblStylePr>
  </w:style>
  <w:style w:type="table" w:styleId="MediumGrid2-Accent5">
    <w:name w:val="Medium Grid 2 Accent 5"/>
    <w:basedOn w:val="TableNormal"/>
    <w:uiPriority w:val="99"/>
    <w:rPr>
      <w:rFonts w:ascii="Cambria" w:eastAsia="Times New Roman" w:hAnsi="Cambria"/>
      <w:color w:val="000000"/>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rFonts w:cs="Times New Roman"/>
        <w:b/>
        <w:bCs/>
        <w:color w:val="000000"/>
      </w:rPr>
      <w:tblPr/>
      <w:tcPr>
        <w:shd w:val="clear" w:color="auto" w:fill="EDF6F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AEEF3"/>
      </w:tcPr>
    </w:tblStylePr>
    <w:tblStylePr w:type="band1Vert">
      <w:rPr>
        <w:rFonts w:cs="Times New Roman"/>
      </w:rPr>
      <w:tblPr/>
      <w:tcPr>
        <w:shd w:val="clear" w:color="auto" w:fill="A5D5E2"/>
      </w:tcPr>
    </w:tblStylePr>
    <w:tblStylePr w:type="band1Horz">
      <w:rPr>
        <w:rFonts w:cs="Times New Roman"/>
      </w:rPr>
      <w:tblPr/>
      <w:tcPr>
        <w:tcBorders>
          <w:insideH w:val="single" w:sz="6" w:space="0" w:color="4BACC6"/>
          <w:insideV w:val="single" w:sz="6" w:space="0" w:color="4BACC6"/>
        </w:tcBorders>
        <w:shd w:val="clear" w:color="auto" w:fill="A5D5E2"/>
      </w:tcPr>
    </w:tblStylePr>
    <w:tblStylePr w:type="nwCell">
      <w:rPr>
        <w:rFonts w:cs="Times New Roman"/>
      </w:rPr>
      <w:tblPr/>
      <w:tcPr>
        <w:shd w:val="clear" w:color="auto" w:fill="FFFFFF"/>
      </w:tcPr>
    </w:tblStylePr>
  </w:style>
  <w:style w:type="table" w:styleId="MediumGrid2-Accent6">
    <w:name w:val="Medium Grid 2 Accent 6"/>
    <w:basedOn w:val="TableNormal"/>
    <w:uiPriority w:val="99"/>
    <w:rPr>
      <w:rFonts w:ascii="Cambria" w:eastAsia="Times New Roman" w:hAnsi="Cambria"/>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rFonts w:cs="Times New Roman"/>
        <w:b/>
        <w:bCs/>
        <w:color w:val="000000"/>
      </w:rPr>
      <w:tblPr/>
      <w:tcPr>
        <w:shd w:val="clear" w:color="auto" w:fill="FEF4EC"/>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DE9D9"/>
      </w:tcPr>
    </w:tblStylePr>
    <w:tblStylePr w:type="band1Vert">
      <w:rPr>
        <w:rFonts w:cs="Times New Roman"/>
      </w:rPr>
      <w:tblPr/>
      <w:tcPr>
        <w:shd w:val="clear" w:color="auto" w:fill="FBCAA2"/>
      </w:tcPr>
    </w:tblStylePr>
    <w:tblStylePr w:type="band1Horz">
      <w:rPr>
        <w:rFonts w:cs="Times New Roman"/>
      </w:rPr>
      <w:tblPr/>
      <w:tcPr>
        <w:tcBorders>
          <w:insideH w:val="single" w:sz="6" w:space="0" w:color="F79646"/>
          <w:insideV w:val="single" w:sz="6" w:space="0" w:color="F79646"/>
        </w:tcBorders>
        <w:shd w:val="clear" w:color="auto" w:fill="FBCAA2"/>
      </w:tcPr>
    </w:tblStylePr>
    <w:tblStylePr w:type="nwCell">
      <w:rPr>
        <w:rFonts w:cs="Times New Roman"/>
      </w:rPr>
      <w:tblPr/>
      <w:tcPr>
        <w:shd w:val="clear" w:color="auto" w:fill="FFFFFF"/>
      </w:tcPr>
    </w:tblStylePr>
  </w:style>
  <w:style w:type="table" w:styleId="MediumGrid3">
    <w:name w:val="Medium Grid 3"/>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Grid3-Accent1">
    <w:name w:val="Medium Grid 3 Accent 1"/>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3-Accent2">
    <w:name w:val="Medium Grid 3 Accent 2"/>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Grid3-Accent3">
    <w:name w:val="Medium Grid 3 Accent 3"/>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Grid3-Accent4">
    <w:name w:val="Medium Grid 3 Accent 4"/>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MediumGrid3-Accent5">
    <w:name w:val="Medium Grid 3 Accent 5"/>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Grid3-Accent6">
    <w:name w:val="Medium Grid 3 Accent 6"/>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MediumList1">
    <w:name w:val="Medium List 1"/>
    <w:basedOn w:val="TableNormal"/>
    <w:uiPriority w:val="99"/>
    <w:rPr>
      <w:rFonts w:ascii="Times New Roman" w:eastAsia="Times New Roman" w:hAnsi="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rFonts w:cs="Times New Roman"/>
        <w:b/>
        <w:bCs/>
        <w:color w:val="1F497D"/>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styleId="MediumList1-Accent1">
    <w:name w:val="Medium List 1 Accent 1"/>
    <w:basedOn w:val="TableNormal"/>
    <w:uiPriority w:val="99"/>
    <w:rPr>
      <w:rFonts w:ascii="Times New Roman" w:eastAsia="Times New Roman" w:hAnsi="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styleId="MediumList1-Accent2">
    <w:name w:val="Medium List 1 Accent 2"/>
    <w:basedOn w:val="TableNormal"/>
    <w:uiPriority w:val="99"/>
    <w:rPr>
      <w:rFonts w:ascii="Times New Roman" w:eastAsia="Times New Roman" w:hAnsi="Times New Roman"/>
      <w:color w:val="000000"/>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styleId="MediumList1-Accent3">
    <w:name w:val="Medium List 1 Accent 3"/>
    <w:basedOn w:val="TableNormal"/>
    <w:uiPriority w:val="99"/>
    <w:rPr>
      <w:rFonts w:ascii="Times New Roman" w:eastAsia="Times New Roman" w:hAnsi="Times New Roman"/>
      <w:color w:val="000000"/>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rFonts w:cs="Times New Roman"/>
        <w:b/>
        <w:bCs/>
        <w:color w:val="1F497D"/>
      </w:rPr>
      <w:tblPr/>
      <w:tcPr>
        <w:tcBorders>
          <w:top w:val="single" w:sz="8" w:space="0" w:color="9BBB59"/>
          <w:bottom w:val="single" w:sz="8" w:space="0" w:color="9BBB59"/>
        </w:tcBorders>
      </w:tcPr>
    </w:tblStylePr>
    <w:tblStylePr w:type="firstCol">
      <w:rPr>
        <w:rFonts w:cs="Times New Roman"/>
        <w:b/>
        <w:bCs/>
      </w:rPr>
    </w:tblStylePr>
    <w:tblStylePr w:type="lastCol">
      <w:rPr>
        <w:rFonts w:cs="Times New Roman"/>
        <w:b/>
        <w:bCs/>
      </w:rPr>
      <w:tblPr/>
      <w:tcPr>
        <w:tcBorders>
          <w:top w:val="single" w:sz="8" w:space="0" w:color="9BBB59"/>
          <w:bottom w:val="single" w:sz="8" w:space="0" w:color="9BBB59"/>
        </w:tcBorders>
      </w:tcPr>
    </w:tblStylePr>
    <w:tblStylePr w:type="band1Vert">
      <w:rPr>
        <w:rFonts w:cs="Times New Roman"/>
      </w:rPr>
      <w:tblPr/>
      <w:tcPr>
        <w:shd w:val="clear" w:color="auto" w:fill="E6EED5"/>
      </w:tcPr>
    </w:tblStylePr>
    <w:tblStylePr w:type="band1Horz">
      <w:rPr>
        <w:rFonts w:cs="Times New Roman"/>
      </w:rPr>
      <w:tblPr/>
      <w:tcPr>
        <w:shd w:val="clear" w:color="auto" w:fill="E6EED5"/>
      </w:tcPr>
    </w:tblStylePr>
  </w:style>
  <w:style w:type="table" w:styleId="MediumList1-Accent4">
    <w:name w:val="Medium List 1 Accent 4"/>
    <w:basedOn w:val="TableNormal"/>
    <w:uiPriority w:val="99"/>
    <w:rPr>
      <w:rFonts w:ascii="Times New Roman" w:eastAsia="Times New Roman" w:hAnsi="Times New Roman"/>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rFonts w:cs="Times New Roman"/>
        <w:b/>
        <w:bCs/>
        <w:color w:val="1F497D"/>
      </w:rPr>
      <w:tblPr/>
      <w:tcPr>
        <w:tcBorders>
          <w:top w:val="single" w:sz="8" w:space="0" w:color="8064A2"/>
          <w:bottom w:val="single" w:sz="8" w:space="0" w:color="8064A2"/>
        </w:tcBorders>
      </w:tcPr>
    </w:tblStylePr>
    <w:tblStylePr w:type="firstCol">
      <w:rPr>
        <w:rFonts w:cs="Times New Roman"/>
        <w:b/>
        <w:bCs/>
      </w:rPr>
    </w:tblStylePr>
    <w:tblStylePr w:type="lastCol">
      <w:rPr>
        <w:rFonts w:cs="Times New Roman"/>
        <w:b/>
        <w:bCs/>
      </w:rPr>
      <w:tblPr/>
      <w:tcPr>
        <w:tcBorders>
          <w:top w:val="single" w:sz="8" w:space="0" w:color="8064A2"/>
          <w:bottom w:val="single" w:sz="8" w:space="0" w:color="8064A2"/>
        </w:tcBorders>
      </w:tcPr>
    </w:tblStylePr>
    <w:tblStylePr w:type="band1Vert">
      <w:rPr>
        <w:rFonts w:cs="Times New Roman"/>
      </w:rPr>
      <w:tblPr/>
      <w:tcPr>
        <w:shd w:val="clear" w:color="auto" w:fill="DFD8E8"/>
      </w:tcPr>
    </w:tblStylePr>
    <w:tblStylePr w:type="band1Horz">
      <w:rPr>
        <w:rFonts w:cs="Times New Roman"/>
      </w:rPr>
      <w:tblPr/>
      <w:tcPr>
        <w:shd w:val="clear" w:color="auto" w:fill="DFD8E8"/>
      </w:tcPr>
    </w:tblStylePr>
  </w:style>
  <w:style w:type="table" w:styleId="MediumList1-Accent5">
    <w:name w:val="Medium List 1 Accent 5"/>
    <w:basedOn w:val="TableNormal"/>
    <w:uiPriority w:val="99"/>
    <w:rPr>
      <w:rFonts w:ascii="Times New Roman" w:eastAsia="Times New Roman" w:hAnsi="Times New Roman"/>
      <w:color w:val="000000"/>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rFonts w:cs="Times New Roman"/>
        <w:b/>
        <w:bCs/>
        <w:color w:val="1F497D"/>
      </w:rPr>
      <w:tblPr/>
      <w:tcPr>
        <w:tcBorders>
          <w:top w:val="single" w:sz="8" w:space="0" w:color="4BACC6"/>
          <w:bottom w:val="single" w:sz="8" w:space="0" w:color="4BACC6"/>
        </w:tcBorders>
      </w:tcPr>
    </w:tblStylePr>
    <w:tblStylePr w:type="firstCol">
      <w:rPr>
        <w:rFonts w:cs="Times New Roman"/>
        <w:b/>
        <w:bCs/>
      </w:rPr>
    </w:tblStylePr>
    <w:tblStylePr w:type="lastCol">
      <w:rPr>
        <w:rFonts w:cs="Times New Roman"/>
        <w:b/>
        <w:bCs/>
      </w:rPr>
      <w:tblPr/>
      <w:tcPr>
        <w:tcBorders>
          <w:top w:val="single" w:sz="8" w:space="0" w:color="4BACC6"/>
          <w:bottom w:val="single" w:sz="8" w:space="0" w:color="4BACC6"/>
        </w:tcBorders>
      </w:tcPr>
    </w:tblStylePr>
    <w:tblStylePr w:type="band1Vert">
      <w:rPr>
        <w:rFonts w:cs="Times New Roman"/>
      </w:rPr>
      <w:tblPr/>
      <w:tcPr>
        <w:shd w:val="clear" w:color="auto" w:fill="D2EAF1"/>
      </w:tcPr>
    </w:tblStylePr>
    <w:tblStylePr w:type="band1Horz">
      <w:rPr>
        <w:rFonts w:cs="Times New Roman"/>
      </w:rPr>
      <w:tblPr/>
      <w:tcPr>
        <w:shd w:val="clear" w:color="auto" w:fill="D2EAF1"/>
      </w:tcPr>
    </w:tblStylePr>
  </w:style>
  <w:style w:type="table" w:styleId="MediumList1-Accent6">
    <w:name w:val="Medium List 1 Accent 6"/>
    <w:basedOn w:val="TableNormal"/>
    <w:uiPriority w:val="99"/>
    <w:rPr>
      <w:rFonts w:ascii="Times New Roman" w:eastAsia="Times New Roman" w:hAnsi="Times New Roman"/>
      <w:color w:val="000000"/>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styleId="MediumList2">
    <w:name w:val="Medium List 2"/>
    <w:basedOn w:val="TableNormal"/>
    <w:uiPriority w:val="99"/>
    <w:rPr>
      <w:rFonts w:ascii="Cambria" w:eastAsia="Times New Roman" w:hAnsi="Cambria"/>
      <w:color w:val="000000"/>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MediumList2-Accent1">
    <w:name w:val="Medium List 2 Accent 1"/>
    <w:basedOn w:val="TableNormal"/>
    <w:uiPriority w:val="99"/>
    <w:rPr>
      <w:rFonts w:ascii="Cambria" w:eastAsia="Times New Roman" w:hAnsi="Cambria"/>
      <w:color w:val="000000"/>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MediumList2-Accent2">
    <w:name w:val="Medium List 2 Accent 2"/>
    <w:basedOn w:val="TableNormal"/>
    <w:uiPriority w:val="99"/>
    <w:rPr>
      <w:rFonts w:ascii="Cambria" w:eastAsia="Times New Roman" w:hAnsi="Cambria"/>
      <w:color w:val="000000"/>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C0504D"/>
          <w:right w:val="nil"/>
          <w:insideH w:val="nil"/>
          <w:insideV w:val="nil"/>
        </w:tcBorders>
        <w:shd w:val="clear" w:color="auto" w:fill="FFFFFF"/>
      </w:tcPr>
    </w:tblStylePr>
    <w:tblStylePr w:type="lastRow">
      <w:rPr>
        <w:rFonts w:cs="Times New Roman"/>
      </w:rPr>
      <w:tblPr/>
      <w:tcPr>
        <w:tcBorders>
          <w:top w:val="single" w:sz="8" w:space="0" w:color="C050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C0504D"/>
          <w:insideH w:val="nil"/>
          <w:insideV w:val="nil"/>
        </w:tcBorders>
        <w:shd w:val="clear" w:color="auto" w:fill="FFFFFF"/>
      </w:tcPr>
    </w:tblStylePr>
    <w:tblStylePr w:type="lastCol">
      <w:rPr>
        <w:rFonts w:cs="Times New Roman"/>
      </w:rPr>
      <w:tblPr/>
      <w:tcPr>
        <w:tcBorders>
          <w:top w:val="nil"/>
          <w:left w:val="single" w:sz="8" w:space="0" w:color="C050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top w:val="nil"/>
          <w:bottom w:val="nil"/>
          <w:insideH w:val="nil"/>
          <w:insideV w:val="nil"/>
        </w:tcBorders>
        <w:shd w:val="clear" w:color="auto" w:fill="EFD3D2"/>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MediumList2-Accent3">
    <w:name w:val="Medium List 2 Accent 3"/>
    <w:basedOn w:val="TableNormal"/>
    <w:uiPriority w:val="99"/>
    <w:rPr>
      <w:rFonts w:ascii="Cambria" w:eastAsia="Times New Roman" w:hAnsi="Cambria"/>
      <w:color w:val="000000"/>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9BBB59"/>
          <w:right w:val="nil"/>
          <w:insideH w:val="nil"/>
          <w:insideV w:val="nil"/>
        </w:tcBorders>
        <w:shd w:val="clear" w:color="auto" w:fill="FFFFFF"/>
      </w:tcPr>
    </w:tblStylePr>
    <w:tblStylePr w:type="lastRow">
      <w:rPr>
        <w:rFonts w:cs="Times New Roman"/>
      </w:rPr>
      <w:tblPr/>
      <w:tcPr>
        <w:tcBorders>
          <w:top w:val="single" w:sz="8" w:space="0" w:color="9BBB59"/>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9BBB59"/>
          <w:insideH w:val="nil"/>
          <w:insideV w:val="nil"/>
        </w:tcBorders>
        <w:shd w:val="clear" w:color="auto" w:fill="FFFFFF"/>
      </w:tcPr>
    </w:tblStylePr>
    <w:tblStylePr w:type="lastCol">
      <w:rPr>
        <w:rFonts w:cs="Times New Roman"/>
      </w:rPr>
      <w:tblPr/>
      <w:tcPr>
        <w:tcBorders>
          <w:top w:val="nil"/>
          <w:left w:val="single" w:sz="8" w:space="0" w:color="9BBB59"/>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top w:val="nil"/>
          <w:bottom w:val="nil"/>
          <w:insideH w:val="nil"/>
          <w:insideV w:val="nil"/>
        </w:tcBorders>
        <w:shd w:val="clear" w:color="auto" w:fill="E6EED5"/>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MediumList2-Accent4">
    <w:name w:val="Medium List 2 Accent 4"/>
    <w:basedOn w:val="TableNormal"/>
    <w:uiPriority w:val="99"/>
    <w:rPr>
      <w:rFonts w:ascii="Cambria" w:eastAsia="Times New Roman" w:hAnsi="Cambria"/>
      <w:color w:val="000000"/>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8064A2"/>
          <w:right w:val="nil"/>
          <w:insideH w:val="nil"/>
          <w:insideV w:val="nil"/>
        </w:tcBorders>
        <w:shd w:val="clear" w:color="auto" w:fill="FFFFFF"/>
      </w:tcPr>
    </w:tblStylePr>
    <w:tblStylePr w:type="lastRow">
      <w:rPr>
        <w:rFonts w:cs="Times New Roman"/>
      </w:rPr>
      <w:tblPr/>
      <w:tcPr>
        <w:tcBorders>
          <w:top w:val="single" w:sz="8" w:space="0" w:color="8064A2"/>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8064A2"/>
          <w:insideH w:val="nil"/>
          <w:insideV w:val="nil"/>
        </w:tcBorders>
        <w:shd w:val="clear" w:color="auto" w:fill="FFFFFF"/>
      </w:tcPr>
    </w:tblStylePr>
    <w:tblStylePr w:type="lastCol">
      <w:rPr>
        <w:rFonts w:cs="Times New Roman"/>
      </w:rPr>
      <w:tblPr/>
      <w:tcPr>
        <w:tcBorders>
          <w:top w:val="nil"/>
          <w:left w:val="single" w:sz="8" w:space="0" w:color="8064A2"/>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top w:val="nil"/>
          <w:bottom w:val="nil"/>
          <w:insideH w:val="nil"/>
          <w:insideV w:val="nil"/>
        </w:tcBorders>
        <w:shd w:val="clear" w:color="auto" w:fill="DFD8E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MediumList2-Accent5">
    <w:name w:val="Medium List 2 Accent 5"/>
    <w:basedOn w:val="TableNormal"/>
    <w:uiPriority w:val="99"/>
    <w:rPr>
      <w:rFonts w:ascii="Cambria" w:eastAsia="Times New Roman" w:hAnsi="Cambria"/>
      <w:color w:val="000000"/>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MediumList2-Accent6">
    <w:name w:val="Medium List 2 Accent 6"/>
    <w:basedOn w:val="TableNormal"/>
    <w:uiPriority w:val="99"/>
    <w:rPr>
      <w:rFonts w:ascii="Cambria" w:eastAsia="Times New Roman" w:hAnsi="Cambria"/>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MediumShading1">
    <w:name w:val="Medium Shading 1"/>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styleId="MediumShading1-Accent1">
    <w:name w:val="Medium Shading 1 Accent 1"/>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styleId="MediumShading1-Accent2">
    <w:name w:val="Medium Shading 1 Accent 2"/>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styleId="MediumShading1-Accent3">
    <w:name w:val="Medium Shading 1 Accent 3"/>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table" w:styleId="MediumShading1-Accent4">
    <w:name w:val="Medium Shading 1 Accent 4"/>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pPr>
      <w:rPr>
        <w:rFonts w:cs="Times New Roman"/>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D8E8"/>
      </w:tcPr>
    </w:tblStylePr>
    <w:tblStylePr w:type="band1Horz">
      <w:rPr>
        <w:rFonts w:cs="Times New Roman"/>
      </w:rPr>
      <w:tblPr/>
      <w:tcPr>
        <w:tcBorders>
          <w:insideH w:val="nil"/>
          <w:insideV w:val="nil"/>
        </w:tcBorders>
        <w:shd w:val="clear" w:color="auto" w:fill="DFD8E8"/>
      </w:tcPr>
    </w:tblStylePr>
    <w:tblStylePr w:type="band2Horz">
      <w:rPr>
        <w:rFonts w:cs="Times New Roman"/>
      </w:rPr>
      <w:tblPr/>
      <w:tcPr>
        <w:tcBorders>
          <w:insideH w:val="nil"/>
          <w:insideV w:val="nil"/>
        </w:tcBorders>
      </w:tcPr>
    </w:tblStylePr>
  </w:style>
  <w:style w:type="table" w:styleId="MediumShading1-Accent5">
    <w:name w:val="Medium Shading 1 Accent 5"/>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styleId="MediumShading1-Accent6">
    <w:name w:val="Medium Shading 1 Accent 6"/>
    <w:basedOn w:val="TableNormal"/>
    <w:uiPriority w:val="99"/>
    <w:rPr>
      <w:rFonts w:ascii="Times New Roman" w:eastAsia="Times New Roman" w:hAnsi="Times New Roman"/>
      <w:sz w:val="20"/>
      <w:szCs w:val="20"/>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pPr>
      <w:rPr>
        <w:rFonts w:cs="Times New Roman"/>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4D0"/>
      </w:tcPr>
    </w:tblStylePr>
    <w:tblStylePr w:type="band1Horz">
      <w:rPr>
        <w:rFonts w:cs="Times New Roman"/>
      </w:rPr>
      <w:tblPr/>
      <w:tcPr>
        <w:tcBorders>
          <w:insideH w:val="nil"/>
          <w:insideV w:val="nil"/>
        </w:tcBorders>
        <w:shd w:val="clear" w:color="auto" w:fill="FDE4D0"/>
      </w:tcPr>
    </w:tblStylePr>
    <w:tblStylePr w:type="band2Horz">
      <w:rPr>
        <w:rFonts w:cs="Times New Roman"/>
      </w:rPr>
      <w:tblPr/>
      <w:tcPr>
        <w:tcBorders>
          <w:insideH w:val="nil"/>
          <w:insideV w:val="nil"/>
        </w:tcBorders>
      </w:tcPr>
    </w:tblStylePr>
  </w:style>
  <w:style w:type="table" w:styleId="MediumShading2">
    <w:name w:val="Medium Shading 2"/>
    <w:basedOn w:val="TableNormal"/>
    <w:uiPriority w:val="99"/>
    <w:rPr>
      <w:rFonts w:ascii="Times New Roman" w:eastAsia="Times New Roman" w:hAnsi="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99"/>
    <w:rPr>
      <w:rFonts w:ascii="Times New Roman" w:eastAsia="Times New Roman" w:hAnsi="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99"/>
    <w:rPr>
      <w:rFonts w:ascii="Times New Roman" w:eastAsia="Times New Roman" w:hAnsi="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99"/>
    <w:rPr>
      <w:rFonts w:ascii="Times New Roman" w:eastAsia="Times New Roman" w:hAnsi="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99"/>
    <w:rPr>
      <w:rFonts w:ascii="Times New Roman" w:eastAsia="Times New Roman" w:hAnsi="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99"/>
    <w:rPr>
      <w:rFonts w:ascii="Times New Roman" w:eastAsia="Times New Roman" w:hAnsi="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99"/>
    <w:rPr>
      <w:rFonts w:ascii="Times New Roman" w:eastAsia="Times New Roman" w:hAnsi="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99"/>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Cambria" w:hAnsi="Cambria"/>
      <w:sz w:val="24"/>
      <w:szCs w:val="24"/>
    </w:rPr>
  </w:style>
  <w:style w:type="character" w:customStyle="1" w:styleId="MessageHeaderChar">
    <w:name w:val="Message Header Char"/>
    <w:basedOn w:val="DefaultParagraphFont"/>
    <w:link w:val="MessageHeader"/>
    <w:uiPriority w:val="99"/>
    <w:locked/>
    <w:rPr>
      <w:rFonts w:ascii="Cambria" w:hAnsi="Cambria" w:cs="Times New Roman"/>
      <w:sz w:val="24"/>
      <w:shd w:val="pct20" w:color="auto" w:fill="auto"/>
    </w:rPr>
  </w:style>
  <w:style w:type="paragraph" w:styleId="NormalWeb">
    <w:name w:val="Normal (Web)"/>
    <w:basedOn w:val="Normal"/>
    <w:uiPriority w:val="99"/>
    <w:pPr>
      <w:spacing w:after="0"/>
    </w:pPr>
    <w:rPr>
      <w:rFonts w:ascii="Times New Roman" w:eastAsia="Times New Roman" w:hAnsi="Times New Roman"/>
      <w:sz w:val="24"/>
      <w:szCs w:val="24"/>
    </w:rPr>
  </w:style>
  <w:style w:type="paragraph" w:styleId="NormalIndent">
    <w:name w:val="Normal Indent"/>
    <w:basedOn w:val="Normal"/>
    <w:uiPriority w:val="99"/>
    <w:pPr>
      <w:spacing w:after="0"/>
      <w:ind w:left="720"/>
    </w:pPr>
    <w:rPr>
      <w:rFonts w:ascii="Times New Roman" w:eastAsia="Times New Roman" w:hAnsi="Times New Roman"/>
      <w:sz w:val="24"/>
      <w:szCs w:val="24"/>
    </w:rPr>
  </w:style>
  <w:style w:type="paragraph" w:styleId="NoteHeading">
    <w:name w:val="Note Heading"/>
    <w:basedOn w:val="Normal"/>
    <w:next w:val="Normal"/>
    <w:link w:val="NoteHeadingChar"/>
    <w:uiPriority w:val="99"/>
    <w:pPr>
      <w:spacing w:after="0"/>
    </w:pPr>
    <w:rPr>
      <w:rFonts w:ascii="Times New Roman" w:hAnsi="Times New Roman"/>
      <w:sz w:val="24"/>
      <w:szCs w:val="24"/>
    </w:rPr>
  </w:style>
  <w:style w:type="character" w:customStyle="1" w:styleId="NoteHeadingChar">
    <w:name w:val="Note Heading Char"/>
    <w:basedOn w:val="DefaultParagraphFont"/>
    <w:link w:val="NoteHeading"/>
    <w:uiPriority w:val="99"/>
    <w:locked/>
    <w:rPr>
      <w:rFonts w:ascii="Times New Roman" w:hAnsi="Times New Roman" w:cs="Times New Roman"/>
      <w:sz w:val="24"/>
    </w:rPr>
  </w:style>
  <w:style w:type="character" w:styleId="PlaceholderText">
    <w:name w:val="Placeholder Text"/>
    <w:basedOn w:val="DefaultParagraphFont"/>
    <w:uiPriority w:val="99"/>
    <w:semiHidden/>
    <w:rPr>
      <w:rFonts w:cs="Times New Roman"/>
      <w:color w:val="808080"/>
    </w:rPr>
  </w:style>
  <w:style w:type="paragraph" w:styleId="PlainText">
    <w:name w:val="Plain Text"/>
    <w:basedOn w:val="Normal"/>
    <w:link w:val="PlainTextChar"/>
    <w:uiPriority w:val="99"/>
    <w:pPr>
      <w:spacing w:after="0"/>
    </w:pPr>
    <w:rPr>
      <w:rFonts w:ascii="Courier New" w:hAnsi="Courier New"/>
      <w:sz w:val="20"/>
      <w:szCs w:val="20"/>
    </w:rPr>
  </w:style>
  <w:style w:type="character" w:customStyle="1" w:styleId="PlainTextChar">
    <w:name w:val="Plain Text Char"/>
    <w:basedOn w:val="DefaultParagraphFont"/>
    <w:link w:val="PlainText"/>
    <w:uiPriority w:val="99"/>
    <w:locked/>
    <w:rPr>
      <w:rFonts w:ascii="Courier New" w:hAnsi="Courier New" w:cs="Times New Roman"/>
      <w:sz w:val="20"/>
    </w:rPr>
  </w:style>
  <w:style w:type="paragraph" w:styleId="Quote">
    <w:name w:val="Quote"/>
    <w:basedOn w:val="Normal"/>
    <w:next w:val="Normal"/>
    <w:link w:val="QuoteChar"/>
    <w:uiPriority w:val="99"/>
    <w:qFormat/>
    <w:pPr>
      <w:spacing w:after="0"/>
    </w:pPr>
    <w:rPr>
      <w:rFonts w:ascii="Times New Roman" w:hAnsi="Times New Roman"/>
      <w:i/>
      <w:iCs/>
      <w:color w:val="000000"/>
      <w:sz w:val="24"/>
      <w:szCs w:val="24"/>
    </w:rPr>
  </w:style>
  <w:style w:type="character" w:customStyle="1" w:styleId="QuoteChar">
    <w:name w:val="Quote Char"/>
    <w:basedOn w:val="DefaultParagraphFont"/>
    <w:link w:val="Quote"/>
    <w:uiPriority w:val="99"/>
    <w:locked/>
    <w:rPr>
      <w:rFonts w:ascii="Times New Roman" w:hAnsi="Times New Roman" w:cs="Times New Roman"/>
      <w:i/>
      <w:color w:val="000000"/>
      <w:sz w:val="24"/>
    </w:rPr>
  </w:style>
  <w:style w:type="paragraph" w:styleId="Salutation">
    <w:name w:val="Salutation"/>
    <w:basedOn w:val="Normal"/>
    <w:next w:val="Normal"/>
    <w:link w:val="SalutationChar"/>
    <w:uiPriority w:val="99"/>
    <w:pPr>
      <w:spacing w:after="0"/>
    </w:pPr>
    <w:rPr>
      <w:rFonts w:ascii="Times New Roman" w:hAnsi="Times New Roman"/>
      <w:sz w:val="24"/>
      <w:szCs w:val="24"/>
    </w:rPr>
  </w:style>
  <w:style w:type="character" w:customStyle="1" w:styleId="SalutationChar">
    <w:name w:val="Salutation Char"/>
    <w:basedOn w:val="DefaultParagraphFont"/>
    <w:link w:val="Salutation"/>
    <w:uiPriority w:val="99"/>
    <w:locked/>
    <w:rPr>
      <w:rFonts w:ascii="Times New Roman" w:hAnsi="Times New Roman" w:cs="Times New Roman"/>
      <w:sz w:val="24"/>
    </w:rPr>
  </w:style>
  <w:style w:type="paragraph" w:styleId="Signature">
    <w:name w:val="Signature"/>
    <w:basedOn w:val="Normal"/>
    <w:link w:val="SignatureChar"/>
    <w:uiPriority w:val="99"/>
    <w:pPr>
      <w:spacing w:after="0"/>
      <w:ind w:left="4320"/>
    </w:pPr>
    <w:rPr>
      <w:rFonts w:eastAsia="Times New Roman"/>
      <w:sz w:val="20"/>
      <w:szCs w:val="24"/>
    </w:rPr>
  </w:style>
  <w:style w:type="character" w:customStyle="1" w:styleId="SignatureChar">
    <w:name w:val="Signature Char"/>
    <w:basedOn w:val="DefaultParagraphFont"/>
    <w:link w:val="Signature"/>
    <w:uiPriority w:val="99"/>
    <w:locked/>
    <w:rPr>
      <w:rFonts w:ascii="Century Schoolbook" w:hAnsi="Century Schoolbook" w:cs="Times New Roman"/>
      <w:sz w:val="24"/>
    </w:rPr>
  </w:style>
  <w:style w:type="character" w:styleId="Strong">
    <w:name w:val="Strong"/>
    <w:basedOn w:val="DefaultParagraphFont"/>
    <w:uiPriority w:val="99"/>
    <w:qFormat/>
    <w:rPr>
      <w:rFonts w:cs="Times New Roman"/>
      <w:b/>
    </w:rPr>
  </w:style>
  <w:style w:type="paragraph" w:styleId="Subtitle">
    <w:name w:val="Subtitle"/>
    <w:basedOn w:val="Normal"/>
    <w:next w:val="Normal"/>
    <w:link w:val="SubtitleChar"/>
    <w:uiPriority w:val="99"/>
    <w:qFormat/>
    <w:pPr>
      <w:spacing w:after="60"/>
      <w:jc w:val="center"/>
      <w:outlineLvl w:val="1"/>
    </w:pPr>
    <w:rPr>
      <w:rFonts w:ascii="Cambria" w:hAnsi="Cambria"/>
      <w:sz w:val="24"/>
      <w:szCs w:val="24"/>
    </w:rPr>
  </w:style>
  <w:style w:type="character" w:customStyle="1" w:styleId="SubtitleChar">
    <w:name w:val="Subtitle Char"/>
    <w:basedOn w:val="DefaultParagraphFont"/>
    <w:link w:val="Subtitle"/>
    <w:uiPriority w:val="99"/>
    <w:locked/>
    <w:rPr>
      <w:rFonts w:ascii="Cambria" w:hAnsi="Cambria" w:cs="Times New Roman"/>
      <w:sz w:val="24"/>
    </w:rPr>
  </w:style>
  <w:style w:type="character" w:styleId="SubtleEmphasis">
    <w:name w:val="Subtle Emphasis"/>
    <w:basedOn w:val="DefaultParagraphFont"/>
    <w:uiPriority w:val="99"/>
    <w:qFormat/>
    <w:rPr>
      <w:rFonts w:cs="Times New Roman"/>
      <w:i/>
      <w:color w:val="808080"/>
    </w:rPr>
  </w:style>
  <w:style w:type="character" w:styleId="SubtleReference">
    <w:name w:val="Subtle Reference"/>
    <w:basedOn w:val="DefaultParagraphFont"/>
    <w:uiPriority w:val="99"/>
    <w:qFormat/>
    <w:rPr>
      <w:rFonts w:cs="Times New Roman"/>
      <w:smallCaps/>
      <w:color w:val="C0504D"/>
      <w:u w:val="single"/>
    </w:rPr>
  </w:style>
  <w:style w:type="table" w:styleId="Table3Deffects1">
    <w:name w:val="Table 3D effects 1"/>
    <w:basedOn w:val="TableNormal"/>
    <w:uiPriority w:val="99"/>
    <w:rPr>
      <w:rFonts w:ascii="Times New Roman" w:eastAsia="Times New Roman" w:hAnsi="Times New Roman"/>
      <w:sz w:val="20"/>
      <w:szCs w:val="20"/>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rPr>
      <w:rFonts w:ascii="Times New Roman" w:eastAsia="Times New Roman" w:hAnsi="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rPr>
      <w:rFonts w:ascii="Times New Roman" w:eastAsia="Times New Roman" w:hAnsi="Times New Roman"/>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rPr>
      <w:rFonts w:ascii="Times New Roman" w:eastAsia="Times New Roman" w:hAnsi="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rPr>
      <w:rFonts w:ascii="Times New Roman" w:eastAsia="Times New Roman" w:hAnsi="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rPr>
      <w:rFonts w:ascii="Times New Roman" w:eastAsia="Times New Roman" w:hAnsi="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rPr>
      <w:rFonts w:ascii="Times New Roman" w:eastAsia="Times New Roman" w:hAnsi="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rPr>
      <w:rFonts w:ascii="Times New Roman" w:eastAsia="Times New Roman" w:hAnsi="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rPr>
      <w:rFonts w:ascii="Times New Roman" w:eastAsia="Times New Roman" w:hAnsi="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rPr>
      <w:rFonts w:ascii="Times New Roman" w:eastAsia="Times New Roman" w:hAnsi="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rPr>
      <w:rFonts w:ascii="Times New Roman" w:eastAsia="Times New Roman" w:hAnsi="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rPr>
      <w:rFonts w:ascii="Times New Roman" w:eastAsia="Times New Roman" w:hAnsi="Times New Roman"/>
      <w:b/>
      <w:bCs/>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rPr>
      <w:rFonts w:ascii="Times New Roman" w:eastAsia="Times New Roman" w:hAnsi="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rPr>
      <w:rFonts w:ascii="Times New Roman" w:eastAsia="Times New Roman" w:hAnsi="Times New Roman"/>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rPr>
      <w:rFonts w:ascii="Times New Roman" w:eastAsia="Times New Roman" w:hAnsi="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rPr>
      <w:rFonts w:ascii="Times New Roman" w:eastAsia="Times New Roman" w:hAnsi="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rPr>
      <w:rFonts w:ascii="Times New Roman" w:eastAsia="Times New Roman" w:hAnsi="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rPr>
      <w:rFonts w:ascii="Times New Roman" w:eastAsia="Times New Roman" w:hAnsi="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rPr>
      <w:rFonts w:ascii="Times New Roman" w:eastAsia="Times New Roman" w:hAnsi="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rPr>
      <w:rFonts w:ascii="Times New Roman" w:eastAsia="Times New Roman" w:hAnsi="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rPr>
      <w:rFonts w:ascii="Times New Roman" w:eastAsia="Times New Roman" w:hAnsi="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rPr>
      <w:rFonts w:ascii="Times New Roman" w:eastAsia="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rPr>
      <w:rFonts w:ascii="Times New Roman" w:eastAsia="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rPr>
      <w:rFonts w:ascii="Times New Roman" w:eastAsia="Times New Roman" w:hAnsi="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rPr>
      <w:rFonts w:ascii="Times New Roman" w:eastAsia="Times New Roman" w:hAnsi="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rPr>
      <w:rFonts w:ascii="Times New Roman" w:eastAsia="Times New Roman" w:hAnsi="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rPr>
      <w:rFonts w:ascii="Times New Roman" w:eastAsia="Times New Roman" w:hAnsi="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rPr>
      <w:rFonts w:ascii="Times New Roman" w:eastAsia="Times New Roman" w:hAnsi="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rPr>
      <w:rFonts w:ascii="Times New Roman" w:eastAsia="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rPr>
      <w:rFonts w:ascii="Times New Roman" w:eastAsia="Times New Roman" w:hAnsi="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rPr>
      <w:rFonts w:ascii="Times New Roman" w:eastAsia="Times New Roman" w:hAnsi="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rPr>
      <w:rFonts w:ascii="Times New Roman" w:eastAsia="Times New Roman" w:hAnsi="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rPr>
      <w:rFonts w:ascii="Times New Roman" w:eastAsia="Times New Roman" w:hAnsi="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pPr>
      <w:spacing w:after="0"/>
      <w:ind w:left="240" w:hanging="240"/>
    </w:pPr>
    <w:rPr>
      <w:rFonts w:ascii="Times New Roman" w:eastAsia="Times New Roman" w:hAnsi="Times New Roman"/>
      <w:sz w:val="24"/>
      <w:szCs w:val="24"/>
    </w:rPr>
  </w:style>
  <w:style w:type="paragraph" w:styleId="TableofFigures">
    <w:name w:val="table of figures"/>
    <w:basedOn w:val="Normal"/>
    <w:next w:val="Normal"/>
    <w:uiPriority w:val="99"/>
    <w:pPr>
      <w:spacing w:after="0"/>
    </w:pPr>
    <w:rPr>
      <w:rFonts w:ascii="Times New Roman" w:eastAsia="Times New Roman" w:hAnsi="Times New Roman"/>
      <w:sz w:val="24"/>
      <w:szCs w:val="24"/>
    </w:rPr>
  </w:style>
  <w:style w:type="table" w:styleId="TableProfessional">
    <w:name w:val="Table Professional"/>
    <w:basedOn w:val="TableNormal"/>
    <w:uiPriority w:val="99"/>
    <w:rPr>
      <w:rFonts w:ascii="Times New Roman" w:eastAsia="Times New Roman" w:hAnsi="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rPr>
      <w:rFonts w:ascii="Times New Roman" w:eastAsia="Times New Roman" w:hAnsi="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rPr>
      <w:rFonts w:ascii="Times New Roman" w:eastAsia="Times New Roman" w:hAnsi="Times New Roman"/>
      <w:sz w:val="20"/>
      <w:szCs w:val="20"/>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rPr>
      <w:rFonts w:ascii="Times New Roman" w:eastAsia="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rPr>
      <w:rFonts w:ascii="Times New Roman" w:eastAsia="Times New Roman" w:hAnsi="Times New Roman"/>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rPr>
      <w:rFonts w:ascii="Times New Roman" w:eastAsia="Times New Roman" w:hAnsi="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rPr>
      <w:rFonts w:ascii="Times New Roman" w:eastAsia="Times New Roman" w:hAnsi="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rPr>
      <w:rFonts w:ascii="Times New Roman" w:eastAsia="Times New Roman" w:hAnsi="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rPr>
      <w:rFonts w:ascii="Times New Roman" w:eastAsia="Times New Roman" w:hAnsi="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99"/>
    <w:qFormat/>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uiPriority w:val="99"/>
    <w:locked/>
    <w:rPr>
      <w:rFonts w:ascii="Cambria" w:hAnsi="Cambria" w:cs="Times New Roman"/>
      <w:b/>
      <w:kern w:val="28"/>
      <w:sz w:val="32"/>
    </w:rPr>
  </w:style>
  <w:style w:type="paragraph" w:styleId="TOAHeading">
    <w:name w:val="toa heading"/>
    <w:basedOn w:val="Normal"/>
    <w:next w:val="Normal"/>
    <w:uiPriority w:val="99"/>
    <w:pPr>
      <w:spacing w:before="120" w:after="0"/>
    </w:pPr>
    <w:rPr>
      <w:rFonts w:ascii="Cambria" w:eastAsia="Times New Roman" w:hAnsi="Cambria"/>
      <w:b/>
      <w:bCs/>
      <w:sz w:val="24"/>
      <w:szCs w:val="24"/>
    </w:rPr>
  </w:style>
  <w:style w:type="paragraph" w:styleId="TOC4">
    <w:name w:val="toc 4"/>
    <w:basedOn w:val="Normal"/>
    <w:next w:val="Normal"/>
    <w:autoRedefine/>
    <w:uiPriority w:val="99"/>
    <w:pPr>
      <w:spacing w:after="0"/>
      <w:ind w:left="720"/>
    </w:pPr>
    <w:rPr>
      <w:rFonts w:ascii="Times New Roman" w:eastAsia="Times New Roman" w:hAnsi="Times New Roman"/>
      <w:sz w:val="24"/>
      <w:szCs w:val="24"/>
    </w:rPr>
  </w:style>
  <w:style w:type="paragraph" w:styleId="TOC5">
    <w:name w:val="toc 5"/>
    <w:basedOn w:val="Normal"/>
    <w:next w:val="Normal"/>
    <w:autoRedefine/>
    <w:uiPriority w:val="99"/>
    <w:pPr>
      <w:spacing w:after="0"/>
      <w:ind w:left="960"/>
    </w:pPr>
    <w:rPr>
      <w:rFonts w:ascii="Times New Roman" w:eastAsia="Times New Roman" w:hAnsi="Times New Roman"/>
      <w:sz w:val="24"/>
      <w:szCs w:val="24"/>
    </w:rPr>
  </w:style>
  <w:style w:type="paragraph" w:styleId="TOC6">
    <w:name w:val="toc 6"/>
    <w:basedOn w:val="Normal"/>
    <w:next w:val="Normal"/>
    <w:autoRedefine/>
    <w:uiPriority w:val="99"/>
    <w:pPr>
      <w:spacing w:after="0"/>
      <w:ind w:left="1200"/>
    </w:pPr>
    <w:rPr>
      <w:rFonts w:ascii="Times New Roman" w:eastAsia="Times New Roman" w:hAnsi="Times New Roman"/>
      <w:sz w:val="24"/>
      <w:szCs w:val="24"/>
    </w:rPr>
  </w:style>
  <w:style w:type="paragraph" w:styleId="TOC7">
    <w:name w:val="toc 7"/>
    <w:basedOn w:val="Normal"/>
    <w:next w:val="Normal"/>
    <w:autoRedefine/>
    <w:uiPriority w:val="99"/>
    <w:pPr>
      <w:spacing w:after="0"/>
      <w:ind w:left="1440"/>
    </w:pPr>
    <w:rPr>
      <w:rFonts w:ascii="Times New Roman" w:eastAsia="Times New Roman" w:hAnsi="Times New Roman"/>
      <w:sz w:val="24"/>
      <w:szCs w:val="24"/>
    </w:rPr>
  </w:style>
  <w:style w:type="paragraph" w:styleId="TOC8">
    <w:name w:val="toc 8"/>
    <w:basedOn w:val="Normal"/>
    <w:next w:val="Normal"/>
    <w:autoRedefine/>
    <w:uiPriority w:val="99"/>
    <w:pPr>
      <w:spacing w:after="0"/>
      <w:ind w:left="1680"/>
    </w:pPr>
    <w:rPr>
      <w:rFonts w:ascii="Times New Roman" w:eastAsia="Times New Roman" w:hAnsi="Times New Roman"/>
      <w:sz w:val="24"/>
      <w:szCs w:val="24"/>
    </w:rPr>
  </w:style>
  <w:style w:type="paragraph" w:styleId="TOC9">
    <w:name w:val="toc 9"/>
    <w:basedOn w:val="Normal"/>
    <w:next w:val="Normal"/>
    <w:autoRedefine/>
    <w:uiPriority w:val="99"/>
    <w:pPr>
      <w:spacing w:after="0"/>
      <w:ind w:left="1920"/>
    </w:pPr>
    <w:rPr>
      <w:rFonts w:ascii="Times New Roman" w:eastAsia="Times New Roman" w:hAnsi="Times New Roman"/>
      <w:sz w:val="24"/>
      <w:szCs w:val="24"/>
    </w:rPr>
  </w:style>
  <w:style w:type="character" w:customStyle="1" w:styleId="CourtNameChar">
    <w:name w:val="Court Name Char"/>
    <w:link w:val="CourtName"/>
    <w:uiPriority w:val="99"/>
    <w:locked/>
    <w:rPr>
      <w:rFonts w:ascii="Times New Roman" w:hAnsi="Times New Roman"/>
      <w:b/>
      <w:caps/>
      <w:sz w:val="24"/>
    </w:rPr>
  </w:style>
  <w:style w:type="paragraph" w:customStyle="1" w:styleId="bbbodytext0">
    <w:name w:val="bbbodytext"/>
    <w:basedOn w:val="Normal"/>
    <w:uiPriority w:val="99"/>
    <w:semiHidden/>
    <w:pPr>
      <w:spacing w:before="100" w:beforeAutospacing="1" w:after="100" w:afterAutospacing="1"/>
    </w:pPr>
    <w:rPr>
      <w:rFonts w:ascii="Times New Roman" w:hAnsi="Times New Roman"/>
      <w:sz w:val="24"/>
      <w:szCs w:val="24"/>
    </w:rPr>
  </w:style>
  <w:style w:type="character" w:customStyle="1" w:styleId="CharChar2">
    <w:name w:val="Char Char2"/>
    <w:uiPriority w:val="99"/>
    <w:locked/>
    <w:rPr>
      <w:sz w:val="20"/>
    </w:rPr>
  </w:style>
  <w:style w:type="character" w:customStyle="1" w:styleId="CharChar1">
    <w:name w:val="Char Char1"/>
    <w:uiPriority w:val="99"/>
    <w:locked/>
    <w:rPr>
      <w:sz w:val="20"/>
    </w:rPr>
  </w:style>
  <w:style w:type="paragraph" w:customStyle="1" w:styleId="StyleCenturySchoolbookJustifiedFirstline05">
    <w:name w:val="Style Century Schoolbook Justified First line:  0.5&quot;"/>
    <w:basedOn w:val="Normal"/>
    <w:uiPriority w:val="99"/>
    <w:pPr>
      <w:ind w:firstLine="720"/>
      <w:jc w:val="both"/>
    </w:pPr>
    <w:rPr>
      <w:szCs w:val="20"/>
    </w:rPr>
  </w:style>
  <w:style w:type="paragraph" w:customStyle="1" w:styleId="StyleListParagraphLatinCenturySchoolbookJustifiedLeft">
    <w:name w:val="Style List Paragraph + (Latin) Century Schoolbook Justified Left:..."/>
    <w:basedOn w:val="ListParagraph"/>
    <w:uiPriority w:val="99"/>
    <w:pPr>
      <w:ind w:left="0" w:firstLine="720"/>
      <w:jc w:val="both"/>
    </w:pPr>
    <w:rPr>
      <w:rFonts w:ascii="Century Schoolbook" w:eastAsia="Calibri" w:hAnsi="Century Schoolbook"/>
      <w:sz w:val="22"/>
      <w:szCs w:val="20"/>
    </w:rPr>
  </w:style>
  <w:style w:type="paragraph" w:customStyle="1" w:styleId="StyleCenturySchoolbook105ptJustified">
    <w:name w:val="Style Century Schoolbook 10.5 pt Justified"/>
    <w:basedOn w:val="Normal"/>
    <w:uiPriority w:val="99"/>
    <w:pPr>
      <w:jc w:val="both"/>
    </w:pPr>
    <w:rPr>
      <w:szCs w:val="20"/>
    </w:rPr>
  </w:style>
  <w:style w:type="paragraph" w:customStyle="1" w:styleId="FirmBodyText">
    <w:name w:val="Firm Body Text"/>
    <w:basedOn w:val="Normal"/>
    <w:uiPriority w:val="99"/>
    <w:pPr>
      <w:spacing w:after="200" w:line="276" w:lineRule="auto"/>
    </w:pPr>
    <w:rPr>
      <w:rFonts w:ascii="Calibri" w:eastAsia="Times New Roman" w:hAnsi="Calibri"/>
    </w:rPr>
  </w:style>
  <w:style w:type="paragraph" w:customStyle="1" w:styleId="FirmBodyPleading">
    <w:name w:val="Firm Body Pleading"/>
    <w:basedOn w:val="FirmBodyText"/>
    <w:uiPriority w:val="99"/>
    <w:pPr>
      <w:spacing w:line="480" w:lineRule="auto"/>
      <w:ind w:firstLine="720"/>
      <w:jc w:val="both"/>
    </w:pPr>
  </w:style>
  <w:style w:type="character" w:customStyle="1" w:styleId="apple-converted-space">
    <w:name w:val="apple-converted-space"/>
    <w:basedOn w:val="DefaultParagraphFont"/>
    <w:uiPriority w:val="99"/>
    <w:rPr>
      <w:rFonts w:cs="Times New Roman"/>
    </w:rPr>
  </w:style>
  <w:style w:type="paragraph" w:customStyle="1" w:styleId="BBBodyTextFlush">
    <w:name w:val="BB Body Text Flush"/>
    <w:basedOn w:val="Normal"/>
    <w:uiPriority w:val="99"/>
    <w:pPr>
      <w:spacing w:after="240"/>
      <w:jc w:val="both"/>
    </w:pPr>
    <w:rPr>
      <w:rFonts w:ascii="Times New Roman" w:eastAsia="Times New Roman" w:hAnsi="Times New Roman"/>
      <w:sz w:val="24"/>
      <w:szCs w:val="24"/>
    </w:rPr>
  </w:style>
  <w:style w:type="paragraph" w:customStyle="1" w:styleId="BBBodyTextFlush2">
    <w:name w:val="BB Body Text Flush 2"/>
    <w:basedOn w:val="Normal"/>
    <w:uiPriority w:val="99"/>
    <w:pPr>
      <w:spacing w:after="0" w:line="480" w:lineRule="auto"/>
      <w:jc w:val="both"/>
    </w:pPr>
    <w:rPr>
      <w:rFonts w:ascii="Times New Roman" w:eastAsia="Times New Roman" w:hAnsi="Times New Roman"/>
      <w:sz w:val="24"/>
      <w:szCs w:val="24"/>
    </w:rPr>
  </w:style>
  <w:style w:type="paragraph" w:customStyle="1" w:styleId="BBDepoSummary">
    <w:name w:val="BB Depo Summary"/>
    <w:basedOn w:val="BBBodyText"/>
    <w:uiPriority w:val="99"/>
    <w:pPr>
      <w:ind w:left="1440" w:hanging="1440"/>
    </w:pPr>
  </w:style>
  <w:style w:type="paragraph" w:customStyle="1" w:styleId="BBDoubleIndent2">
    <w:name w:val="BB Double Indent 2"/>
    <w:basedOn w:val="Normal"/>
    <w:uiPriority w:val="99"/>
    <w:pPr>
      <w:spacing w:after="240"/>
      <w:ind w:left="1440" w:right="1440"/>
      <w:jc w:val="both"/>
    </w:pPr>
    <w:rPr>
      <w:rFonts w:ascii="Times New Roman" w:eastAsia="Times New Roman" w:hAnsi="Times New Roman"/>
      <w:sz w:val="24"/>
      <w:szCs w:val="24"/>
    </w:rPr>
  </w:style>
  <w:style w:type="paragraph" w:customStyle="1" w:styleId="BBMainHeading2">
    <w:name w:val="BB Main Heading 2"/>
    <w:basedOn w:val="Normal"/>
    <w:next w:val="BBBodyText"/>
    <w:uiPriority w:val="99"/>
    <w:pPr>
      <w:keepNext/>
      <w:spacing w:after="240"/>
      <w:jc w:val="center"/>
    </w:pPr>
    <w:rPr>
      <w:rFonts w:ascii="Times New Roman" w:eastAsia="Times New Roman" w:hAnsi="Times New Roman"/>
      <w:b/>
      <w:caps/>
      <w:sz w:val="24"/>
      <w:szCs w:val="24"/>
    </w:rPr>
  </w:style>
  <w:style w:type="paragraph" w:customStyle="1" w:styleId="BBSubHeading">
    <w:name w:val="BB Sub Heading"/>
    <w:basedOn w:val="Normal"/>
    <w:next w:val="BBBodyText"/>
    <w:uiPriority w:val="99"/>
    <w:pPr>
      <w:keepNext/>
      <w:spacing w:after="240"/>
    </w:pPr>
    <w:rPr>
      <w:rFonts w:ascii="Times New Roman" w:eastAsia="Times New Roman" w:hAnsi="Times New Roman"/>
      <w:b/>
      <w:sz w:val="24"/>
      <w:szCs w:val="24"/>
      <w:u w:val="single"/>
    </w:rPr>
  </w:style>
  <w:style w:type="paragraph" w:customStyle="1" w:styleId="BBTableText">
    <w:name w:val="BB Table Text"/>
    <w:basedOn w:val="Normal"/>
    <w:uiPriority w:val="99"/>
    <w:pPr>
      <w:spacing w:after="0"/>
    </w:pPr>
    <w:rPr>
      <w:rFonts w:ascii="Times New Roman" w:eastAsia="Times New Roman" w:hAnsi="Times New Roman"/>
      <w:sz w:val="24"/>
      <w:szCs w:val="24"/>
    </w:rPr>
  </w:style>
  <w:style w:type="paragraph" w:customStyle="1" w:styleId="BBBullets">
    <w:name w:val="BB Bullets"/>
    <w:basedOn w:val="Normal"/>
    <w:uiPriority w:val="99"/>
    <w:pPr>
      <w:numPr>
        <w:numId w:val="27"/>
      </w:numPr>
      <w:tabs>
        <w:tab w:val="num" w:pos="360"/>
      </w:tabs>
      <w:spacing w:after="240"/>
      <w:ind w:left="360" w:hanging="360"/>
      <w:jc w:val="both"/>
    </w:pPr>
    <w:rPr>
      <w:rFonts w:ascii="Times New Roman" w:eastAsia="Times New Roman" w:hAnsi="Times New Roman"/>
      <w:sz w:val="24"/>
      <w:szCs w:val="24"/>
    </w:rPr>
  </w:style>
  <w:style w:type="paragraph" w:customStyle="1" w:styleId="BBNumberIndent">
    <w:name w:val="BB Number Indent"/>
    <w:basedOn w:val="Normal"/>
    <w:uiPriority w:val="99"/>
    <w:pPr>
      <w:numPr>
        <w:numId w:val="28"/>
      </w:numPr>
      <w:tabs>
        <w:tab w:val="num" w:pos="720"/>
      </w:tabs>
      <w:spacing w:after="240"/>
      <w:ind w:left="720" w:hanging="360"/>
      <w:jc w:val="both"/>
    </w:pPr>
    <w:rPr>
      <w:rFonts w:ascii="Times New Roman" w:eastAsia="Times New Roman" w:hAnsi="Times New Roman"/>
      <w:sz w:val="24"/>
      <w:szCs w:val="24"/>
    </w:rPr>
  </w:style>
  <w:style w:type="paragraph" w:customStyle="1" w:styleId="BBNumberIndent2">
    <w:name w:val="BB Number Indent 2"/>
    <w:basedOn w:val="Normal"/>
    <w:uiPriority w:val="99"/>
    <w:pPr>
      <w:numPr>
        <w:numId w:val="29"/>
      </w:numPr>
      <w:tabs>
        <w:tab w:val="num" w:pos="1080"/>
      </w:tabs>
      <w:spacing w:after="0" w:line="480" w:lineRule="auto"/>
      <w:ind w:left="1080" w:hanging="360"/>
      <w:jc w:val="both"/>
    </w:pPr>
    <w:rPr>
      <w:rFonts w:ascii="Times New Roman" w:eastAsia="Times New Roman" w:hAnsi="Times New Roman"/>
      <w:sz w:val="24"/>
      <w:szCs w:val="24"/>
    </w:rPr>
  </w:style>
  <w:style w:type="paragraph" w:customStyle="1" w:styleId="BBNumberedBodyText">
    <w:name w:val="BB Numbered Body Text"/>
    <w:basedOn w:val="Normal"/>
    <w:uiPriority w:val="99"/>
    <w:pPr>
      <w:numPr>
        <w:numId w:val="30"/>
      </w:numPr>
      <w:tabs>
        <w:tab w:val="num" w:pos="1440"/>
      </w:tabs>
      <w:spacing w:after="240"/>
      <w:ind w:left="1440" w:hanging="360"/>
      <w:jc w:val="both"/>
    </w:pPr>
    <w:rPr>
      <w:rFonts w:ascii="Times New Roman" w:eastAsia="Times New Roman" w:hAnsi="Times New Roman"/>
      <w:sz w:val="24"/>
      <w:szCs w:val="24"/>
    </w:rPr>
  </w:style>
  <w:style w:type="paragraph" w:customStyle="1" w:styleId="BBNumberedQuoteIndent">
    <w:name w:val="BB Numbered Quote Indent"/>
    <w:basedOn w:val="Normal"/>
    <w:uiPriority w:val="99"/>
    <w:pPr>
      <w:numPr>
        <w:numId w:val="31"/>
      </w:numPr>
      <w:tabs>
        <w:tab w:val="num" w:pos="1800"/>
      </w:tabs>
      <w:spacing w:after="0"/>
      <w:ind w:left="1800" w:hanging="360"/>
      <w:jc w:val="both"/>
    </w:pPr>
    <w:rPr>
      <w:rFonts w:ascii="Times New Roman" w:eastAsia="Times New Roman" w:hAnsi="Times New Roman"/>
      <w:sz w:val="24"/>
      <w:szCs w:val="24"/>
    </w:rPr>
  </w:style>
  <w:style w:type="paragraph" w:customStyle="1" w:styleId="BBQStyle">
    <w:name w:val="BB Q Style"/>
    <w:basedOn w:val="Normal"/>
    <w:next w:val="BBAStyle"/>
    <w:uiPriority w:val="99"/>
    <w:pPr>
      <w:numPr>
        <w:numId w:val="32"/>
      </w:numPr>
      <w:tabs>
        <w:tab w:val="clear" w:pos="1440"/>
        <w:tab w:val="num" w:pos="360"/>
      </w:tabs>
      <w:spacing w:after="0"/>
      <w:ind w:left="360" w:hanging="360"/>
      <w:jc w:val="both"/>
    </w:pPr>
    <w:rPr>
      <w:rFonts w:ascii="Times New Roman" w:eastAsia="Times New Roman" w:hAnsi="Times New Roman"/>
      <w:sz w:val="24"/>
      <w:szCs w:val="24"/>
    </w:rPr>
  </w:style>
  <w:style w:type="paragraph" w:customStyle="1" w:styleId="BBAStyle">
    <w:name w:val="BB A Style"/>
    <w:basedOn w:val="Normal"/>
    <w:next w:val="BBQStyle"/>
    <w:uiPriority w:val="99"/>
    <w:pPr>
      <w:numPr>
        <w:ilvl w:val="1"/>
        <w:numId w:val="32"/>
      </w:numPr>
      <w:tabs>
        <w:tab w:val="clear" w:pos="1440"/>
        <w:tab w:val="num" w:pos="360"/>
      </w:tabs>
      <w:spacing w:after="240"/>
      <w:ind w:left="360" w:hanging="360"/>
      <w:jc w:val="both"/>
    </w:pPr>
    <w:rPr>
      <w:rFonts w:ascii="Times New Roman" w:eastAsia="Times New Roman" w:hAnsi="Times New Roman"/>
      <w:sz w:val="24"/>
      <w:szCs w:val="24"/>
    </w:rPr>
  </w:style>
  <w:style w:type="paragraph" w:customStyle="1" w:styleId="BBNumberedBodyText2">
    <w:name w:val="BB Numbered Body Text 2"/>
    <w:basedOn w:val="NormalWeb"/>
    <w:uiPriority w:val="99"/>
    <w:pPr>
      <w:numPr>
        <w:numId w:val="33"/>
      </w:numPr>
      <w:tabs>
        <w:tab w:val="num" w:pos="720"/>
      </w:tabs>
      <w:spacing w:line="480" w:lineRule="auto"/>
      <w:ind w:left="720" w:hanging="360"/>
    </w:pPr>
  </w:style>
  <w:style w:type="paragraph" w:customStyle="1" w:styleId="NoteHeading1">
    <w:name w:val="Note Heading1"/>
    <w:basedOn w:val="Normal"/>
    <w:next w:val="Normal"/>
    <w:uiPriority w:val="99"/>
    <w:semiHidden/>
    <w:pPr>
      <w:spacing w:after="0"/>
    </w:pPr>
    <w:rPr>
      <w:rFonts w:ascii="Times New Roman" w:eastAsia="Times New Roman" w:hAnsi="Times New Roman"/>
      <w:sz w:val="24"/>
      <w:szCs w:val="24"/>
    </w:rPr>
  </w:style>
  <w:style w:type="character" w:customStyle="1" w:styleId="costarpage2">
    <w:name w:val="co_starpage2"/>
    <w:basedOn w:val="DefaultParagraphFont"/>
    <w:uiPriority w:val="99"/>
    <w:rPr>
      <w:rFonts w:cs="Times New Roman"/>
    </w:rPr>
  </w:style>
  <w:style w:type="numbering" w:styleId="ArticleSection">
    <w:name w:val="Outline List 3"/>
    <w:basedOn w:val="NoList"/>
    <w:uiPriority w:val="99"/>
    <w:semiHidden/>
    <w:unhideWhenUsed/>
    <w:locked/>
    <w:pPr>
      <w:numPr>
        <w:numId w:val="23"/>
      </w:numPr>
    </w:pPr>
  </w:style>
  <w:style w:type="numbering" w:styleId="1ai">
    <w:name w:val="Outline List 1"/>
    <w:basedOn w:val="NoList"/>
    <w:uiPriority w:val="99"/>
    <w:semiHidden/>
    <w:unhideWhenUsed/>
    <w:locked/>
    <w:pPr>
      <w:numPr>
        <w:numId w:val="22"/>
      </w:numPr>
    </w:pPr>
  </w:style>
  <w:style w:type="numbering" w:styleId="111111">
    <w:name w:val="Outline List 2"/>
    <w:basedOn w:val="NoList"/>
    <w:uiPriority w:val="99"/>
    <w:semiHidden/>
    <w:unhideWhenUsed/>
    <w:locked/>
    <w:pPr>
      <w:numPr>
        <w:numId w:val="21"/>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603153">
      <w:marLeft w:val="0"/>
      <w:marRight w:val="0"/>
      <w:marTop w:val="0"/>
      <w:marBottom w:val="0"/>
      <w:divBdr>
        <w:top w:val="none" w:sz="0" w:space="0" w:color="auto"/>
        <w:left w:val="none" w:sz="0" w:space="0" w:color="auto"/>
        <w:bottom w:val="none" w:sz="0" w:space="0" w:color="auto"/>
        <w:right w:val="none" w:sz="0" w:space="0" w:color="auto"/>
      </w:divBdr>
    </w:div>
    <w:div w:id="150603154">
      <w:marLeft w:val="0"/>
      <w:marRight w:val="0"/>
      <w:marTop w:val="0"/>
      <w:marBottom w:val="0"/>
      <w:divBdr>
        <w:top w:val="none" w:sz="0" w:space="0" w:color="auto"/>
        <w:left w:val="none" w:sz="0" w:space="0" w:color="auto"/>
        <w:bottom w:val="none" w:sz="0" w:space="0" w:color="auto"/>
        <w:right w:val="none" w:sz="0" w:space="0" w:color="auto"/>
      </w:divBdr>
    </w:div>
    <w:div w:id="150603155">
      <w:marLeft w:val="0"/>
      <w:marRight w:val="0"/>
      <w:marTop w:val="0"/>
      <w:marBottom w:val="0"/>
      <w:divBdr>
        <w:top w:val="none" w:sz="0" w:space="0" w:color="auto"/>
        <w:left w:val="none" w:sz="0" w:space="0" w:color="auto"/>
        <w:bottom w:val="none" w:sz="0" w:space="0" w:color="auto"/>
        <w:right w:val="none" w:sz="0" w:space="0" w:color="auto"/>
      </w:divBdr>
    </w:div>
    <w:div w:id="150603156">
      <w:marLeft w:val="0"/>
      <w:marRight w:val="0"/>
      <w:marTop w:val="0"/>
      <w:marBottom w:val="0"/>
      <w:divBdr>
        <w:top w:val="none" w:sz="0" w:space="0" w:color="auto"/>
        <w:left w:val="none" w:sz="0" w:space="0" w:color="auto"/>
        <w:bottom w:val="none" w:sz="0" w:space="0" w:color="auto"/>
        <w:right w:val="none" w:sz="0" w:space="0" w:color="auto"/>
      </w:divBdr>
    </w:div>
    <w:div w:id="150603157">
      <w:marLeft w:val="0"/>
      <w:marRight w:val="0"/>
      <w:marTop w:val="0"/>
      <w:marBottom w:val="0"/>
      <w:divBdr>
        <w:top w:val="none" w:sz="0" w:space="0" w:color="auto"/>
        <w:left w:val="none" w:sz="0" w:space="0" w:color="auto"/>
        <w:bottom w:val="none" w:sz="0" w:space="0" w:color="auto"/>
        <w:right w:val="none" w:sz="0" w:space="0" w:color="auto"/>
      </w:divBdr>
    </w:div>
    <w:div w:id="150603158">
      <w:marLeft w:val="0"/>
      <w:marRight w:val="0"/>
      <w:marTop w:val="0"/>
      <w:marBottom w:val="0"/>
      <w:divBdr>
        <w:top w:val="none" w:sz="0" w:space="0" w:color="auto"/>
        <w:left w:val="none" w:sz="0" w:space="0" w:color="auto"/>
        <w:bottom w:val="none" w:sz="0" w:space="0" w:color="auto"/>
        <w:right w:val="none" w:sz="0" w:space="0" w:color="auto"/>
      </w:divBdr>
    </w:div>
    <w:div w:id="150603159">
      <w:marLeft w:val="0"/>
      <w:marRight w:val="0"/>
      <w:marTop w:val="0"/>
      <w:marBottom w:val="0"/>
      <w:divBdr>
        <w:top w:val="none" w:sz="0" w:space="0" w:color="auto"/>
        <w:left w:val="none" w:sz="0" w:space="0" w:color="auto"/>
        <w:bottom w:val="none" w:sz="0" w:space="0" w:color="auto"/>
        <w:right w:val="none" w:sz="0" w:space="0" w:color="auto"/>
      </w:divBdr>
    </w:div>
    <w:div w:id="150603160">
      <w:marLeft w:val="0"/>
      <w:marRight w:val="0"/>
      <w:marTop w:val="0"/>
      <w:marBottom w:val="0"/>
      <w:divBdr>
        <w:top w:val="none" w:sz="0" w:space="0" w:color="auto"/>
        <w:left w:val="none" w:sz="0" w:space="0" w:color="auto"/>
        <w:bottom w:val="none" w:sz="0" w:space="0" w:color="auto"/>
        <w:right w:val="none" w:sz="0" w:space="0" w:color="auto"/>
      </w:divBdr>
    </w:div>
    <w:div w:id="150603161">
      <w:marLeft w:val="0"/>
      <w:marRight w:val="0"/>
      <w:marTop w:val="0"/>
      <w:marBottom w:val="0"/>
      <w:divBdr>
        <w:top w:val="none" w:sz="0" w:space="0" w:color="auto"/>
        <w:left w:val="none" w:sz="0" w:space="0" w:color="auto"/>
        <w:bottom w:val="none" w:sz="0" w:space="0" w:color="auto"/>
        <w:right w:val="none" w:sz="0" w:space="0" w:color="auto"/>
      </w:divBdr>
    </w:div>
    <w:div w:id="150603162">
      <w:marLeft w:val="0"/>
      <w:marRight w:val="0"/>
      <w:marTop w:val="0"/>
      <w:marBottom w:val="0"/>
      <w:divBdr>
        <w:top w:val="none" w:sz="0" w:space="0" w:color="auto"/>
        <w:left w:val="none" w:sz="0" w:space="0" w:color="auto"/>
        <w:bottom w:val="none" w:sz="0" w:space="0" w:color="auto"/>
        <w:right w:val="none" w:sz="0" w:space="0" w:color="auto"/>
      </w:divBdr>
    </w:div>
    <w:div w:id="150603163">
      <w:marLeft w:val="0"/>
      <w:marRight w:val="0"/>
      <w:marTop w:val="0"/>
      <w:marBottom w:val="0"/>
      <w:divBdr>
        <w:top w:val="none" w:sz="0" w:space="0" w:color="auto"/>
        <w:left w:val="none" w:sz="0" w:space="0" w:color="auto"/>
        <w:bottom w:val="none" w:sz="0" w:space="0" w:color="auto"/>
        <w:right w:val="none" w:sz="0" w:space="0" w:color="auto"/>
      </w:divBdr>
    </w:div>
    <w:div w:id="150603164">
      <w:marLeft w:val="0"/>
      <w:marRight w:val="0"/>
      <w:marTop w:val="0"/>
      <w:marBottom w:val="0"/>
      <w:divBdr>
        <w:top w:val="none" w:sz="0" w:space="0" w:color="auto"/>
        <w:left w:val="none" w:sz="0" w:space="0" w:color="auto"/>
        <w:bottom w:val="none" w:sz="0" w:space="0" w:color="auto"/>
        <w:right w:val="none" w:sz="0" w:space="0" w:color="auto"/>
      </w:divBdr>
    </w:div>
    <w:div w:id="150603165">
      <w:marLeft w:val="0"/>
      <w:marRight w:val="0"/>
      <w:marTop w:val="0"/>
      <w:marBottom w:val="0"/>
      <w:divBdr>
        <w:top w:val="none" w:sz="0" w:space="0" w:color="auto"/>
        <w:left w:val="none" w:sz="0" w:space="0" w:color="auto"/>
        <w:bottom w:val="none" w:sz="0" w:space="0" w:color="auto"/>
        <w:right w:val="none" w:sz="0" w:space="0" w:color="auto"/>
      </w:divBdr>
    </w:div>
    <w:div w:id="150603166">
      <w:marLeft w:val="0"/>
      <w:marRight w:val="0"/>
      <w:marTop w:val="0"/>
      <w:marBottom w:val="0"/>
      <w:divBdr>
        <w:top w:val="none" w:sz="0" w:space="0" w:color="auto"/>
        <w:left w:val="none" w:sz="0" w:space="0" w:color="auto"/>
        <w:bottom w:val="none" w:sz="0" w:space="0" w:color="auto"/>
        <w:right w:val="none" w:sz="0" w:space="0" w:color="auto"/>
      </w:divBdr>
    </w:div>
    <w:div w:id="150603167">
      <w:marLeft w:val="0"/>
      <w:marRight w:val="0"/>
      <w:marTop w:val="0"/>
      <w:marBottom w:val="0"/>
      <w:divBdr>
        <w:top w:val="none" w:sz="0" w:space="0" w:color="auto"/>
        <w:left w:val="none" w:sz="0" w:space="0" w:color="auto"/>
        <w:bottom w:val="none" w:sz="0" w:space="0" w:color="auto"/>
        <w:right w:val="none" w:sz="0" w:space="0" w:color="auto"/>
      </w:divBdr>
    </w:div>
    <w:div w:id="150603168">
      <w:marLeft w:val="0"/>
      <w:marRight w:val="0"/>
      <w:marTop w:val="0"/>
      <w:marBottom w:val="0"/>
      <w:divBdr>
        <w:top w:val="none" w:sz="0" w:space="0" w:color="auto"/>
        <w:left w:val="none" w:sz="0" w:space="0" w:color="auto"/>
        <w:bottom w:val="none" w:sz="0" w:space="0" w:color="auto"/>
        <w:right w:val="none" w:sz="0" w:space="0" w:color="auto"/>
      </w:divBdr>
    </w:div>
    <w:div w:id="150603169">
      <w:marLeft w:val="0"/>
      <w:marRight w:val="0"/>
      <w:marTop w:val="0"/>
      <w:marBottom w:val="0"/>
      <w:divBdr>
        <w:top w:val="none" w:sz="0" w:space="0" w:color="auto"/>
        <w:left w:val="none" w:sz="0" w:space="0" w:color="auto"/>
        <w:bottom w:val="none" w:sz="0" w:space="0" w:color="auto"/>
        <w:right w:val="none" w:sz="0" w:space="0" w:color="auto"/>
      </w:divBdr>
    </w:div>
    <w:div w:id="150603170">
      <w:marLeft w:val="0"/>
      <w:marRight w:val="0"/>
      <w:marTop w:val="0"/>
      <w:marBottom w:val="0"/>
      <w:divBdr>
        <w:top w:val="none" w:sz="0" w:space="0" w:color="auto"/>
        <w:left w:val="none" w:sz="0" w:space="0" w:color="auto"/>
        <w:bottom w:val="none" w:sz="0" w:space="0" w:color="auto"/>
        <w:right w:val="none" w:sz="0" w:space="0" w:color="auto"/>
      </w:divBdr>
    </w:div>
    <w:div w:id="150603171">
      <w:marLeft w:val="0"/>
      <w:marRight w:val="0"/>
      <w:marTop w:val="0"/>
      <w:marBottom w:val="0"/>
      <w:divBdr>
        <w:top w:val="none" w:sz="0" w:space="0" w:color="auto"/>
        <w:left w:val="none" w:sz="0" w:space="0" w:color="auto"/>
        <w:bottom w:val="none" w:sz="0" w:space="0" w:color="auto"/>
        <w:right w:val="none" w:sz="0" w:space="0" w:color="auto"/>
      </w:divBdr>
    </w:div>
    <w:div w:id="150603172">
      <w:marLeft w:val="0"/>
      <w:marRight w:val="0"/>
      <w:marTop w:val="0"/>
      <w:marBottom w:val="0"/>
      <w:divBdr>
        <w:top w:val="none" w:sz="0" w:space="0" w:color="auto"/>
        <w:left w:val="none" w:sz="0" w:space="0" w:color="auto"/>
        <w:bottom w:val="none" w:sz="0" w:space="0" w:color="auto"/>
        <w:right w:val="none" w:sz="0" w:space="0" w:color="auto"/>
      </w:divBdr>
    </w:div>
    <w:div w:id="150603173">
      <w:marLeft w:val="0"/>
      <w:marRight w:val="0"/>
      <w:marTop w:val="0"/>
      <w:marBottom w:val="0"/>
      <w:divBdr>
        <w:top w:val="none" w:sz="0" w:space="0" w:color="auto"/>
        <w:left w:val="none" w:sz="0" w:space="0" w:color="auto"/>
        <w:bottom w:val="none" w:sz="0" w:space="0" w:color="auto"/>
        <w:right w:val="none" w:sz="0" w:space="0" w:color="auto"/>
      </w:divBdr>
    </w:div>
    <w:div w:id="150603174">
      <w:marLeft w:val="0"/>
      <w:marRight w:val="0"/>
      <w:marTop w:val="0"/>
      <w:marBottom w:val="0"/>
      <w:divBdr>
        <w:top w:val="none" w:sz="0" w:space="0" w:color="auto"/>
        <w:left w:val="none" w:sz="0" w:space="0" w:color="auto"/>
        <w:bottom w:val="none" w:sz="0" w:space="0" w:color="auto"/>
        <w:right w:val="none" w:sz="0" w:space="0" w:color="auto"/>
      </w:divBdr>
    </w:div>
    <w:div w:id="15060317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footer" Target="footer7.xml"/><Relationship Id="rId39" Type="http://schemas.openxmlformats.org/officeDocument/2006/relationships/image" Target="media/image21.jpeg"/><Relationship Id="rId21" Type="http://schemas.openxmlformats.org/officeDocument/2006/relationships/image" Target="media/image7.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header" Target="header6.xml"/><Relationship Id="rId50" Type="http://schemas.openxmlformats.org/officeDocument/2006/relationships/image" Target="media/image27.jpeg"/><Relationship Id="rId55" Type="http://schemas.openxmlformats.org/officeDocument/2006/relationships/image" Target="media/image32.jpe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image" Target="media/image6.jpeg"/><Relationship Id="rId29" Type="http://schemas.openxmlformats.org/officeDocument/2006/relationships/image" Target="media/image11.jpeg"/><Relationship Id="rId41" Type="http://schemas.openxmlformats.org/officeDocument/2006/relationships/image" Target="media/image23.jpeg"/><Relationship Id="rId54" Type="http://schemas.openxmlformats.org/officeDocument/2006/relationships/image" Target="media/image31.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image" Target="media/image14.pn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footer" Target="footer9.xml"/><Relationship Id="rId53" Type="http://schemas.openxmlformats.org/officeDocument/2006/relationships/image" Target="media/image30.png"/><Relationship Id="rId58"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footer" Target="footer5.xml"/><Relationship Id="rId28" Type="http://schemas.openxmlformats.org/officeDocument/2006/relationships/footer" Target="footer8.xml"/><Relationship Id="rId36" Type="http://schemas.openxmlformats.org/officeDocument/2006/relationships/image" Target="media/image18.jpeg"/><Relationship Id="rId49" Type="http://schemas.openxmlformats.org/officeDocument/2006/relationships/image" Target="media/image26.jpeg"/><Relationship Id="rId57" Type="http://schemas.openxmlformats.org/officeDocument/2006/relationships/image" Target="media/image34.jpeg"/><Relationship Id="rId61"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5.jpeg"/><Relationship Id="rId31" Type="http://schemas.openxmlformats.org/officeDocument/2006/relationships/image" Target="media/image13.jpeg"/><Relationship Id="rId44" Type="http://schemas.openxmlformats.org/officeDocument/2006/relationships/header" Target="header5.xml"/><Relationship Id="rId52" Type="http://schemas.openxmlformats.org/officeDocument/2006/relationships/image" Target="media/image29.jpeg"/><Relationship Id="rId60"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image" Target="media/image10.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header" Target="header4.xml"/><Relationship Id="rId48" Type="http://schemas.openxmlformats.org/officeDocument/2006/relationships/image" Target="media/image25.jpeg"/><Relationship Id="rId56" Type="http://schemas.openxmlformats.org/officeDocument/2006/relationships/image" Target="media/image33.jpeg"/><Relationship Id="rId8" Type="http://schemas.openxmlformats.org/officeDocument/2006/relationships/image" Target="media/image1.jpeg"/><Relationship Id="rId51" Type="http://schemas.openxmlformats.org/officeDocument/2006/relationships/image" Target="media/image28.jpeg"/><Relationship Id="rId3" Type="http://schemas.microsoft.com/office/2007/relationships/stylesWithEffects" Target="stylesWithEffect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footer" Target="footer6.xml"/><Relationship Id="rId33" Type="http://schemas.openxmlformats.org/officeDocument/2006/relationships/image" Target="media/image15.png"/><Relationship Id="rId38" Type="http://schemas.openxmlformats.org/officeDocument/2006/relationships/image" Target="media/image20.jpeg"/><Relationship Id="rId46" Type="http://schemas.openxmlformats.org/officeDocument/2006/relationships/footer" Target="footer10.xml"/><Relationship Id="rId59"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212</Pages>
  <Words>72781</Words>
  <Characters>387201</Characters>
  <Application>Microsoft Office Word</Application>
  <DocSecurity>0</DocSecurity>
  <Lines>14340</Lines>
  <Paragraphs>1164</Paragraphs>
  <ScaleCrop>false</ScaleCrop>
  <Company>GMLJ</Company>
  <LinksUpToDate>false</LinksUpToDate>
  <CharactersWithSpaces>458818</CharactersWithSpaces>
  <SharedDoc>false</SharedDoc>
  <HyperlinksChanged>false</HyperlinksChanged>
  <AppVersion>14.0000</AppVersion>
</Properties>
</file>

<file path=docProps/core.xml><?xml version="1.0" encoding="utf-8"?>
<coreProperties xmlns:dc="http://purl.org/dc/elements/1.1/" xmlns:dcterms="http://purl.org/dc/terms/" xmlns:xsi="http://www.w3.org/2001/XMLSchema-instance" xmlns="http://schemas.openxmlformats.org/package/2006/metadata/core-properties">
  <dc:title>Georgia Defense Lawyers Association</dc:title>
  <dc:subject>Law Journal 2013</dc:subject>
  <dc:creator>Pamela Hamilton</dc:creator>
  <keywords/>
  <dc:description/>
  <lastModifiedBy>Drew, Eckl &amp; Farnham</lastModifiedBy>
  <revision>1</revision>
  <dcterms:created xsi:type="dcterms:W3CDTF">2014-05-07T18:38:01.6213187Z</dcterms:created>
  <dcterms:modified xsi:type="dcterms:W3CDTF">2014-05-07T18:38:01.6213187Z</dcterms:modified>
  <version>0</version>
</coreProperties>
</file>