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08542118"/>
        <w:docPartObj>
          <w:docPartGallery w:val="Cover Pages"/>
          <w:docPartUnique/>
        </w:docPartObj>
      </w:sdtPr>
      <w:sdtEndPr>
        <w:rPr>
          <w:b/>
          <w:bCs/>
        </w:rPr>
      </w:sdtEndPr>
      <w:sdtContent>
        <w:p w:rsidR="009B62EB" w:rsidRDefault="00424BE1" w:rsidP="00424BE1">
          <w:pPr>
            <w:jc w:val="center"/>
          </w:pPr>
          <w:r>
            <w:rPr>
              <w:b/>
              <w:bCs/>
              <w:noProof/>
            </w:rPr>
            <w:drawing>
              <wp:inline distT="0" distB="0" distL="0" distR="0" wp14:anchorId="1D9E144B" wp14:editId="547D3B04">
                <wp:extent cx="5397500" cy="7924800"/>
                <wp:effectExtent l="0" t="0" r="0" b="0"/>
                <wp:docPr id="228" name="Picture 228" descr="I:\Home\PDM\G.D.L.A\Journal\2013\Articles\For Alena\Journal-Cover-2013-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Home\PDM\G.D.L.A\Journal\2013\Articles\For Alena\Journal-Cover-2013-PROO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0" cy="7924800"/>
                        </a:xfrm>
                        <a:prstGeom prst="rect">
                          <a:avLst/>
                        </a:prstGeom>
                        <a:noFill/>
                        <a:ln>
                          <a:noFill/>
                        </a:ln>
                      </pic:spPr>
                    </pic:pic>
                  </a:graphicData>
                </a:graphic>
              </wp:inline>
            </w:drawing>
          </w:r>
          <w:r w:rsidR="009B62EB">
            <w:rPr>
              <w:b/>
              <w:bCs/>
            </w:rPr>
            <w:br w:type="page"/>
          </w:r>
        </w:p>
      </w:sdtContent>
    </w:sdt>
    <w:p w:rsidR="00E16721" w:rsidRDefault="004A08C1" w:rsidP="00E16721">
      <w:pPr>
        <w:jc w:val="center"/>
        <w:rPr>
          <w:rFonts w:ascii="Century Schoolbook" w:eastAsiaTheme="minorEastAsia" w:hAnsi="Century Schoolbook"/>
          <w:b/>
          <w:bCs/>
          <w:sz w:val="28"/>
          <w:szCs w:val="28"/>
        </w:rPr>
      </w:pPr>
      <w:r>
        <w:rPr>
          <w:rFonts w:ascii="Century Schoolbook" w:eastAsiaTheme="minorEastAsia" w:hAnsi="Century Schoolbook"/>
          <w:b/>
          <w:bCs/>
          <w:sz w:val="28"/>
          <w:szCs w:val="28"/>
        </w:rPr>
        <w:lastRenderedPageBreak/>
        <w:t>TABLE OF CONTENTS</w:t>
      </w:r>
    </w:p>
    <w:p w:rsidR="00A27972" w:rsidRDefault="00BE512E" w:rsidP="00323493">
      <w:pPr>
        <w:pStyle w:val="TOC1"/>
        <w:spacing w:before="60" w:after="200" w:line="240" w:lineRule="auto"/>
        <w:rPr>
          <w:rFonts w:asciiTheme="minorHAnsi" w:hAnsiTheme="minorHAnsi"/>
          <w:b w:val="0"/>
          <w:szCs w:val="22"/>
          <w:lang w:eastAsia="en-US"/>
        </w:rPr>
      </w:pPr>
      <w:r>
        <w:rPr>
          <w:bCs/>
          <w:sz w:val="28"/>
          <w:szCs w:val="24"/>
        </w:rPr>
        <w:fldChar w:fldCharType="begin"/>
      </w:r>
      <w:r>
        <w:rPr>
          <w:bCs/>
          <w:sz w:val="28"/>
          <w:szCs w:val="24"/>
        </w:rPr>
        <w:instrText xml:space="preserve"> TOC \o "1-</w:instrText>
      </w:r>
      <w:r w:rsidR="00CE7703">
        <w:rPr>
          <w:bCs/>
          <w:sz w:val="28"/>
          <w:szCs w:val="24"/>
        </w:rPr>
        <w:instrText>3</w:instrText>
      </w:r>
      <w:r>
        <w:rPr>
          <w:bCs/>
          <w:sz w:val="28"/>
          <w:szCs w:val="24"/>
        </w:rPr>
        <w:instrText>" \h \</w:instrText>
      </w:r>
      <w:r w:rsidR="00CE7703">
        <w:rPr>
          <w:bCs/>
          <w:sz w:val="28"/>
          <w:szCs w:val="24"/>
        </w:rPr>
        <w:instrText>n 2-2</w:instrText>
      </w:r>
      <w:r>
        <w:rPr>
          <w:bCs/>
          <w:sz w:val="28"/>
          <w:szCs w:val="24"/>
        </w:rPr>
        <w:instrText xml:space="preserve"> \u </w:instrText>
      </w:r>
      <w:r>
        <w:rPr>
          <w:bCs/>
          <w:sz w:val="28"/>
          <w:szCs w:val="24"/>
        </w:rPr>
        <w:fldChar w:fldCharType="separate"/>
      </w:r>
      <w:hyperlink w:anchor="_Toc356227223" w:history="1">
        <w:r w:rsidR="00A27972" w:rsidRPr="001439C0">
          <w:rPr>
            <w:rStyle w:val="Hyperlink"/>
          </w:rPr>
          <w:t>PRESIDENT’S MESSAGE</w:t>
        </w:r>
        <w:r w:rsidR="00A27972">
          <w:tab/>
        </w:r>
        <w:r w:rsidR="00A27972">
          <w:fldChar w:fldCharType="begin"/>
        </w:r>
        <w:r w:rsidR="00A27972">
          <w:instrText xml:space="preserve"> PAGEREF _Toc356227223 \h </w:instrText>
        </w:r>
        <w:r w:rsidR="00A27972">
          <w:fldChar w:fldCharType="separate"/>
        </w:r>
        <w:r w:rsidR="00A27972">
          <w:t>ii</w:t>
        </w:r>
        <w:r w:rsidR="00A27972">
          <w:fldChar w:fldCharType="end"/>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24" w:history="1">
        <w:r w:rsidR="00A27972" w:rsidRPr="001439C0">
          <w:rPr>
            <w:rStyle w:val="Hyperlink"/>
          </w:rPr>
          <w:t>EDITOR’S ACKNOWLEDGEMENT</w:t>
        </w:r>
        <w:r w:rsidR="00A27972">
          <w:tab/>
        </w:r>
        <w:r w:rsidR="00A27972">
          <w:fldChar w:fldCharType="begin"/>
        </w:r>
        <w:r w:rsidR="00A27972">
          <w:instrText xml:space="preserve"> PAGEREF _Toc356227224 \h </w:instrText>
        </w:r>
        <w:r w:rsidR="00A27972">
          <w:fldChar w:fldCharType="separate"/>
        </w:r>
        <w:r w:rsidR="00A27972">
          <w:t>iv</w:t>
        </w:r>
        <w:r w:rsidR="00A27972">
          <w:fldChar w:fldCharType="end"/>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25" w:history="1">
        <w:r w:rsidR="00A27972" w:rsidRPr="001439C0">
          <w:rPr>
            <w:rStyle w:val="Hyperlink"/>
          </w:rPr>
          <w:t>Sauce for the Goose: Turning Plaintiffs’ Spoliation of Evidence Against Them</w:t>
        </w:r>
        <w:r w:rsidR="00A27972">
          <w:tab/>
        </w:r>
        <w:r w:rsidR="00A27972">
          <w:fldChar w:fldCharType="begin"/>
        </w:r>
        <w:r w:rsidR="00A27972">
          <w:instrText xml:space="preserve"> PAGEREF _Toc356227225 \h </w:instrText>
        </w:r>
        <w:r w:rsidR="00A27972">
          <w:fldChar w:fldCharType="separate"/>
        </w:r>
        <w:r w:rsidR="00A27972">
          <w:t>1</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26" w:history="1">
        <w:r w:rsidR="00A27972" w:rsidRPr="001439C0">
          <w:rPr>
            <w:rStyle w:val="Hyperlink"/>
            <w:noProof/>
          </w:rPr>
          <w:t>By Wayne S. Melnick</w:t>
        </w:r>
      </w:hyperlink>
    </w:p>
    <w:p w:rsidR="00A27972" w:rsidRDefault="001D32A6" w:rsidP="00323493">
      <w:pPr>
        <w:pStyle w:val="TOC3"/>
        <w:tabs>
          <w:tab w:val="right" w:leader="dot" w:pos="8630"/>
        </w:tabs>
        <w:spacing w:before="60" w:after="200" w:line="240" w:lineRule="auto"/>
        <w:rPr>
          <w:rFonts w:asciiTheme="minorHAnsi" w:hAnsiTheme="minorHAnsi"/>
          <w:b w:val="0"/>
          <w:noProof/>
          <w:sz w:val="22"/>
          <w:lang w:eastAsia="en-US"/>
        </w:rPr>
      </w:pPr>
      <w:hyperlink w:anchor="_Toc356227227" w:history="1">
        <w:r w:rsidR="00A27972" w:rsidRPr="001439C0">
          <w:rPr>
            <w:rStyle w:val="Hyperlink"/>
            <w:noProof/>
          </w:rPr>
          <w:t>Appendix A: Order on Pending Motions</w:t>
        </w:r>
        <w:r w:rsidR="00A27972">
          <w:rPr>
            <w:noProof/>
          </w:rPr>
          <w:tab/>
        </w:r>
        <w:r w:rsidR="00A27972">
          <w:rPr>
            <w:noProof/>
          </w:rPr>
          <w:fldChar w:fldCharType="begin"/>
        </w:r>
        <w:r w:rsidR="00A27972">
          <w:rPr>
            <w:noProof/>
          </w:rPr>
          <w:instrText xml:space="preserve"> PAGEREF _Toc356227227 \h </w:instrText>
        </w:r>
        <w:r w:rsidR="00A27972">
          <w:rPr>
            <w:noProof/>
          </w:rPr>
        </w:r>
        <w:r w:rsidR="00A27972">
          <w:rPr>
            <w:noProof/>
          </w:rPr>
          <w:fldChar w:fldCharType="separate"/>
        </w:r>
        <w:r w:rsidR="00A27972">
          <w:rPr>
            <w:noProof/>
          </w:rPr>
          <w:t>10</w:t>
        </w:r>
        <w:r w:rsidR="00A27972">
          <w:rPr>
            <w:noProof/>
          </w:rPr>
          <w:fldChar w:fldCharType="end"/>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28" w:history="1">
        <w:r w:rsidR="00A27972" w:rsidRPr="001439C0">
          <w:rPr>
            <w:rStyle w:val="Hyperlink"/>
          </w:rPr>
          <w:t>Accurately Calculating the Costs of a Limited Representation</w:t>
        </w:r>
        <w:r w:rsidR="00A27972">
          <w:tab/>
        </w:r>
        <w:r w:rsidR="00A27972">
          <w:fldChar w:fldCharType="begin"/>
        </w:r>
        <w:r w:rsidR="00A27972">
          <w:instrText xml:space="preserve"> PAGEREF _Toc356227228 \h </w:instrText>
        </w:r>
        <w:r w:rsidR="00A27972">
          <w:fldChar w:fldCharType="separate"/>
        </w:r>
        <w:r w:rsidR="00A27972">
          <w:t>23</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29" w:history="1">
        <w:r w:rsidR="00A27972" w:rsidRPr="001439C0">
          <w:rPr>
            <w:rStyle w:val="Hyperlink"/>
            <w:noProof/>
          </w:rPr>
          <w:t>By Jake Evans and Zachary Lewis</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30" w:history="1">
        <w:r w:rsidR="00A27972" w:rsidRPr="001439C0">
          <w:rPr>
            <w:rStyle w:val="Hyperlink"/>
          </w:rPr>
          <w:t>The Current State of Georgia’s Insurance Reservation of Rights Law in Connection with Declinations of Coverage</w:t>
        </w:r>
        <w:r w:rsidR="00A27972">
          <w:tab/>
        </w:r>
        <w:r w:rsidR="00A27972">
          <w:fldChar w:fldCharType="begin"/>
        </w:r>
        <w:r w:rsidR="00A27972">
          <w:instrText xml:space="preserve"> PAGEREF _Toc356227230 \h </w:instrText>
        </w:r>
        <w:r w:rsidR="00A27972">
          <w:fldChar w:fldCharType="separate"/>
        </w:r>
        <w:r w:rsidR="00A27972">
          <w:t>32</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31" w:history="1">
        <w:r w:rsidR="00A27972" w:rsidRPr="001439C0">
          <w:rPr>
            <w:rStyle w:val="Hyperlink"/>
            <w:noProof/>
          </w:rPr>
          <w:t>By Kenan G. Loomis, Jennifer Kennedy-Coggins, and Morgan Carroll</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32" w:history="1">
        <w:r w:rsidR="00A27972" w:rsidRPr="001439C0">
          <w:rPr>
            <w:rStyle w:val="Hyperlink"/>
          </w:rPr>
          <w:t>Treating Physicians as Causation Experts: Identification Requirements for Treating Physicians under the Federal Rules of Civil Procedure</w:t>
        </w:r>
        <w:r w:rsidR="00A27972">
          <w:tab/>
        </w:r>
        <w:r w:rsidR="00A27972">
          <w:fldChar w:fldCharType="begin"/>
        </w:r>
        <w:r w:rsidR="00A27972">
          <w:instrText xml:space="preserve"> PAGEREF _Toc356227232 \h </w:instrText>
        </w:r>
        <w:r w:rsidR="00A27972">
          <w:fldChar w:fldCharType="separate"/>
        </w:r>
        <w:r w:rsidR="00A27972">
          <w:t>4</w:t>
        </w:r>
        <w:r w:rsidR="00A27972">
          <w:t>5</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33" w:history="1">
        <w:r w:rsidR="00A27972" w:rsidRPr="001439C0">
          <w:rPr>
            <w:rStyle w:val="Hyperlink"/>
            <w:noProof/>
          </w:rPr>
          <w:t>By Brian Duva and Richard Bruno</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34" w:history="1">
        <w:r w:rsidR="00A27972" w:rsidRPr="001439C0">
          <w:rPr>
            <w:rStyle w:val="Hyperlink"/>
          </w:rPr>
          <w:t>Georgia Labor and Employment Law:  2013 Update</w:t>
        </w:r>
        <w:r w:rsidR="00A27972">
          <w:tab/>
        </w:r>
        <w:r w:rsidR="00A27972">
          <w:fldChar w:fldCharType="begin"/>
        </w:r>
        <w:r w:rsidR="00A27972">
          <w:instrText xml:space="preserve"> PAGEREF _Toc356227234 \h </w:instrText>
        </w:r>
        <w:r w:rsidR="00A27972">
          <w:fldChar w:fldCharType="separate"/>
        </w:r>
        <w:r w:rsidR="00A27972">
          <w:t>53</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35" w:history="1">
        <w:r w:rsidR="00A27972" w:rsidRPr="001439C0">
          <w:rPr>
            <w:rStyle w:val="Hyperlink"/>
            <w:noProof/>
          </w:rPr>
          <w:t>By W. Melvin Haas, III, William M. Clifton, III, W. Jonathan Martin, II, and Alyssa K. Peters</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36" w:history="1">
        <w:r w:rsidR="00A27972" w:rsidRPr="001439C0">
          <w:rPr>
            <w:rStyle w:val="Hyperlink"/>
            <w:lang w:val="en"/>
          </w:rPr>
          <w:t>The Impact of a Defendant’s Violation of a Private Guideline on a Motion for Summary Judgment in a Premises Liability Case: Is Change Imminent?</w:t>
        </w:r>
        <w:r w:rsidR="00A27972">
          <w:tab/>
        </w:r>
        <w:r w:rsidR="00A27972">
          <w:fldChar w:fldCharType="begin"/>
        </w:r>
        <w:r w:rsidR="00A27972">
          <w:instrText xml:space="preserve"> PAGEREF _Toc356227236 \h </w:instrText>
        </w:r>
        <w:r w:rsidR="00A27972">
          <w:fldChar w:fldCharType="separate"/>
        </w:r>
        <w:r w:rsidR="00A27972">
          <w:t>68</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37" w:history="1">
        <w:r w:rsidR="00A27972" w:rsidRPr="001439C0">
          <w:rPr>
            <w:rStyle w:val="Hyperlink"/>
            <w:noProof/>
            <w:lang w:val="en"/>
          </w:rPr>
          <w:t>By Adam Masarek</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38" w:history="1">
        <w:r w:rsidR="00A27972" w:rsidRPr="001439C0">
          <w:rPr>
            <w:rStyle w:val="Hyperlink"/>
          </w:rPr>
          <w:t>Insurance Coverage Update</w:t>
        </w:r>
        <w:r w:rsidR="00A27972">
          <w:tab/>
        </w:r>
        <w:r w:rsidR="00A27972">
          <w:fldChar w:fldCharType="begin"/>
        </w:r>
        <w:r w:rsidR="00A27972">
          <w:instrText xml:space="preserve"> PAGEREF _Toc356227238 \h </w:instrText>
        </w:r>
        <w:r w:rsidR="00A27972">
          <w:fldChar w:fldCharType="separate"/>
        </w:r>
        <w:r w:rsidR="00A27972">
          <w:t>78</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39" w:history="1">
        <w:r w:rsidR="00A27972" w:rsidRPr="001439C0">
          <w:rPr>
            <w:rStyle w:val="Hyperlink"/>
            <w:noProof/>
          </w:rPr>
          <w:t>By Edward R. “Ed” Stabell, III and Britton G. White</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40" w:history="1">
        <w:r w:rsidR="00A27972" w:rsidRPr="001439C0">
          <w:rPr>
            <w:rStyle w:val="Hyperlink"/>
          </w:rPr>
          <w:t>Admissibility in Products Liability Cases of Data Published by the Consumer Products Safety Commission’s National Electronic Injury Surveillance System</w:t>
        </w:r>
        <w:r w:rsidR="00A27972">
          <w:tab/>
        </w:r>
        <w:r w:rsidR="00A27972">
          <w:fldChar w:fldCharType="begin"/>
        </w:r>
        <w:r w:rsidR="00A27972">
          <w:instrText xml:space="preserve"> PAGEREF _Toc356227240 \h </w:instrText>
        </w:r>
        <w:r w:rsidR="00A27972">
          <w:fldChar w:fldCharType="separate"/>
        </w:r>
        <w:r w:rsidR="00A27972">
          <w:t>99</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41" w:history="1">
        <w:r w:rsidR="00A27972" w:rsidRPr="001439C0">
          <w:rPr>
            <w:rStyle w:val="Hyperlink"/>
            <w:noProof/>
          </w:rPr>
          <w:t>By James “Dart” Meadows, Lorna Norton, and James Hollis</w:t>
        </w:r>
      </w:hyperlink>
    </w:p>
    <w:p w:rsidR="00A27972" w:rsidRDefault="001D32A6" w:rsidP="00323493">
      <w:pPr>
        <w:pStyle w:val="TOC1"/>
        <w:spacing w:before="60" w:after="200" w:line="240" w:lineRule="auto"/>
        <w:rPr>
          <w:rFonts w:asciiTheme="minorHAnsi" w:hAnsiTheme="minorHAnsi"/>
          <w:b w:val="0"/>
          <w:szCs w:val="22"/>
          <w:lang w:eastAsia="en-US"/>
        </w:rPr>
      </w:pPr>
      <w:hyperlink w:anchor="_Toc356227242" w:history="1">
        <w:r w:rsidR="00A27972" w:rsidRPr="001439C0">
          <w:rPr>
            <w:rStyle w:val="Hyperlink"/>
          </w:rPr>
          <w:t>Update on Federal Motor Carrier Safety Regulations and Georgia Regulations</w:t>
        </w:r>
        <w:r w:rsidR="00A27972">
          <w:tab/>
        </w:r>
        <w:r w:rsidR="00A27972">
          <w:fldChar w:fldCharType="begin"/>
        </w:r>
        <w:r w:rsidR="00A27972">
          <w:instrText xml:space="preserve"> PAGEREF _Toc356227242 \h </w:instrText>
        </w:r>
        <w:r w:rsidR="00A27972">
          <w:fldChar w:fldCharType="separate"/>
        </w:r>
        <w:r w:rsidR="00A27972">
          <w:t>127</w:t>
        </w:r>
        <w:r w:rsidR="00A27972">
          <w:fldChar w:fldCharType="end"/>
        </w:r>
      </w:hyperlink>
    </w:p>
    <w:p w:rsidR="00A27972" w:rsidRDefault="001D32A6" w:rsidP="00323493">
      <w:pPr>
        <w:pStyle w:val="TOC2"/>
        <w:tabs>
          <w:tab w:val="right" w:leader="dot" w:pos="8630"/>
        </w:tabs>
        <w:spacing w:before="60" w:after="200" w:line="240" w:lineRule="auto"/>
        <w:rPr>
          <w:rFonts w:asciiTheme="minorHAnsi" w:hAnsiTheme="minorHAnsi"/>
          <w:i w:val="0"/>
          <w:noProof/>
          <w:sz w:val="22"/>
          <w:lang w:eastAsia="en-US"/>
        </w:rPr>
      </w:pPr>
      <w:hyperlink w:anchor="_Toc356227243" w:history="1">
        <w:r w:rsidR="00A27972" w:rsidRPr="001439C0">
          <w:rPr>
            <w:rStyle w:val="Hyperlink"/>
            <w:noProof/>
          </w:rPr>
          <w:t>By Alexander T. (“Alec”) Galloway, III</w:t>
        </w:r>
      </w:hyperlink>
    </w:p>
    <w:p w:rsidR="00A27972" w:rsidRDefault="001D32A6" w:rsidP="00323493">
      <w:pPr>
        <w:pStyle w:val="TOC3"/>
        <w:tabs>
          <w:tab w:val="right" w:leader="dot" w:pos="8630"/>
        </w:tabs>
        <w:spacing w:before="60" w:after="200" w:line="240" w:lineRule="auto"/>
        <w:rPr>
          <w:rFonts w:asciiTheme="minorHAnsi" w:hAnsiTheme="minorHAnsi"/>
          <w:b w:val="0"/>
          <w:noProof/>
          <w:sz w:val="22"/>
          <w:lang w:eastAsia="en-US"/>
        </w:rPr>
      </w:pPr>
      <w:hyperlink w:anchor="_Toc356227244" w:history="1">
        <w:r w:rsidR="00A27972" w:rsidRPr="001439C0">
          <w:rPr>
            <w:rStyle w:val="Hyperlink"/>
            <w:noProof/>
          </w:rPr>
          <w:t>Appendix A: Chart: Summary of Changes of HOS Final Rule Published Dec</w:t>
        </w:r>
        <w:r w:rsidR="00EE2953">
          <w:rPr>
            <w:rStyle w:val="Hyperlink"/>
            <w:noProof/>
          </w:rPr>
          <w:t>.</w:t>
        </w:r>
        <w:r w:rsidR="00A27972" w:rsidRPr="001439C0">
          <w:rPr>
            <w:rStyle w:val="Hyperlink"/>
            <w:noProof/>
          </w:rPr>
          <w:t xml:space="preserve"> 2011</w:t>
        </w:r>
        <w:r w:rsidR="00A27972">
          <w:rPr>
            <w:noProof/>
          </w:rPr>
          <w:tab/>
        </w:r>
        <w:r w:rsidR="00A27972">
          <w:rPr>
            <w:noProof/>
          </w:rPr>
          <w:fldChar w:fldCharType="begin"/>
        </w:r>
        <w:r w:rsidR="00A27972">
          <w:rPr>
            <w:noProof/>
          </w:rPr>
          <w:instrText xml:space="preserve"> PAGEREF _Toc356227244 \h </w:instrText>
        </w:r>
        <w:r w:rsidR="00A27972">
          <w:rPr>
            <w:noProof/>
          </w:rPr>
        </w:r>
        <w:r w:rsidR="00A27972">
          <w:rPr>
            <w:noProof/>
          </w:rPr>
          <w:fldChar w:fldCharType="separate"/>
        </w:r>
        <w:r w:rsidR="00A27972">
          <w:rPr>
            <w:noProof/>
          </w:rPr>
          <w:t>138</w:t>
        </w:r>
        <w:r w:rsidR="00A27972">
          <w:rPr>
            <w:noProof/>
          </w:rPr>
          <w:fldChar w:fldCharType="end"/>
        </w:r>
      </w:hyperlink>
    </w:p>
    <w:p w:rsidR="00A27972" w:rsidRDefault="001D32A6" w:rsidP="00323493">
      <w:pPr>
        <w:pStyle w:val="TOC3"/>
        <w:tabs>
          <w:tab w:val="right" w:leader="dot" w:pos="8630"/>
        </w:tabs>
        <w:spacing w:before="60" w:after="200" w:line="240" w:lineRule="auto"/>
        <w:rPr>
          <w:rFonts w:asciiTheme="minorHAnsi" w:hAnsiTheme="minorHAnsi"/>
          <w:b w:val="0"/>
          <w:noProof/>
          <w:sz w:val="22"/>
          <w:lang w:eastAsia="en-US"/>
        </w:rPr>
      </w:pPr>
      <w:hyperlink w:anchor="_Toc356227245" w:history="1">
        <w:r w:rsidR="00A27972" w:rsidRPr="001439C0">
          <w:rPr>
            <w:rStyle w:val="Hyperlink"/>
            <w:noProof/>
          </w:rPr>
          <w:t>Appendix B: Chart: Hours-of-Service Rules</w:t>
        </w:r>
        <w:r w:rsidR="00A27972">
          <w:rPr>
            <w:noProof/>
          </w:rPr>
          <w:tab/>
        </w:r>
        <w:r w:rsidR="00A27972">
          <w:rPr>
            <w:noProof/>
          </w:rPr>
          <w:fldChar w:fldCharType="begin"/>
        </w:r>
        <w:r w:rsidR="00A27972">
          <w:rPr>
            <w:noProof/>
          </w:rPr>
          <w:instrText xml:space="preserve"> PAGEREF _Toc356227245 \h </w:instrText>
        </w:r>
        <w:r w:rsidR="00A27972">
          <w:rPr>
            <w:noProof/>
          </w:rPr>
        </w:r>
        <w:r w:rsidR="00A27972">
          <w:rPr>
            <w:noProof/>
          </w:rPr>
          <w:fldChar w:fldCharType="separate"/>
        </w:r>
        <w:r w:rsidR="00A27972">
          <w:rPr>
            <w:noProof/>
          </w:rPr>
          <w:t>139</w:t>
        </w:r>
        <w:r w:rsidR="00A27972">
          <w:rPr>
            <w:noProof/>
          </w:rPr>
          <w:fldChar w:fldCharType="end"/>
        </w:r>
      </w:hyperlink>
    </w:p>
    <w:p w:rsidR="00E16721" w:rsidRDefault="00BE512E" w:rsidP="00A27972">
      <w:pPr>
        <w:spacing w:after="0" w:line="240" w:lineRule="auto"/>
        <w:rPr>
          <w:rFonts w:ascii="Century Schoolbook" w:eastAsiaTheme="minorEastAsia" w:hAnsi="Century Schoolbook"/>
          <w:b/>
          <w:bCs/>
          <w:sz w:val="24"/>
          <w:szCs w:val="24"/>
        </w:rPr>
        <w:sectPr w:rsidR="00E16721" w:rsidSect="00424BE1">
          <w:footerReference w:type="default" r:id="rId11"/>
          <w:footerReference w:type="first" r:id="rId12"/>
          <w:pgSz w:w="12240" w:h="15840"/>
          <w:pgMar w:top="1440" w:right="1800" w:bottom="1440" w:left="1800" w:header="720" w:footer="720" w:gutter="0"/>
          <w:pgNumType w:fmt="lowerRoman" w:start="0"/>
          <w:cols w:space="720"/>
          <w:docGrid w:linePitch="360"/>
        </w:sectPr>
      </w:pPr>
      <w:r>
        <w:rPr>
          <w:rFonts w:ascii="Century Schoolbook" w:eastAsiaTheme="minorEastAsia" w:hAnsi="Century Schoolbook"/>
          <w:b/>
          <w:bCs/>
          <w:noProof/>
          <w:sz w:val="28"/>
          <w:szCs w:val="24"/>
          <w:lang w:eastAsia="ja-JP"/>
        </w:rPr>
        <w:fldChar w:fldCharType="end"/>
      </w:r>
    </w:p>
    <w:p w:rsidR="00E16721" w:rsidRPr="00494765" w:rsidRDefault="00D93441" w:rsidP="00812099">
      <w:pPr>
        <w:pStyle w:val="GDLA"/>
        <w:outlineLvl w:val="0"/>
        <w:rPr>
          <w:sz w:val="36"/>
          <w:szCs w:val="36"/>
        </w:rPr>
      </w:pPr>
      <w:bookmarkStart w:id="0" w:name="_Toc356227223"/>
      <w:r w:rsidRPr="00494765">
        <w:rPr>
          <w:sz w:val="36"/>
          <w:szCs w:val="36"/>
        </w:rPr>
        <w:lastRenderedPageBreak/>
        <w:t>PRESIDENT’S MESSAGE</w:t>
      </w:r>
      <w:bookmarkEnd w:id="0"/>
    </w:p>
    <w:p w:rsid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BE512E" w:rsidRPr="00BE512E" w:rsidRDefault="00BE512E" w:rsidP="00623B3E">
      <w:pPr>
        <w:widowControl w:val="0"/>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both"/>
        <w:rPr>
          <w:rFonts w:ascii="Century Schoolbook" w:eastAsia="Times New Roman" w:hAnsi="Century Schoolbook" w:cs="Times New Roman"/>
          <w:snapToGrid w:val="0"/>
        </w:rPr>
      </w:pPr>
      <w:r>
        <w:rPr>
          <w:rFonts w:ascii="Century Schoolbook" w:eastAsia="Times New Roman" w:hAnsi="Century Schoolbook" w:cs="Times New Roman"/>
          <w:b/>
          <w:noProof/>
        </w:rPr>
        <w:drawing>
          <wp:anchor distT="0" distB="0" distL="114300" distR="114300" simplePos="0" relativeHeight="251676672" behindDoc="0" locked="0" layoutInCell="1" allowOverlap="1" wp14:anchorId="483296E9" wp14:editId="57D44973">
            <wp:simplePos x="0" y="0"/>
            <wp:positionH relativeFrom="margin">
              <wp:posOffset>-34290</wp:posOffset>
            </wp:positionH>
            <wp:positionV relativeFrom="margin">
              <wp:posOffset>1200150</wp:posOffset>
            </wp:positionV>
            <wp:extent cx="1052195" cy="1276350"/>
            <wp:effectExtent l="76200" t="76200" r="128905" b="133350"/>
            <wp:wrapSquare wrapText="bothSides"/>
            <wp:docPr id="453" name="Picture 453" descr="I:\Home\PDM\G.D.L.A\Journal\2013\Articles\PDM completed edits\Lynn_M_Rob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ome\PDM\G.D.L.A\Journal\2013\Articles\PDM completed edits\Lynn_M_Robers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2195"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E512E">
        <w:rPr>
          <w:rFonts w:ascii="Century Schoolbook" w:eastAsia="Times New Roman" w:hAnsi="Century Schoolbook" w:cs="Times New Roman"/>
          <w:b/>
          <w:snapToGrid w:val="0"/>
        </w:rPr>
        <w:t>Lynn M. Roberson</w:t>
      </w:r>
      <w:r w:rsidRPr="00BE512E">
        <w:rPr>
          <w:rFonts w:ascii="Century Schoolbook" w:eastAsia="Times New Roman" w:hAnsi="Century Schoolbook" w:cs="Times New Roman"/>
          <w:snapToGrid w:val="0"/>
        </w:rPr>
        <w:t xml:space="preserve"> has been practicing litigation for over 30 years, particularly in the areas of premises liability for violent crime, other premises liability, pharmacy liability, automobile/truck accident cases, products liability, malicious prosecution, and other personal injury law, as well as insurance coverage.  Lynn has completed over 75 jury trials in these areas as well as over 35 appeals.  Her practice in the area of “premises liability” actions includes slip/trip and fall, negligent security, wrongful serving of alcohol, wrongful detention or prosecution by store security, assault and battery, and dangerous conditions on property.  Her clients include hotels and motels, apartment complexes, retail stores and malls, restaurants, and bars and nightclubs.  Ms. Roberson is also the President of the Atlanta Bar Association. </w:t>
      </w:r>
    </w:p>
    <w:p w:rsidR="00BE512E" w:rsidRDefault="00BE512E" w:rsidP="00BE512E">
      <w:pPr>
        <w:widowControl w:val="0"/>
        <w:spacing w:after="0" w:line="240" w:lineRule="auto"/>
        <w:jc w:val="both"/>
        <w:rPr>
          <w:rFonts w:ascii="Century Schoolbook" w:eastAsia="Times New Roman" w:hAnsi="Century Schoolbook" w:cs="Times New Roman"/>
          <w:snapToGrid w:val="0"/>
        </w:rPr>
      </w:pP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r w:rsidRPr="00812099">
        <w:rPr>
          <w:rFonts w:ascii="Century Schoolbook" w:eastAsia="Times New Roman" w:hAnsi="Century Schoolbook" w:cs="Times New Roman"/>
          <w:snapToGrid w:val="0"/>
        </w:rPr>
        <w:t>I am now looking at the downhill side of my term as GDLA president, and the view is spectacular!   The GDLA is growing and prospering, thanks in large part to the diligence and dedication of our Executive Director, Jennifer Davis.  Those of you who have not yet met her need to do so at your first opportunity, because she will brighten your day – guaranteed!  Jennifer has faithfully spurned other organizations which have been seeking her expertise, because she is so devoted to the GDLA.  We have been truly blessed to have her join our association.</w:t>
      </w: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r w:rsidRPr="00812099">
        <w:rPr>
          <w:rFonts w:ascii="Century Schoolbook" w:eastAsia="Times New Roman" w:hAnsi="Century Schoolbook" w:cs="Times New Roman"/>
          <w:snapToGrid w:val="0"/>
        </w:rPr>
        <w:t xml:space="preserve">Your Board also has been very active and hard working.  I am so pleased to have had the opportunity to work side by side with so many fine lawyers who are dedicated to improving the civil defense bar.  Our Education Committee has been going gangbusters these past couple of years, providing interesting and challenging CLE seminars, both in Atlanta and outside the metro area in an effort to bring top-notch programming to as many of our members as possible.  Look for one of the programs to come to your area, thanks to the leadership of Education Committee Chair Wayne </w:t>
      </w:r>
      <w:proofErr w:type="spellStart"/>
      <w:r w:rsidRPr="00812099">
        <w:rPr>
          <w:rFonts w:ascii="Century Schoolbook" w:eastAsia="Times New Roman" w:hAnsi="Century Schoolbook" w:cs="Times New Roman"/>
          <w:snapToGrid w:val="0"/>
        </w:rPr>
        <w:t>Melnick</w:t>
      </w:r>
      <w:proofErr w:type="spellEnd"/>
      <w:r w:rsidRPr="00812099">
        <w:rPr>
          <w:rFonts w:ascii="Century Schoolbook" w:eastAsia="Times New Roman" w:hAnsi="Century Schoolbook" w:cs="Times New Roman"/>
          <w:snapToGrid w:val="0"/>
        </w:rPr>
        <w:t xml:space="preserve"> and Vice-chair Brett Miller.   </w:t>
      </w: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r w:rsidRPr="00812099">
        <w:rPr>
          <w:rFonts w:ascii="Century Schoolbook" w:eastAsia="Times New Roman" w:hAnsi="Century Schoolbook" w:cs="Times New Roman"/>
          <w:snapToGrid w:val="0"/>
        </w:rPr>
        <w:t xml:space="preserve">There are many opportunities for veteran and newer lawyers to get involved and make things happen.  This newsletter is published three times per year, and you are encouraged to submit articles to Editor Sally Akins. The </w:t>
      </w:r>
      <w:r w:rsidRPr="00812099">
        <w:rPr>
          <w:rFonts w:ascii="Century Schoolbook" w:eastAsia="Times New Roman" w:hAnsi="Century Schoolbook" w:cs="Times New Roman"/>
          <w:i/>
          <w:snapToGrid w:val="0"/>
        </w:rPr>
        <w:t>Law Journal</w:t>
      </w:r>
      <w:r w:rsidRPr="00812099">
        <w:rPr>
          <w:rFonts w:ascii="Century Schoolbook" w:eastAsia="Times New Roman" w:hAnsi="Century Schoolbook" w:cs="Times New Roman"/>
          <w:snapToGrid w:val="0"/>
        </w:rPr>
        <w:t xml:space="preserve">, edited this year by Peter Muller, comes out each June, giving our members another great opportunity for exposure, because both the </w:t>
      </w:r>
      <w:r w:rsidRPr="00812099">
        <w:rPr>
          <w:rFonts w:ascii="Century Schoolbook" w:eastAsia="Times New Roman" w:hAnsi="Century Schoolbook" w:cs="Times New Roman"/>
          <w:i/>
          <w:snapToGrid w:val="0"/>
        </w:rPr>
        <w:t>Law Journal</w:t>
      </w:r>
      <w:r w:rsidRPr="00812099">
        <w:rPr>
          <w:rFonts w:ascii="Century Schoolbook" w:eastAsia="Times New Roman" w:hAnsi="Century Schoolbook" w:cs="Times New Roman"/>
          <w:snapToGrid w:val="0"/>
        </w:rPr>
        <w:t xml:space="preserve"> and newsletter are mailed to judges statewide. If you want to assist with CLE seminars or participate in the Pre-Trial Discovery &amp; Deposition Boot Camp led by Jason Willcox or Trial &amp; Mediation Academy led by Douglas Burrell, just contact me or Jennifer Davis, and we will get you plugged in.  </w:t>
      </w: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r w:rsidRPr="00812099">
        <w:rPr>
          <w:rFonts w:ascii="Century Schoolbook" w:eastAsia="Times New Roman" w:hAnsi="Century Schoolbook" w:cs="Times New Roman"/>
          <w:snapToGrid w:val="0"/>
        </w:rPr>
        <w:t xml:space="preserve">Our Substantive Law Committees (SLC) are becoming more active, too.  For example, the Premises Liability SLC, led by Shane Keith and Marty Levinson, held a lunch-and-learn CLE with Fulton State Court Judge Wesley Tailor. The SLCs also contribute case law updates for the newsletter and more substantive articles for the </w:t>
      </w:r>
      <w:r w:rsidRPr="00812099">
        <w:rPr>
          <w:rFonts w:ascii="Century Schoolbook" w:eastAsia="Times New Roman" w:hAnsi="Century Schoolbook" w:cs="Times New Roman"/>
          <w:i/>
          <w:snapToGrid w:val="0"/>
        </w:rPr>
        <w:t>Law Journal</w:t>
      </w:r>
      <w:r w:rsidRPr="00812099">
        <w:rPr>
          <w:rFonts w:ascii="Century Schoolbook" w:eastAsia="Times New Roman" w:hAnsi="Century Schoolbook" w:cs="Times New Roman"/>
          <w:snapToGrid w:val="0"/>
        </w:rPr>
        <w:t>.</w:t>
      </w: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r w:rsidRPr="00812099">
        <w:rPr>
          <w:rFonts w:ascii="Century Schoolbook" w:eastAsia="Times New Roman" w:hAnsi="Century Schoolbook" w:cs="Times New Roman"/>
          <w:snapToGrid w:val="0"/>
        </w:rPr>
        <w:t xml:space="preserve">The GDLA Annual Meeting takes place at a beach resort every June. This year, we </w:t>
      </w:r>
      <w:r w:rsidRPr="00812099">
        <w:rPr>
          <w:rFonts w:ascii="Century Schoolbook" w:eastAsia="Times New Roman" w:hAnsi="Century Schoolbook" w:cs="Times New Roman"/>
          <w:snapToGrid w:val="0"/>
        </w:rPr>
        <w:lastRenderedPageBreak/>
        <w:t xml:space="preserve">will be at The Breakers in Palm Beach, and then we will be back to the Ponte Vedra Inn &amp; Club for 2014.  Don’t miss the opportunity to join your fellow GDLA members at one of the nation’s historic resorts at affordable pricing (thanks to Jennifer’s great negotiating skills and professional connections) to partake of outstanding CLE programming (thanks to the Executive VP, who plans the program annually). There is always ample time for networking with the best defense lawyers and our wonderful GDLA sponsors, as well as relaxing with your family.  You will find, as I have, that our Annual Meetings are a great break from the office and a good opportunity to make new professional connections and enjoy long-time friends.  </w:t>
      </w:r>
    </w:p>
    <w:p w:rsidR="00812099" w:rsidRP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r w:rsidRPr="00812099">
        <w:rPr>
          <w:rFonts w:ascii="Century Schoolbook" w:eastAsia="Times New Roman" w:hAnsi="Century Schoolbook" w:cs="Times New Roman"/>
          <w:snapToGrid w:val="0"/>
        </w:rPr>
        <w:t>Nothing can boost your career and professional reputation better than active involvement in your bar association.  I always say that the best lawyers are active in the bar associations, and I am always being proven right!</w:t>
      </w:r>
    </w:p>
    <w:p w:rsidR="00D878F1" w:rsidRDefault="00D878F1" w:rsidP="00812099">
      <w:pPr>
        <w:widowControl w:val="0"/>
        <w:spacing w:after="0" w:line="240" w:lineRule="auto"/>
        <w:ind w:firstLine="720"/>
        <w:jc w:val="both"/>
        <w:rPr>
          <w:rFonts w:ascii="Century Schoolbook" w:eastAsia="Times New Roman" w:hAnsi="Century Schoolbook" w:cs="Times New Roman"/>
          <w:snapToGrid w:val="0"/>
        </w:rPr>
      </w:pPr>
    </w:p>
    <w:p w:rsidR="00D878F1" w:rsidRDefault="00D878F1" w:rsidP="00D878F1">
      <w:pPr>
        <w:pStyle w:val="GDLA"/>
        <w:spacing w:line="240" w:lineRule="auto"/>
        <w:ind w:left="4320" w:firstLine="720"/>
        <w:jc w:val="both"/>
        <w:rPr>
          <w:b w:val="0"/>
          <w:sz w:val="22"/>
          <w:szCs w:val="22"/>
        </w:rPr>
      </w:pPr>
      <w:r w:rsidRPr="00623B3E">
        <w:rPr>
          <w:b w:val="0"/>
          <w:sz w:val="22"/>
          <w:szCs w:val="22"/>
        </w:rPr>
        <w:t>For the defense,</w:t>
      </w:r>
    </w:p>
    <w:p w:rsidR="00D878F1" w:rsidRDefault="00D878F1" w:rsidP="00D878F1">
      <w:pPr>
        <w:pStyle w:val="GDLA"/>
        <w:spacing w:line="240" w:lineRule="auto"/>
        <w:ind w:left="4320" w:firstLine="720"/>
        <w:jc w:val="both"/>
        <w:rPr>
          <w:b w:val="0"/>
          <w:sz w:val="22"/>
          <w:szCs w:val="22"/>
        </w:rPr>
      </w:pPr>
      <w:r>
        <w:rPr>
          <w:rFonts w:eastAsia="Times New Roman" w:cs="Times New Roman"/>
          <w:noProof/>
        </w:rPr>
        <w:drawing>
          <wp:inline distT="0" distB="0" distL="0" distR="0" wp14:anchorId="46DB45E0" wp14:editId="65148DE5">
            <wp:extent cx="2057400" cy="464774"/>
            <wp:effectExtent l="0" t="0" r="0" b="0"/>
            <wp:docPr id="452" name="Picture 452" descr="I:\Home\PDM\G.D.L.A\Journal\2013\Articles\For Alena\Lynn_Roberson_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me\PDM\G.D.L.A\Journal\2013\Articles\For Alena\Lynn_Roberson_Sign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464774"/>
                    </a:xfrm>
                    <a:prstGeom prst="rect">
                      <a:avLst/>
                    </a:prstGeom>
                    <a:noFill/>
                    <a:ln>
                      <a:noFill/>
                    </a:ln>
                  </pic:spPr>
                </pic:pic>
              </a:graphicData>
            </a:graphic>
          </wp:inline>
        </w:drawing>
      </w:r>
    </w:p>
    <w:p w:rsidR="00D878F1" w:rsidRDefault="00D878F1" w:rsidP="00D878F1">
      <w:pPr>
        <w:pStyle w:val="GDLA"/>
        <w:spacing w:line="240" w:lineRule="auto"/>
        <w:ind w:left="5040" w:firstLine="720"/>
        <w:jc w:val="both"/>
        <w:rPr>
          <w:b w:val="0"/>
          <w:sz w:val="22"/>
          <w:szCs w:val="22"/>
        </w:rPr>
      </w:pPr>
    </w:p>
    <w:p w:rsidR="00D878F1" w:rsidRDefault="00D878F1" w:rsidP="00D878F1">
      <w:pPr>
        <w:widowControl w:val="0"/>
        <w:spacing w:after="0" w:line="240" w:lineRule="auto"/>
        <w:ind w:left="4320" w:firstLine="720"/>
        <w:jc w:val="both"/>
        <w:rPr>
          <w:rFonts w:ascii="Century Schoolbook" w:eastAsia="Times New Roman" w:hAnsi="Century Schoolbook" w:cs="Times New Roman"/>
          <w:snapToGrid w:val="0"/>
        </w:rPr>
      </w:pPr>
      <w:r w:rsidRPr="00D878F1">
        <w:rPr>
          <w:rFonts w:ascii="Century Schoolbook" w:hAnsi="Century Schoolbook"/>
        </w:rPr>
        <w:t>Swift, Currie, McGhee &amp; Hiers, LLP</w:t>
      </w:r>
    </w:p>
    <w:p w:rsidR="00D878F1" w:rsidRDefault="00D878F1" w:rsidP="00D878F1">
      <w:pPr>
        <w:pStyle w:val="GDLA"/>
        <w:spacing w:line="240" w:lineRule="auto"/>
        <w:ind w:left="5040" w:firstLine="720"/>
        <w:jc w:val="both"/>
        <w:rPr>
          <w:rFonts w:eastAsia="Times New Roman" w:cs="Times New Roman"/>
          <w:snapToGrid w:val="0"/>
        </w:rPr>
      </w:pPr>
    </w:p>
    <w:p w:rsidR="00812099" w:rsidRDefault="00812099" w:rsidP="00812099">
      <w:pPr>
        <w:widowControl w:val="0"/>
        <w:spacing w:after="0" w:line="240" w:lineRule="auto"/>
        <w:ind w:firstLine="720"/>
        <w:jc w:val="both"/>
        <w:rPr>
          <w:rFonts w:ascii="Century Schoolbook" w:eastAsia="Times New Roman" w:hAnsi="Century Schoolbook" w:cs="Times New Roman"/>
          <w:snapToGrid w:val="0"/>
        </w:rPr>
      </w:pPr>
    </w:p>
    <w:p w:rsidR="00BE512E" w:rsidRPr="00812099" w:rsidRDefault="00BE512E" w:rsidP="00BE512E">
      <w:pPr>
        <w:widowControl w:val="0"/>
        <w:spacing w:after="0" w:line="240" w:lineRule="auto"/>
        <w:jc w:val="both"/>
        <w:rPr>
          <w:rFonts w:ascii="Century Schoolbook" w:eastAsia="Times New Roman" w:hAnsi="Century Schoolbook" w:cs="Times New Roman"/>
          <w:snapToGrid w:val="0"/>
        </w:rPr>
        <w:sectPr w:rsidR="00BE512E" w:rsidRPr="00812099" w:rsidSect="004E338E">
          <w:pgSz w:w="12240" w:h="15840"/>
          <w:pgMar w:top="1440" w:right="1440" w:bottom="1440" w:left="1440" w:header="720" w:footer="720" w:gutter="0"/>
          <w:pgNumType w:fmt="lowerRoman"/>
          <w:cols w:space="720"/>
          <w:docGrid w:linePitch="360"/>
        </w:sectPr>
      </w:pP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r>
        <w:rPr>
          <w:rFonts w:ascii="Century Schoolbook" w:eastAsia="Times New Roman" w:hAnsi="Century Schoolbook" w:cs="Times New Roman"/>
          <w:snapToGrid w:val="0"/>
        </w:rPr>
        <w:tab/>
      </w:r>
    </w:p>
    <w:p w:rsidR="00E16721" w:rsidRDefault="009C498C" w:rsidP="001920CF">
      <w:pPr>
        <w:pStyle w:val="GDLA"/>
        <w:outlineLvl w:val="0"/>
      </w:pPr>
      <w:bookmarkStart w:id="1" w:name="_Toc356227224"/>
      <w:r>
        <w:lastRenderedPageBreak/>
        <w:t>EDITOR’S ACKNOWLEDGEMENT</w:t>
      </w:r>
      <w:bookmarkEnd w:id="1"/>
    </w:p>
    <w:p w:rsidR="00623B3E" w:rsidRDefault="00623B3E" w:rsidP="00D61CE7">
      <w:pPr>
        <w:pStyle w:val="GDLA"/>
        <w:jc w:val="left"/>
        <w:outlineLvl w:val="0"/>
        <w:rPr>
          <w:b w:val="0"/>
          <w:sz w:val="22"/>
          <w:szCs w:val="22"/>
          <w:lang w:val="en"/>
        </w:rPr>
      </w:pPr>
    </w:p>
    <w:p w:rsidR="00D61CE7" w:rsidRDefault="00D61CE7" w:rsidP="00D61CE7">
      <w:pPr>
        <w:pStyle w:val="GDLA"/>
        <w:pBdr>
          <w:top w:val="single" w:sz="4" w:space="1" w:color="auto"/>
          <w:left w:val="single" w:sz="4" w:space="4" w:color="auto"/>
          <w:bottom w:val="single" w:sz="4" w:space="1" w:color="auto"/>
          <w:right w:val="single" w:sz="4" w:space="4" w:color="auto"/>
        </w:pBdr>
        <w:shd w:val="clear" w:color="auto" w:fill="C2D69B" w:themeFill="accent3" w:themeFillTint="99"/>
        <w:spacing w:line="240" w:lineRule="auto"/>
        <w:jc w:val="both"/>
        <w:rPr>
          <w:rFonts w:eastAsia="Times New Roman" w:cs="Times New Roman"/>
          <w:b w:val="0"/>
          <w:sz w:val="22"/>
          <w:szCs w:val="22"/>
          <w:lang w:val="en"/>
        </w:rPr>
      </w:pPr>
      <w:r w:rsidRPr="00D61CE7">
        <w:rPr>
          <w:noProof/>
        </w:rPr>
        <w:drawing>
          <wp:anchor distT="0" distB="0" distL="114300" distR="114300" simplePos="0" relativeHeight="251677696" behindDoc="0" locked="0" layoutInCell="1" allowOverlap="1" wp14:anchorId="30308AE1" wp14:editId="514CB740">
            <wp:simplePos x="0" y="0"/>
            <wp:positionH relativeFrom="margin">
              <wp:posOffset>-91440</wp:posOffset>
            </wp:positionH>
            <wp:positionV relativeFrom="margin">
              <wp:posOffset>441325</wp:posOffset>
            </wp:positionV>
            <wp:extent cx="1158240" cy="1410335"/>
            <wp:effectExtent l="0" t="0" r="381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24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 w:val="22"/>
          <w:szCs w:val="22"/>
          <w:lang w:val="en"/>
        </w:rPr>
        <w:t>P</w:t>
      </w:r>
      <w:r w:rsidRPr="00623B3E">
        <w:rPr>
          <w:rFonts w:eastAsia="Times New Roman" w:cs="Times New Roman"/>
          <w:sz w:val="22"/>
          <w:szCs w:val="22"/>
          <w:lang w:val="en"/>
        </w:rPr>
        <w:t>eter D. Muller</w:t>
      </w:r>
      <w:r w:rsidRPr="00623B3E">
        <w:rPr>
          <w:rFonts w:eastAsia="Times New Roman" w:cs="Times New Roman"/>
          <w:b w:val="0"/>
          <w:sz w:val="22"/>
          <w:szCs w:val="22"/>
          <w:lang w:val="en"/>
        </w:rPr>
        <w:t xml:space="preserve"> is the managing partner of the Savannah office of </w:t>
      </w:r>
      <w:r w:rsidRPr="00623B3E">
        <w:rPr>
          <w:rFonts w:eastAsia="Times New Roman" w:cs="Times New Roman"/>
          <w:b w:val="0"/>
          <w:spacing w:val="-3"/>
          <w:sz w:val="22"/>
          <w:szCs w:val="22"/>
          <w:lang w:val="en"/>
        </w:rPr>
        <w:t xml:space="preserve">Goodman McGuffey Lindsey &amp; Johnson, LLP. </w:t>
      </w:r>
      <w:r w:rsidRPr="00623B3E">
        <w:rPr>
          <w:rFonts w:eastAsia="Times New Roman" w:cs="Times New Roman"/>
          <w:b w:val="0"/>
          <w:sz w:val="22"/>
          <w:szCs w:val="22"/>
          <w:lang w:val="en"/>
        </w:rPr>
        <w:t xml:space="preserve"> He has been practicing in Savannah and throughout South Georgia since 1987.  Peter handles a wide range of defense litigation, including premises liability, vehicle accidents,</w:t>
      </w:r>
      <w:r w:rsidR="00437562">
        <w:rPr>
          <w:rFonts w:eastAsia="Times New Roman" w:cs="Times New Roman"/>
          <w:b w:val="0"/>
          <w:sz w:val="22"/>
          <w:szCs w:val="22"/>
          <w:lang w:val="en"/>
        </w:rPr>
        <w:t xml:space="preserve"> factory accidents,</w:t>
      </w:r>
      <w:r w:rsidRPr="00623B3E">
        <w:rPr>
          <w:rFonts w:eastAsia="Times New Roman" w:cs="Times New Roman"/>
          <w:b w:val="0"/>
          <w:sz w:val="22"/>
          <w:szCs w:val="22"/>
          <w:lang w:val="en"/>
        </w:rPr>
        <w:t xml:space="preserve"> false arrest, construction, professional liability, and </w:t>
      </w:r>
      <w:r w:rsidR="00437562">
        <w:rPr>
          <w:rFonts w:eastAsia="Times New Roman" w:cs="Times New Roman"/>
          <w:b w:val="0"/>
          <w:sz w:val="22"/>
          <w:szCs w:val="22"/>
          <w:lang w:val="en"/>
        </w:rPr>
        <w:t>employment</w:t>
      </w:r>
      <w:r w:rsidRPr="00623B3E">
        <w:rPr>
          <w:rFonts w:eastAsia="Times New Roman" w:cs="Times New Roman"/>
          <w:b w:val="0"/>
          <w:sz w:val="22"/>
          <w:szCs w:val="22"/>
          <w:lang w:val="en"/>
        </w:rPr>
        <w:t xml:space="preserve"> matters.  He is a “Double Dawg” (UGA J.D. 1987, A.B.J. 1984).</w:t>
      </w:r>
    </w:p>
    <w:p w:rsidR="00D61CE7" w:rsidRDefault="00D61CE7" w:rsidP="00D61CE7">
      <w:pPr>
        <w:pStyle w:val="GDLA"/>
        <w:pBdr>
          <w:top w:val="single" w:sz="4" w:space="1" w:color="auto"/>
          <w:left w:val="single" w:sz="4" w:space="4" w:color="auto"/>
          <w:bottom w:val="single" w:sz="4" w:space="1" w:color="auto"/>
          <w:right w:val="single" w:sz="4" w:space="4" w:color="auto"/>
        </w:pBdr>
        <w:shd w:val="clear" w:color="auto" w:fill="C2D69B" w:themeFill="accent3" w:themeFillTint="99"/>
        <w:spacing w:line="240" w:lineRule="auto"/>
        <w:jc w:val="both"/>
        <w:rPr>
          <w:rFonts w:eastAsia="Times New Roman" w:cs="Times New Roman"/>
          <w:b w:val="0"/>
          <w:sz w:val="22"/>
          <w:szCs w:val="22"/>
          <w:lang w:val="en"/>
        </w:rPr>
      </w:pPr>
    </w:p>
    <w:p w:rsidR="00D61CE7" w:rsidRDefault="00D61CE7" w:rsidP="00623B3E">
      <w:pPr>
        <w:pStyle w:val="GDLA"/>
        <w:spacing w:line="240" w:lineRule="auto"/>
        <w:jc w:val="both"/>
        <w:rPr>
          <w:b w:val="0"/>
          <w:sz w:val="22"/>
          <w:szCs w:val="22"/>
          <w:lang w:val="en"/>
        </w:rPr>
      </w:pPr>
    </w:p>
    <w:p w:rsidR="00623B3E" w:rsidRPr="00623B3E" w:rsidRDefault="00623B3E" w:rsidP="00623B3E">
      <w:pPr>
        <w:pStyle w:val="GDLA"/>
        <w:spacing w:line="240" w:lineRule="auto"/>
        <w:jc w:val="both"/>
        <w:rPr>
          <w:b w:val="0"/>
          <w:sz w:val="22"/>
          <w:szCs w:val="22"/>
          <w:lang w:val="en"/>
        </w:rPr>
      </w:pPr>
      <w:r w:rsidRPr="00623B3E">
        <w:rPr>
          <w:b w:val="0"/>
          <w:sz w:val="22"/>
          <w:szCs w:val="22"/>
          <w:lang w:val="en"/>
        </w:rPr>
        <w:t xml:space="preserve">Twenty-seven years have passed since I last toiled in the trenches of the </w:t>
      </w:r>
      <w:r w:rsidRPr="00623B3E">
        <w:rPr>
          <w:b w:val="0"/>
          <w:i/>
          <w:sz w:val="22"/>
          <w:szCs w:val="22"/>
          <w:lang w:val="en"/>
        </w:rPr>
        <w:t>Georgia Law Review</w:t>
      </w:r>
      <w:r w:rsidRPr="00623B3E">
        <w:rPr>
          <w:b w:val="0"/>
          <w:sz w:val="22"/>
          <w:szCs w:val="22"/>
          <w:lang w:val="en"/>
        </w:rPr>
        <w:t xml:space="preserve">.  Nature apparently provides us with an ability to forget that pain, causing us to return to our labors and thus allowing legal journals to endure.  It was with that veil of tranquil amnesia that I agreed to rekindle my romance with </w:t>
      </w:r>
      <w:r w:rsidRPr="00623B3E">
        <w:rPr>
          <w:b w:val="0"/>
          <w:i/>
          <w:sz w:val="22"/>
          <w:szCs w:val="22"/>
          <w:lang w:val="en"/>
        </w:rPr>
        <w:t>The Bluebook</w:t>
      </w:r>
      <w:r w:rsidRPr="00623B3E">
        <w:rPr>
          <w:b w:val="0"/>
          <w:sz w:val="22"/>
          <w:szCs w:val="22"/>
          <w:lang w:val="en"/>
        </w:rPr>
        <w:t xml:space="preserve"> and to venture back into the art of journal editing. </w:t>
      </w:r>
    </w:p>
    <w:p w:rsidR="00623B3E" w:rsidRPr="00623B3E" w:rsidRDefault="00623B3E" w:rsidP="00623B3E">
      <w:pPr>
        <w:pStyle w:val="GDLA"/>
        <w:spacing w:line="240" w:lineRule="auto"/>
        <w:jc w:val="both"/>
        <w:rPr>
          <w:b w:val="0"/>
          <w:sz w:val="22"/>
          <w:szCs w:val="22"/>
          <w:lang w:val="en"/>
        </w:rPr>
      </w:pPr>
    </w:p>
    <w:p w:rsidR="009053EE" w:rsidRDefault="00623B3E" w:rsidP="00623B3E">
      <w:pPr>
        <w:pStyle w:val="GDLA"/>
        <w:spacing w:line="240" w:lineRule="auto"/>
        <w:jc w:val="both"/>
        <w:rPr>
          <w:b w:val="0"/>
          <w:sz w:val="22"/>
          <w:szCs w:val="22"/>
          <w:lang w:val="en"/>
        </w:rPr>
      </w:pPr>
      <w:r w:rsidRPr="00623B3E">
        <w:rPr>
          <w:b w:val="0"/>
          <w:sz w:val="22"/>
          <w:szCs w:val="22"/>
          <w:lang w:val="en"/>
        </w:rPr>
        <w:t xml:space="preserve">Thankfully, many other members of the GDLA volunteered to ensure that I would have material to edit and that our </w:t>
      </w:r>
      <w:r w:rsidRPr="00623B3E">
        <w:rPr>
          <w:b w:val="0"/>
          <w:i/>
          <w:sz w:val="22"/>
          <w:szCs w:val="22"/>
          <w:lang w:val="en"/>
        </w:rPr>
        <w:t>Law Journal</w:t>
      </w:r>
      <w:r w:rsidRPr="00623B3E">
        <w:rPr>
          <w:b w:val="0"/>
          <w:sz w:val="22"/>
          <w:szCs w:val="22"/>
          <w:lang w:val="en"/>
        </w:rPr>
        <w:t xml:space="preserve"> would prosper.</w:t>
      </w:r>
      <w:r w:rsidR="009C498C">
        <w:rPr>
          <w:b w:val="0"/>
          <w:sz w:val="22"/>
          <w:szCs w:val="22"/>
          <w:lang w:val="en"/>
        </w:rPr>
        <w:t xml:space="preserve">  </w:t>
      </w:r>
    </w:p>
    <w:p w:rsidR="009053EE" w:rsidRDefault="009053EE" w:rsidP="00623B3E">
      <w:pPr>
        <w:pStyle w:val="GDLA"/>
        <w:spacing w:line="240" w:lineRule="auto"/>
        <w:jc w:val="both"/>
        <w:rPr>
          <w:b w:val="0"/>
          <w:sz w:val="22"/>
          <w:szCs w:val="22"/>
          <w:lang w:val="en"/>
        </w:rPr>
      </w:pPr>
    </w:p>
    <w:p w:rsidR="009053EE" w:rsidRDefault="00623B3E" w:rsidP="00623B3E">
      <w:pPr>
        <w:pStyle w:val="GDLA"/>
        <w:spacing w:line="240" w:lineRule="auto"/>
        <w:jc w:val="both"/>
        <w:rPr>
          <w:b w:val="0"/>
          <w:sz w:val="22"/>
          <w:szCs w:val="22"/>
          <w:lang w:val="en"/>
        </w:rPr>
      </w:pPr>
      <w:r w:rsidRPr="00623B3E">
        <w:rPr>
          <w:b w:val="0"/>
          <w:sz w:val="22"/>
          <w:szCs w:val="22"/>
          <w:lang w:val="en"/>
        </w:rPr>
        <w:t>This year’s authors are</w:t>
      </w:r>
      <w:r w:rsidR="009053EE">
        <w:rPr>
          <w:b w:val="0"/>
          <w:sz w:val="22"/>
          <w:szCs w:val="22"/>
          <w:lang w:val="en"/>
        </w:rPr>
        <w:t>:</w:t>
      </w:r>
    </w:p>
    <w:p w:rsidR="009053EE" w:rsidRDefault="009053EE" w:rsidP="00623B3E">
      <w:pPr>
        <w:pStyle w:val="GDLA"/>
        <w:spacing w:line="240" w:lineRule="auto"/>
        <w:jc w:val="both"/>
        <w:rPr>
          <w:b w:val="0"/>
          <w:sz w:val="22"/>
          <w:szCs w:val="22"/>
          <w:lang w:val="en"/>
        </w:rPr>
      </w:pPr>
    </w:p>
    <w:p w:rsidR="009053EE" w:rsidRDefault="009053EE" w:rsidP="00623B3E">
      <w:pPr>
        <w:pStyle w:val="GDLA"/>
        <w:spacing w:line="240" w:lineRule="auto"/>
        <w:jc w:val="both"/>
        <w:rPr>
          <w:b w:val="0"/>
          <w:sz w:val="22"/>
          <w:szCs w:val="22"/>
        </w:rPr>
        <w:sectPr w:rsidR="009053EE" w:rsidSect="004E338E">
          <w:pgSz w:w="12240" w:h="15840"/>
          <w:pgMar w:top="1440" w:right="1440" w:bottom="1440" w:left="1440" w:header="720" w:footer="720" w:gutter="0"/>
          <w:pgNumType w:fmt="lowerRoman"/>
          <w:cols w:space="720"/>
          <w:docGrid w:linePitch="360"/>
        </w:sectPr>
      </w:pPr>
    </w:p>
    <w:p w:rsidR="009053EE" w:rsidRDefault="009053EE" w:rsidP="009053EE">
      <w:pPr>
        <w:pStyle w:val="GDLA"/>
        <w:spacing w:line="240" w:lineRule="auto"/>
        <w:jc w:val="both"/>
        <w:rPr>
          <w:b w:val="0"/>
          <w:sz w:val="22"/>
          <w:szCs w:val="22"/>
        </w:rPr>
      </w:pPr>
      <w:r w:rsidRPr="00623B3E">
        <w:rPr>
          <w:b w:val="0"/>
          <w:sz w:val="22"/>
          <w:szCs w:val="22"/>
        </w:rPr>
        <w:lastRenderedPageBreak/>
        <w:t xml:space="preserve">Brian Duva and Richard Bruno, </w:t>
      </w:r>
    </w:p>
    <w:p w:rsidR="009053EE" w:rsidRDefault="009053EE" w:rsidP="009053EE">
      <w:pPr>
        <w:pStyle w:val="GDLA"/>
        <w:spacing w:line="240" w:lineRule="auto"/>
        <w:jc w:val="both"/>
        <w:rPr>
          <w:b w:val="0"/>
          <w:sz w:val="22"/>
          <w:szCs w:val="22"/>
        </w:rPr>
      </w:pPr>
      <w:r w:rsidRPr="00623B3E">
        <w:rPr>
          <w:b w:val="0"/>
          <w:i/>
          <w:sz w:val="22"/>
          <w:szCs w:val="22"/>
        </w:rPr>
        <w:t>Mozley, Finlayson &amp; Loggins LLP</w:t>
      </w:r>
    </w:p>
    <w:p w:rsidR="009053EE" w:rsidRDefault="009053EE" w:rsidP="009053EE">
      <w:pPr>
        <w:pStyle w:val="GDLA"/>
        <w:spacing w:line="240" w:lineRule="auto"/>
        <w:jc w:val="both"/>
        <w:rPr>
          <w:b w:val="0"/>
          <w:sz w:val="22"/>
          <w:szCs w:val="22"/>
        </w:rPr>
      </w:pPr>
    </w:p>
    <w:p w:rsidR="009053EE" w:rsidRDefault="009053EE" w:rsidP="009053EE">
      <w:pPr>
        <w:pStyle w:val="GDLA"/>
        <w:spacing w:line="240" w:lineRule="auto"/>
        <w:jc w:val="both"/>
        <w:rPr>
          <w:b w:val="0"/>
          <w:sz w:val="22"/>
          <w:szCs w:val="22"/>
        </w:rPr>
      </w:pPr>
      <w:r w:rsidRPr="00623B3E">
        <w:rPr>
          <w:b w:val="0"/>
          <w:sz w:val="22"/>
          <w:szCs w:val="22"/>
        </w:rPr>
        <w:t>Jake Evans and Zachary Lewis</w:t>
      </w:r>
      <w:r w:rsidR="004B397A">
        <w:rPr>
          <w:b w:val="0"/>
          <w:sz w:val="22"/>
          <w:szCs w:val="22"/>
        </w:rPr>
        <w:t>,</w:t>
      </w:r>
    </w:p>
    <w:p w:rsidR="009053EE" w:rsidRDefault="009053EE" w:rsidP="009053EE">
      <w:pPr>
        <w:pStyle w:val="GDLA"/>
        <w:spacing w:line="240" w:lineRule="auto"/>
        <w:jc w:val="both"/>
        <w:rPr>
          <w:b w:val="0"/>
          <w:sz w:val="22"/>
          <w:szCs w:val="22"/>
        </w:rPr>
      </w:pPr>
      <w:r w:rsidRPr="00623B3E">
        <w:rPr>
          <w:b w:val="0"/>
          <w:i/>
          <w:sz w:val="22"/>
          <w:szCs w:val="22"/>
        </w:rPr>
        <w:t xml:space="preserve">Hawkins Parnell Thackston &amp; Young </w:t>
      </w:r>
    </w:p>
    <w:p w:rsidR="009053EE" w:rsidRDefault="009053EE" w:rsidP="009053EE">
      <w:pPr>
        <w:pStyle w:val="GDLA"/>
        <w:spacing w:line="240" w:lineRule="auto"/>
        <w:jc w:val="both"/>
        <w:rPr>
          <w:b w:val="0"/>
          <w:sz w:val="22"/>
          <w:szCs w:val="22"/>
        </w:rPr>
      </w:pPr>
    </w:p>
    <w:p w:rsidR="009053EE" w:rsidRDefault="009053EE" w:rsidP="009053EE">
      <w:pPr>
        <w:pStyle w:val="GDLA"/>
        <w:spacing w:line="240" w:lineRule="auto"/>
        <w:jc w:val="both"/>
        <w:rPr>
          <w:b w:val="0"/>
          <w:sz w:val="22"/>
          <w:szCs w:val="22"/>
          <w:lang w:val="en"/>
        </w:rPr>
      </w:pPr>
      <w:r w:rsidRPr="00623B3E">
        <w:rPr>
          <w:b w:val="0"/>
          <w:sz w:val="22"/>
          <w:szCs w:val="22"/>
          <w:lang w:val="en"/>
        </w:rPr>
        <w:t xml:space="preserve">Alexander "Alec" T. Galloway, III, </w:t>
      </w:r>
    </w:p>
    <w:p w:rsidR="009053EE" w:rsidRDefault="009053EE" w:rsidP="009053EE">
      <w:pPr>
        <w:pStyle w:val="GDLA"/>
        <w:spacing w:line="240" w:lineRule="auto"/>
        <w:jc w:val="both"/>
        <w:rPr>
          <w:b w:val="0"/>
          <w:sz w:val="22"/>
          <w:szCs w:val="22"/>
          <w:lang w:val="en"/>
        </w:rPr>
      </w:pPr>
      <w:r w:rsidRPr="00623B3E">
        <w:rPr>
          <w:b w:val="0"/>
          <w:i/>
          <w:sz w:val="22"/>
          <w:szCs w:val="22"/>
          <w:lang w:val="en"/>
        </w:rPr>
        <w:t>Moore, Ingram, Johnson &amp; Steele, LLP</w:t>
      </w:r>
    </w:p>
    <w:p w:rsidR="009053EE" w:rsidRDefault="009053EE" w:rsidP="009053EE">
      <w:pPr>
        <w:pStyle w:val="GDLA"/>
        <w:spacing w:line="240" w:lineRule="auto"/>
        <w:jc w:val="both"/>
        <w:rPr>
          <w:b w:val="0"/>
          <w:sz w:val="22"/>
          <w:szCs w:val="22"/>
          <w:lang w:val="en"/>
        </w:rPr>
      </w:pPr>
    </w:p>
    <w:p w:rsidR="009053EE" w:rsidRDefault="009053EE" w:rsidP="009053EE">
      <w:pPr>
        <w:pStyle w:val="GDLA"/>
        <w:spacing w:line="240" w:lineRule="auto"/>
        <w:jc w:val="both"/>
        <w:rPr>
          <w:b w:val="0"/>
          <w:sz w:val="22"/>
          <w:szCs w:val="22"/>
        </w:rPr>
      </w:pPr>
      <w:r w:rsidRPr="00623B3E">
        <w:rPr>
          <w:b w:val="0"/>
          <w:sz w:val="22"/>
          <w:szCs w:val="22"/>
          <w:lang w:val="en"/>
        </w:rPr>
        <w:t xml:space="preserve">Mel Haas, </w:t>
      </w:r>
      <w:r w:rsidRPr="00623B3E">
        <w:rPr>
          <w:b w:val="0"/>
          <w:sz w:val="22"/>
          <w:szCs w:val="22"/>
        </w:rPr>
        <w:t xml:space="preserve">William Clifton III, Jonathan Martin II, and Alyssa K. Peters, </w:t>
      </w:r>
    </w:p>
    <w:p w:rsidR="009053EE" w:rsidRDefault="009053EE" w:rsidP="009053EE">
      <w:pPr>
        <w:pStyle w:val="GDLA"/>
        <w:spacing w:line="240" w:lineRule="auto"/>
        <w:jc w:val="both"/>
        <w:rPr>
          <w:b w:val="0"/>
          <w:sz w:val="22"/>
          <w:szCs w:val="22"/>
          <w:lang w:val="en"/>
        </w:rPr>
      </w:pPr>
      <w:r w:rsidRPr="00623B3E">
        <w:rPr>
          <w:b w:val="0"/>
          <w:i/>
          <w:sz w:val="22"/>
          <w:szCs w:val="22"/>
          <w:lang w:val="en"/>
        </w:rPr>
        <w:t>Constangy, Brooks &amp; Smith, LLP</w:t>
      </w:r>
    </w:p>
    <w:p w:rsidR="009053EE" w:rsidRDefault="009053EE" w:rsidP="009053EE">
      <w:pPr>
        <w:pStyle w:val="GDLA"/>
        <w:spacing w:line="240" w:lineRule="auto"/>
        <w:jc w:val="both"/>
        <w:rPr>
          <w:b w:val="0"/>
          <w:sz w:val="22"/>
          <w:szCs w:val="22"/>
          <w:lang w:val="en"/>
        </w:rPr>
      </w:pPr>
    </w:p>
    <w:p w:rsidR="009053EE" w:rsidRDefault="009053EE" w:rsidP="009053EE">
      <w:pPr>
        <w:pStyle w:val="GDLA"/>
        <w:spacing w:line="240" w:lineRule="auto"/>
        <w:jc w:val="both"/>
        <w:rPr>
          <w:b w:val="0"/>
          <w:sz w:val="22"/>
          <w:szCs w:val="22"/>
        </w:rPr>
      </w:pPr>
      <w:r w:rsidRPr="00623B3E">
        <w:rPr>
          <w:b w:val="0"/>
          <w:sz w:val="22"/>
          <w:szCs w:val="22"/>
        </w:rPr>
        <w:t>Kenan G. Loomis, Jennifer Kennedy-Coggins, and Morgan Carroll,</w:t>
      </w:r>
    </w:p>
    <w:p w:rsidR="009053EE" w:rsidRDefault="009053EE" w:rsidP="009053EE">
      <w:pPr>
        <w:pStyle w:val="GDLA"/>
        <w:spacing w:line="240" w:lineRule="auto"/>
        <w:jc w:val="both"/>
        <w:rPr>
          <w:b w:val="0"/>
          <w:sz w:val="22"/>
          <w:szCs w:val="22"/>
        </w:rPr>
      </w:pPr>
      <w:r w:rsidRPr="00623B3E">
        <w:rPr>
          <w:b w:val="0"/>
          <w:i/>
          <w:sz w:val="22"/>
          <w:szCs w:val="22"/>
        </w:rPr>
        <w:t>Cozen O’Connor</w:t>
      </w:r>
    </w:p>
    <w:p w:rsidR="009053EE" w:rsidRDefault="009053EE" w:rsidP="009053EE">
      <w:pPr>
        <w:pStyle w:val="GDLA"/>
        <w:spacing w:line="240" w:lineRule="auto"/>
        <w:jc w:val="both"/>
        <w:rPr>
          <w:b w:val="0"/>
          <w:sz w:val="22"/>
          <w:szCs w:val="22"/>
        </w:rPr>
      </w:pPr>
    </w:p>
    <w:p w:rsidR="009053EE" w:rsidRDefault="009053EE" w:rsidP="009053EE">
      <w:pPr>
        <w:pStyle w:val="GDLA"/>
        <w:spacing w:line="240" w:lineRule="auto"/>
        <w:jc w:val="both"/>
        <w:rPr>
          <w:b w:val="0"/>
          <w:iCs/>
          <w:sz w:val="22"/>
          <w:szCs w:val="22"/>
          <w:lang w:val="en"/>
        </w:rPr>
      </w:pPr>
      <w:r w:rsidRPr="00623B3E">
        <w:rPr>
          <w:b w:val="0"/>
          <w:iCs/>
          <w:sz w:val="22"/>
          <w:szCs w:val="22"/>
          <w:lang w:val="en"/>
        </w:rPr>
        <w:lastRenderedPageBreak/>
        <w:t xml:space="preserve">Adam Masarek, </w:t>
      </w:r>
    </w:p>
    <w:p w:rsidR="009053EE" w:rsidRDefault="009053EE" w:rsidP="009053EE">
      <w:pPr>
        <w:pStyle w:val="GDLA"/>
        <w:spacing w:line="240" w:lineRule="auto"/>
        <w:jc w:val="both"/>
        <w:rPr>
          <w:b w:val="0"/>
          <w:iCs/>
          <w:sz w:val="22"/>
          <w:szCs w:val="22"/>
        </w:rPr>
      </w:pPr>
      <w:r w:rsidRPr="00623B3E">
        <w:rPr>
          <w:b w:val="0"/>
          <w:i/>
          <w:iCs/>
          <w:sz w:val="22"/>
          <w:szCs w:val="22"/>
        </w:rPr>
        <w:t>Drew, Eckl &amp; Farnham, LLP</w:t>
      </w:r>
    </w:p>
    <w:p w:rsidR="009053EE" w:rsidRDefault="009053EE" w:rsidP="009053EE">
      <w:pPr>
        <w:pStyle w:val="GDLA"/>
        <w:spacing w:line="240" w:lineRule="auto"/>
        <w:jc w:val="both"/>
        <w:rPr>
          <w:b w:val="0"/>
          <w:iCs/>
          <w:sz w:val="22"/>
          <w:szCs w:val="22"/>
        </w:rPr>
      </w:pPr>
    </w:p>
    <w:p w:rsidR="009053EE" w:rsidRDefault="009053EE" w:rsidP="00623B3E">
      <w:pPr>
        <w:pStyle w:val="GDLA"/>
        <w:spacing w:line="240" w:lineRule="auto"/>
        <w:jc w:val="both"/>
        <w:rPr>
          <w:b w:val="0"/>
          <w:bCs/>
          <w:iCs/>
          <w:sz w:val="22"/>
          <w:szCs w:val="22"/>
        </w:rPr>
      </w:pPr>
      <w:r w:rsidRPr="00623B3E">
        <w:rPr>
          <w:b w:val="0"/>
          <w:bCs/>
          <w:iCs/>
          <w:sz w:val="22"/>
          <w:szCs w:val="22"/>
        </w:rPr>
        <w:t>James “Dart” Meadows, Lorna Norton, and James Hollis,</w:t>
      </w:r>
    </w:p>
    <w:p w:rsidR="009053EE" w:rsidRDefault="009053EE" w:rsidP="00623B3E">
      <w:pPr>
        <w:pStyle w:val="GDLA"/>
        <w:spacing w:line="240" w:lineRule="auto"/>
        <w:jc w:val="both"/>
        <w:rPr>
          <w:b w:val="0"/>
          <w:bCs/>
          <w:iCs/>
          <w:sz w:val="22"/>
          <w:szCs w:val="22"/>
        </w:rPr>
      </w:pPr>
      <w:r w:rsidRPr="00623B3E">
        <w:rPr>
          <w:b w:val="0"/>
          <w:bCs/>
          <w:i/>
          <w:iCs/>
          <w:sz w:val="22"/>
          <w:szCs w:val="22"/>
        </w:rPr>
        <w:t>Balch &amp; Bingham LLP</w:t>
      </w:r>
      <w:r w:rsidRPr="00623B3E">
        <w:rPr>
          <w:b w:val="0"/>
          <w:bCs/>
          <w:iCs/>
          <w:sz w:val="22"/>
          <w:szCs w:val="22"/>
        </w:rPr>
        <w:t xml:space="preserve"> </w:t>
      </w:r>
    </w:p>
    <w:p w:rsidR="009053EE" w:rsidRDefault="009053EE" w:rsidP="00623B3E">
      <w:pPr>
        <w:pStyle w:val="GDLA"/>
        <w:spacing w:line="240" w:lineRule="auto"/>
        <w:jc w:val="both"/>
        <w:rPr>
          <w:b w:val="0"/>
          <w:bCs/>
          <w:iCs/>
          <w:sz w:val="22"/>
          <w:szCs w:val="22"/>
        </w:rPr>
      </w:pPr>
    </w:p>
    <w:p w:rsidR="009053EE" w:rsidRDefault="009053EE" w:rsidP="009053EE">
      <w:pPr>
        <w:pStyle w:val="GDLA"/>
        <w:spacing w:line="240" w:lineRule="auto"/>
        <w:jc w:val="both"/>
        <w:rPr>
          <w:b w:val="0"/>
          <w:sz w:val="22"/>
          <w:szCs w:val="22"/>
        </w:rPr>
      </w:pPr>
      <w:r w:rsidRPr="00623B3E">
        <w:rPr>
          <w:b w:val="0"/>
          <w:sz w:val="22"/>
          <w:szCs w:val="22"/>
        </w:rPr>
        <w:t xml:space="preserve">Wayne S. Melnick, </w:t>
      </w:r>
    </w:p>
    <w:p w:rsidR="009053EE" w:rsidRDefault="009053EE" w:rsidP="009053EE">
      <w:pPr>
        <w:pStyle w:val="GDLA"/>
        <w:spacing w:line="240" w:lineRule="auto"/>
        <w:jc w:val="both"/>
        <w:rPr>
          <w:b w:val="0"/>
          <w:sz w:val="22"/>
          <w:szCs w:val="22"/>
        </w:rPr>
      </w:pPr>
      <w:r w:rsidRPr="00623B3E">
        <w:rPr>
          <w:b w:val="0"/>
          <w:i/>
          <w:iCs/>
          <w:sz w:val="22"/>
          <w:szCs w:val="22"/>
        </w:rPr>
        <w:t>Freeman, Mathis &amp; Gary, LLP</w:t>
      </w:r>
    </w:p>
    <w:p w:rsidR="009053EE" w:rsidRDefault="009053EE" w:rsidP="009053EE">
      <w:pPr>
        <w:pStyle w:val="GDLA"/>
        <w:spacing w:line="240" w:lineRule="auto"/>
        <w:jc w:val="both"/>
        <w:rPr>
          <w:b w:val="0"/>
          <w:sz w:val="22"/>
          <w:szCs w:val="22"/>
          <w:lang w:val="en"/>
        </w:rPr>
      </w:pPr>
    </w:p>
    <w:p w:rsidR="009053EE" w:rsidRDefault="00623B3E" w:rsidP="00623B3E">
      <w:pPr>
        <w:pStyle w:val="GDLA"/>
        <w:spacing w:line="240" w:lineRule="auto"/>
        <w:jc w:val="both"/>
        <w:rPr>
          <w:b w:val="0"/>
          <w:bCs/>
          <w:iCs/>
          <w:sz w:val="22"/>
          <w:szCs w:val="22"/>
        </w:rPr>
      </w:pPr>
      <w:r w:rsidRPr="00623B3E">
        <w:rPr>
          <w:b w:val="0"/>
          <w:bCs/>
          <w:iCs/>
          <w:sz w:val="22"/>
          <w:szCs w:val="22"/>
        </w:rPr>
        <w:t xml:space="preserve">Edward R. “Ed” Stabell, III and Britton G. White, </w:t>
      </w:r>
    </w:p>
    <w:p w:rsidR="009053EE" w:rsidRDefault="00623B3E" w:rsidP="00623B3E">
      <w:pPr>
        <w:pStyle w:val="GDLA"/>
        <w:spacing w:line="240" w:lineRule="auto"/>
        <w:jc w:val="both"/>
        <w:rPr>
          <w:b w:val="0"/>
          <w:bCs/>
          <w:iCs/>
          <w:sz w:val="22"/>
          <w:szCs w:val="22"/>
        </w:rPr>
      </w:pPr>
      <w:r w:rsidRPr="00623B3E">
        <w:rPr>
          <w:b w:val="0"/>
          <w:bCs/>
          <w:i/>
          <w:iCs/>
          <w:sz w:val="22"/>
          <w:szCs w:val="22"/>
        </w:rPr>
        <w:t>Brennan, Harris &amp; Rominger LLP</w:t>
      </w:r>
      <w:r w:rsidRPr="00623B3E">
        <w:rPr>
          <w:b w:val="0"/>
          <w:bCs/>
          <w:iCs/>
          <w:sz w:val="22"/>
          <w:szCs w:val="22"/>
        </w:rPr>
        <w:t xml:space="preserve">; </w:t>
      </w:r>
    </w:p>
    <w:p w:rsidR="009053EE" w:rsidRDefault="009053EE" w:rsidP="00623B3E">
      <w:pPr>
        <w:pStyle w:val="GDLA"/>
        <w:spacing w:line="240" w:lineRule="auto"/>
        <w:jc w:val="both"/>
        <w:rPr>
          <w:b w:val="0"/>
          <w:bCs/>
          <w:iCs/>
          <w:sz w:val="22"/>
          <w:szCs w:val="22"/>
        </w:rPr>
      </w:pPr>
    </w:p>
    <w:p w:rsidR="009053EE" w:rsidRDefault="009053EE" w:rsidP="00623B3E">
      <w:pPr>
        <w:pStyle w:val="GDLA"/>
        <w:spacing w:line="240" w:lineRule="auto"/>
        <w:jc w:val="both"/>
        <w:rPr>
          <w:b w:val="0"/>
          <w:bCs/>
          <w:iCs/>
          <w:sz w:val="22"/>
          <w:szCs w:val="22"/>
        </w:rPr>
      </w:pPr>
    </w:p>
    <w:p w:rsidR="00623B3E" w:rsidRPr="00623B3E" w:rsidRDefault="00623B3E" w:rsidP="00623B3E">
      <w:pPr>
        <w:pStyle w:val="GDLA"/>
        <w:spacing w:line="240" w:lineRule="auto"/>
        <w:jc w:val="both"/>
        <w:rPr>
          <w:b w:val="0"/>
          <w:sz w:val="22"/>
          <w:szCs w:val="22"/>
          <w:lang w:val="en"/>
        </w:rPr>
      </w:pPr>
    </w:p>
    <w:p w:rsidR="009053EE" w:rsidRDefault="009053EE" w:rsidP="00623B3E">
      <w:pPr>
        <w:pStyle w:val="GDLA"/>
        <w:spacing w:line="240" w:lineRule="auto"/>
        <w:jc w:val="both"/>
        <w:rPr>
          <w:b w:val="0"/>
          <w:sz w:val="22"/>
          <w:szCs w:val="22"/>
          <w:lang w:val="en"/>
        </w:rPr>
        <w:sectPr w:rsidR="009053EE" w:rsidSect="009053EE">
          <w:type w:val="continuous"/>
          <w:pgSz w:w="12240" w:h="15840"/>
          <w:pgMar w:top="1440" w:right="1440" w:bottom="1440" w:left="1440" w:header="720" w:footer="720" w:gutter="0"/>
          <w:pgNumType w:fmt="lowerRoman"/>
          <w:cols w:num="2" w:space="720"/>
          <w:docGrid w:linePitch="360"/>
        </w:sectPr>
      </w:pPr>
    </w:p>
    <w:p w:rsidR="00623B3E" w:rsidRPr="00623B3E" w:rsidRDefault="00623B3E" w:rsidP="00623B3E">
      <w:pPr>
        <w:pStyle w:val="GDLA"/>
        <w:spacing w:line="240" w:lineRule="auto"/>
        <w:jc w:val="both"/>
        <w:rPr>
          <w:b w:val="0"/>
          <w:sz w:val="22"/>
          <w:szCs w:val="22"/>
          <w:lang w:val="en"/>
        </w:rPr>
      </w:pPr>
    </w:p>
    <w:p w:rsidR="00623B3E" w:rsidRPr="00623B3E" w:rsidRDefault="00623B3E" w:rsidP="00623B3E">
      <w:pPr>
        <w:pStyle w:val="GDLA"/>
        <w:spacing w:line="240" w:lineRule="auto"/>
        <w:jc w:val="both"/>
        <w:rPr>
          <w:b w:val="0"/>
          <w:sz w:val="22"/>
          <w:szCs w:val="22"/>
          <w:lang w:val="en"/>
        </w:rPr>
      </w:pPr>
      <w:r w:rsidRPr="00623B3E">
        <w:rPr>
          <w:b w:val="0"/>
          <w:sz w:val="22"/>
          <w:szCs w:val="22"/>
          <w:lang w:val="en"/>
        </w:rPr>
        <w:t>We could not have issued this publication without the dedication and fortitude of my legal assistant, Alena Roder.  This year, we decided to change the publication format to Microsoft Word, so that readers could “jump” from the table of contents to the articles and between footnotes and text.  Of course, that required Alena to “re-create the wheel,” preventing her from taking advantage of the formatting work of my predecessors.  In recent weeks, she has learned more about the law-journal applications of Word than she ever wanted to know.  I hope that you will utilize these hyperlinks.</w:t>
      </w:r>
    </w:p>
    <w:p w:rsidR="00623B3E" w:rsidRPr="00623B3E" w:rsidRDefault="00623B3E" w:rsidP="00623B3E">
      <w:pPr>
        <w:pStyle w:val="GDLA"/>
        <w:spacing w:line="240" w:lineRule="auto"/>
        <w:jc w:val="both"/>
        <w:rPr>
          <w:b w:val="0"/>
          <w:sz w:val="22"/>
          <w:szCs w:val="22"/>
          <w:lang w:val="en"/>
        </w:rPr>
      </w:pPr>
    </w:p>
    <w:p w:rsidR="00623B3E" w:rsidRPr="00623B3E" w:rsidRDefault="00623B3E" w:rsidP="00623B3E">
      <w:pPr>
        <w:pStyle w:val="GDLA"/>
        <w:spacing w:line="240" w:lineRule="auto"/>
        <w:jc w:val="both"/>
        <w:rPr>
          <w:b w:val="0"/>
          <w:sz w:val="22"/>
          <w:szCs w:val="22"/>
          <w:lang w:val="en"/>
        </w:rPr>
      </w:pPr>
      <w:r w:rsidRPr="00623B3E">
        <w:rPr>
          <w:b w:val="0"/>
          <w:sz w:val="22"/>
          <w:szCs w:val="22"/>
          <w:lang w:val="en"/>
        </w:rPr>
        <w:lastRenderedPageBreak/>
        <w:t>The chairman of the Substantive Law Steering Committee, Brian Moore, and the chairs of the individual SLC’s were instrumental in ensuring that members would “volunteer” to provide us with meaningful articles.</w:t>
      </w:r>
    </w:p>
    <w:p w:rsidR="00623B3E" w:rsidRPr="00623B3E" w:rsidRDefault="00623B3E" w:rsidP="00623B3E">
      <w:pPr>
        <w:pStyle w:val="GDLA"/>
        <w:spacing w:line="240" w:lineRule="auto"/>
        <w:jc w:val="both"/>
        <w:rPr>
          <w:b w:val="0"/>
          <w:sz w:val="22"/>
          <w:szCs w:val="22"/>
          <w:lang w:val="en"/>
        </w:rPr>
      </w:pPr>
    </w:p>
    <w:p w:rsidR="00623B3E" w:rsidRPr="00623B3E" w:rsidRDefault="00623B3E" w:rsidP="00623B3E">
      <w:pPr>
        <w:pStyle w:val="GDLA"/>
        <w:spacing w:line="240" w:lineRule="auto"/>
        <w:jc w:val="both"/>
        <w:rPr>
          <w:b w:val="0"/>
          <w:sz w:val="22"/>
          <w:szCs w:val="22"/>
          <w:lang w:val="en"/>
        </w:rPr>
      </w:pPr>
      <w:r w:rsidRPr="00623B3E">
        <w:rPr>
          <w:b w:val="0"/>
          <w:sz w:val="22"/>
          <w:szCs w:val="22"/>
          <w:lang w:val="en"/>
        </w:rPr>
        <w:t>Of course, as with virtually every activity of the GDLA,</w:t>
      </w:r>
      <w:r w:rsidR="009053EE">
        <w:rPr>
          <w:b w:val="0"/>
          <w:sz w:val="22"/>
          <w:szCs w:val="22"/>
          <w:lang w:val="en"/>
        </w:rPr>
        <w:t xml:space="preserve"> our</w:t>
      </w:r>
      <w:r w:rsidRPr="00623B3E">
        <w:rPr>
          <w:b w:val="0"/>
          <w:sz w:val="22"/>
          <w:szCs w:val="22"/>
          <w:lang w:val="en"/>
        </w:rPr>
        <w:t xml:space="preserve"> faithful Executive Director</w:t>
      </w:r>
      <w:r w:rsidR="009053EE">
        <w:rPr>
          <w:b w:val="0"/>
          <w:sz w:val="22"/>
          <w:szCs w:val="22"/>
          <w:lang w:val="en"/>
        </w:rPr>
        <w:t>,</w:t>
      </w:r>
      <w:r w:rsidRPr="00623B3E">
        <w:rPr>
          <w:b w:val="0"/>
          <w:sz w:val="22"/>
          <w:szCs w:val="22"/>
          <w:lang w:val="en"/>
        </w:rPr>
        <w:t xml:space="preserve"> Jennifer M. Davis</w:t>
      </w:r>
      <w:r w:rsidR="009053EE">
        <w:rPr>
          <w:b w:val="0"/>
          <w:sz w:val="22"/>
          <w:szCs w:val="22"/>
          <w:lang w:val="en"/>
        </w:rPr>
        <w:t>,</w:t>
      </w:r>
      <w:r w:rsidRPr="00623B3E">
        <w:rPr>
          <w:b w:val="0"/>
          <w:sz w:val="22"/>
          <w:szCs w:val="22"/>
          <w:lang w:val="en"/>
        </w:rPr>
        <w:t xml:space="preserve"> was invaluable</w:t>
      </w:r>
      <w:r w:rsidR="009053EE">
        <w:rPr>
          <w:b w:val="0"/>
          <w:sz w:val="22"/>
          <w:szCs w:val="22"/>
          <w:lang w:val="en"/>
        </w:rPr>
        <w:t>—s</w:t>
      </w:r>
      <w:r w:rsidRPr="00623B3E">
        <w:rPr>
          <w:b w:val="0"/>
          <w:sz w:val="22"/>
          <w:szCs w:val="22"/>
          <w:lang w:val="en"/>
        </w:rPr>
        <w:t>hepherding the entire project, handling the publishing efforts, nudging me to meet deadlines, and keeping me (almost) sane.</w:t>
      </w:r>
    </w:p>
    <w:p w:rsidR="00623B3E" w:rsidRPr="00623B3E" w:rsidRDefault="00623B3E" w:rsidP="00623B3E">
      <w:pPr>
        <w:pStyle w:val="GDLA"/>
        <w:spacing w:line="240" w:lineRule="auto"/>
        <w:jc w:val="both"/>
        <w:rPr>
          <w:b w:val="0"/>
          <w:sz w:val="22"/>
          <w:szCs w:val="22"/>
          <w:lang w:val="en"/>
        </w:rPr>
      </w:pPr>
      <w:r>
        <w:rPr>
          <w:b w:val="0"/>
          <w:sz w:val="22"/>
          <w:szCs w:val="22"/>
          <w:lang w:val="en"/>
        </w:rPr>
        <w:tab/>
      </w:r>
    </w:p>
    <w:p w:rsidR="00623B3E" w:rsidRPr="00623B3E" w:rsidRDefault="00623B3E" w:rsidP="00623B3E">
      <w:pPr>
        <w:pStyle w:val="GDLA"/>
        <w:spacing w:line="240" w:lineRule="auto"/>
        <w:jc w:val="both"/>
        <w:rPr>
          <w:b w:val="0"/>
          <w:sz w:val="22"/>
          <w:szCs w:val="22"/>
          <w:lang w:val="en"/>
        </w:rPr>
      </w:pPr>
      <w:r w:rsidRPr="00623B3E">
        <w:rPr>
          <w:b w:val="0"/>
          <w:sz w:val="22"/>
          <w:szCs w:val="22"/>
          <w:lang w:val="en"/>
        </w:rPr>
        <w:t xml:space="preserve">I hope you will find the articles in this year's </w:t>
      </w:r>
      <w:r w:rsidRPr="00623B3E">
        <w:rPr>
          <w:b w:val="0"/>
          <w:i/>
          <w:sz w:val="22"/>
          <w:szCs w:val="22"/>
          <w:lang w:val="en"/>
        </w:rPr>
        <w:t>Law Journal</w:t>
      </w:r>
      <w:r w:rsidRPr="00623B3E">
        <w:rPr>
          <w:b w:val="0"/>
          <w:sz w:val="22"/>
          <w:szCs w:val="22"/>
          <w:lang w:val="en"/>
        </w:rPr>
        <w:t xml:space="preserve"> informative, helpful, and interesting.</w:t>
      </w:r>
    </w:p>
    <w:p w:rsidR="00623B3E" w:rsidRPr="00623B3E" w:rsidRDefault="00623B3E" w:rsidP="00623B3E">
      <w:pPr>
        <w:pStyle w:val="GDLA"/>
        <w:spacing w:line="240" w:lineRule="auto"/>
        <w:jc w:val="both"/>
        <w:rPr>
          <w:b w:val="0"/>
          <w:sz w:val="22"/>
          <w:szCs w:val="22"/>
          <w:lang w:val="en"/>
        </w:rPr>
      </w:pPr>
    </w:p>
    <w:p w:rsidR="00623B3E" w:rsidRPr="00623B3E" w:rsidRDefault="00623B3E" w:rsidP="00D878F1">
      <w:pPr>
        <w:pStyle w:val="GDLA"/>
        <w:spacing w:line="240" w:lineRule="auto"/>
        <w:ind w:left="4320" w:firstLine="720"/>
        <w:jc w:val="both"/>
        <w:rPr>
          <w:b w:val="0"/>
          <w:sz w:val="22"/>
          <w:szCs w:val="22"/>
        </w:rPr>
      </w:pPr>
      <w:r w:rsidRPr="00623B3E">
        <w:rPr>
          <w:b w:val="0"/>
          <w:sz w:val="22"/>
          <w:szCs w:val="22"/>
        </w:rPr>
        <w:t>For the defense,</w:t>
      </w:r>
    </w:p>
    <w:p w:rsidR="00623B3E" w:rsidRPr="00623B3E" w:rsidRDefault="00623B3E" w:rsidP="00D878F1">
      <w:pPr>
        <w:pStyle w:val="GDLA"/>
        <w:spacing w:line="240" w:lineRule="auto"/>
        <w:ind w:left="5040"/>
        <w:jc w:val="both"/>
        <w:rPr>
          <w:b w:val="0"/>
          <w:sz w:val="22"/>
          <w:szCs w:val="22"/>
          <w:lang w:val="en"/>
        </w:rPr>
      </w:pPr>
      <w:r w:rsidRPr="00623B3E">
        <w:rPr>
          <w:b w:val="0"/>
          <w:noProof/>
          <w:sz w:val="22"/>
          <w:szCs w:val="22"/>
        </w:rPr>
        <w:drawing>
          <wp:inline distT="0" distB="0" distL="0" distR="0" wp14:anchorId="6DFEC790" wp14:editId="623AD732">
            <wp:extent cx="1285875" cy="6000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inline>
        </w:drawing>
      </w:r>
    </w:p>
    <w:p w:rsidR="00623B3E" w:rsidRPr="00623B3E" w:rsidRDefault="00623B3E" w:rsidP="00D878F1">
      <w:pPr>
        <w:pStyle w:val="GDLA"/>
        <w:spacing w:line="240" w:lineRule="auto"/>
        <w:ind w:left="5040"/>
        <w:jc w:val="both"/>
        <w:rPr>
          <w:b w:val="0"/>
          <w:sz w:val="22"/>
          <w:szCs w:val="22"/>
          <w:lang w:val="en"/>
        </w:rPr>
      </w:pPr>
      <w:r w:rsidRPr="00623B3E">
        <w:rPr>
          <w:b w:val="0"/>
          <w:sz w:val="22"/>
          <w:szCs w:val="22"/>
          <w:lang w:val="en"/>
        </w:rPr>
        <w:t>Peter D. Muller</w:t>
      </w:r>
    </w:p>
    <w:p w:rsidR="00623B3E" w:rsidRPr="00623B3E" w:rsidRDefault="00623B3E" w:rsidP="00D878F1">
      <w:pPr>
        <w:pStyle w:val="GDLA"/>
        <w:spacing w:line="240" w:lineRule="auto"/>
        <w:ind w:left="5040"/>
        <w:jc w:val="both"/>
        <w:rPr>
          <w:b w:val="0"/>
          <w:sz w:val="22"/>
          <w:szCs w:val="22"/>
          <w:lang w:val="en"/>
        </w:rPr>
      </w:pPr>
      <w:r w:rsidRPr="00623B3E">
        <w:rPr>
          <w:b w:val="0"/>
          <w:sz w:val="22"/>
          <w:szCs w:val="22"/>
          <w:lang w:val="en"/>
        </w:rPr>
        <w:t xml:space="preserve">GDLA </w:t>
      </w:r>
      <w:r w:rsidR="00D878F1">
        <w:rPr>
          <w:b w:val="0"/>
          <w:sz w:val="22"/>
          <w:szCs w:val="22"/>
          <w:lang w:val="en"/>
        </w:rPr>
        <w:t>President</w:t>
      </w:r>
    </w:p>
    <w:p w:rsidR="001920CF" w:rsidRDefault="00623B3E" w:rsidP="00D878F1">
      <w:pPr>
        <w:pStyle w:val="GDLA"/>
        <w:spacing w:line="240" w:lineRule="auto"/>
        <w:ind w:left="5040"/>
        <w:jc w:val="both"/>
        <w:rPr>
          <w:b w:val="0"/>
          <w:sz w:val="22"/>
          <w:szCs w:val="22"/>
          <w:lang w:val="en"/>
        </w:rPr>
      </w:pPr>
      <w:bookmarkStart w:id="2" w:name="WTX_DocNumFoot1"/>
      <w:r w:rsidRPr="00623B3E">
        <w:rPr>
          <w:b w:val="0"/>
          <w:sz w:val="22"/>
          <w:szCs w:val="22"/>
          <w:lang w:val="en"/>
        </w:rPr>
        <w:t>Goodman McGuffey Lindsey &amp; Johnson, LLP</w:t>
      </w:r>
      <w:bookmarkEnd w:id="2"/>
    </w:p>
    <w:p w:rsidR="00623B3E" w:rsidRPr="00623B3E" w:rsidRDefault="00623B3E" w:rsidP="009053EE">
      <w:pPr>
        <w:pStyle w:val="GDLA"/>
        <w:spacing w:line="240" w:lineRule="auto"/>
        <w:ind w:left="5760"/>
        <w:jc w:val="both"/>
        <w:rPr>
          <w:b w:val="0"/>
          <w:sz w:val="22"/>
          <w:szCs w:val="22"/>
          <w:lang w:val="en"/>
        </w:rPr>
        <w:sectPr w:rsidR="00623B3E" w:rsidRPr="00623B3E" w:rsidSect="009053EE">
          <w:type w:val="continuous"/>
          <w:pgSz w:w="12240" w:h="15840"/>
          <w:pgMar w:top="1440" w:right="1440" w:bottom="1440" w:left="1440" w:header="720" w:footer="720" w:gutter="0"/>
          <w:pgNumType w:fmt="lowerRoman"/>
          <w:cols w:space="720"/>
          <w:docGrid w:linePitch="360"/>
        </w:sectPr>
      </w:pPr>
    </w:p>
    <w:p w:rsidR="005C3E72" w:rsidRPr="00414008" w:rsidRDefault="005C3E72" w:rsidP="002A708E">
      <w:pPr>
        <w:pStyle w:val="GDLA"/>
        <w:outlineLvl w:val="0"/>
      </w:pPr>
      <w:bookmarkStart w:id="3" w:name="_Toc356227225"/>
      <w:r w:rsidRPr="00414008">
        <w:lastRenderedPageBreak/>
        <w:t>Sauce for the Goose</w:t>
      </w:r>
      <w:r w:rsidR="002A708E">
        <w:t>:</w:t>
      </w:r>
      <w:bookmarkStart w:id="4" w:name="_Toc355682009"/>
      <w:bookmarkStart w:id="5" w:name="_Toc355682479"/>
      <w:bookmarkStart w:id="6" w:name="_Toc355682545"/>
      <w:r w:rsidR="002A708E">
        <w:t xml:space="preserve"> </w:t>
      </w:r>
      <w:r w:rsidRPr="00414008">
        <w:t>Turning Plaintiffs’ Spoliation of Evidence Against Them</w:t>
      </w:r>
      <w:bookmarkEnd w:id="3"/>
      <w:bookmarkEnd w:id="4"/>
      <w:bookmarkEnd w:id="5"/>
      <w:bookmarkEnd w:id="6"/>
    </w:p>
    <w:p w:rsidR="005C3E72" w:rsidRDefault="005C3E72" w:rsidP="005C3E72">
      <w:pPr>
        <w:spacing w:after="0"/>
        <w:jc w:val="center"/>
        <w:rPr>
          <w:rFonts w:ascii="Century Schoolbook" w:hAnsi="Century Schoolbook"/>
          <w:b/>
          <w:sz w:val="24"/>
          <w:szCs w:val="24"/>
        </w:rPr>
      </w:pPr>
    </w:p>
    <w:p w:rsidR="005C3E72" w:rsidRPr="001E245A" w:rsidRDefault="005C3E72" w:rsidP="00A52DBC">
      <w:pPr>
        <w:pStyle w:val="Author"/>
        <w:outlineLvl w:val="1"/>
      </w:pPr>
      <w:bookmarkStart w:id="7" w:name="_Toc356227226"/>
      <w:r w:rsidRPr="00414008">
        <w:t xml:space="preserve">By </w:t>
      </w:r>
      <w:r>
        <w:t>Wayne S. Melnick</w:t>
      </w:r>
      <w:bookmarkEnd w:id="7"/>
    </w:p>
    <w:p w:rsidR="005C3E72" w:rsidRDefault="005C3E72" w:rsidP="00E16721">
      <w:pPr>
        <w:pStyle w:val="GDLA"/>
        <w:rPr>
          <w:sz w:val="24"/>
          <w:szCs w:val="24"/>
        </w:rPr>
      </w:pPr>
    </w:p>
    <w:p w:rsidR="002F5994" w:rsidRPr="002F5994" w:rsidRDefault="002F5994" w:rsidP="00E16721">
      <w:pPr>
        <w:pStyle w:val="GDLA"/>
        <w:rPr>
          <w:sz w:val="24"/>
          <w:szCs w:val="24"/>
        </w:rPr>
        <w:sectPr w:rsidR="002F5994" w:rsidRPr="002F5994" w:rsidSect="004E338E">
          <w:pgSz w:w="12240" w:h="15840"/>
          <w:pgMar w:top="1440" w:right="1440" w:bottom="1440" w:left="1440" w:header="720" w:footer="720" w:gutter="0"/>
          <w:pgNumType w:start="1"/>
          <w:cols w:space="720"/>
          <w:docGrid w:linePitch="360"/>
        </w:sectPr>
      </w:pPr>
    </w:p>
    <w:p w:rsidR="00223634" w:rsidRDefault="002F5994" w:rsidP="00223634">
      <w:pPr>
        <w:pBdr>
          <w:top w:val="single" w:sz="4" w:space="1" w:color="auto"/>
          <w:left w:val="single" w:sz="4" w:space="4" w:color="auto"/>
          <w:bottom w:val="single" w:sz="4" w:space="1" w:color="auto"/>
          <w:right w:val="single" w:sz="4" w:space="4" w:color="auto"/>
        </w:pBdr>
        <w:shd w:val="clear" w:color="auto" w:fill="81BAC5"/>
        <w:tabs>
          <w:tab w:val="left" w:pos="540"/>
        </w:tabs>
        <w:spacing w:after="0" w:line="240" w:lineRule="auto"/>
        <w:jc w:val="both"/>
        <w:rPr>
          <w:rFonts w:ascii="Century Schoolbook" w:eastAsia="Times New Roman" w:hAnsi="Century Schoolbook" w:cs="Times New Roman"/>
          <w:iCs/>
        </w:rPr>
      </w:pPr>
      <w:r>
        <w:rPr>
          <w:rFonts w:ascii="Century Schoolbook" w:eastAsia="Times New Roman" w:hAnsi="Century Schoolbook" w:cs="Times New Roman"/>
          <w:b/>
          <w:noProof/>
        </w:rPr>
        <w:drawing>
          <wp:anchor distT="0" distB="0" distL="114300" distR="114300" simplePos="0" relativeHeight="251673600" behindDoc="0" locked="0" layoutInCell="1" allowOverlap="1" wp14:anchorId="6D8FB76D" wp14:editId="3D7CAF9B">
            <wp:simplePos x="0" y="0"/>
            <wp:positionH relativeFrom="margin">
              <wp:posOffset>-55880</wp:posOffset>
            </wp:positionH>
            <wp:positionV relativeFrom="margin">
              <wp:posOffset>1876425</wp:posOffset>
            </wp:positionV>
            <wp:extent cx="798830" cy="990600"/>
            <wp:effectExtent l="76200" t="76200" r="134620" b="133350"/>
            <wp:wrapSquare wrapText="bothSides"/>
            <wp:docPr id="11" name="Picture 11" descr="I:\Home\PDM\G.D.L.A\Journal\2013\Articles\For Alena\Melnick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Home\PDM\G.D.L.A\Journal\2013\Articles\For Alena\Melnick headsho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830"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F5994">
        <w:rPr>
          <w:rFonts w:ascii="Century Schoolbook" w:eastAsia="Times New Roman" w:hAnsi="Century Schoolbook" w:cs="Times New Roman"/>
          <w:b/>
        </w:rPr>
        <w:t xml:space="preserve">Wayne </w:t>
      </w:r>
      <w:r w:rsidR="00223634">
        <w:rPr>
          <w:rFonts w:ascii="Century Schoolbook" w:eastAsia="Times New Roman" w:hAnsi="Century Schoolbook" w:cs="Times New Roman"/>
          <w:b/>
        </w:rPr>
        <w:t xml:space="preserve">S. </w:t>
      </w:r>
      <w:r w:rsidRPr="00223634">
        <w:rPr>
          <w:rFonts w:ascii="Century Schoolbook" w:eastAsia="Times New Roman" w:hAnsi="Century Schoolbook" w:cs="Times New Roman"/>
          <w:b/>
        </w:rPr>
        <w:t>Melnick</w:t>
      </w:r>
      <w:r w:rsidRPr="00223634">
        <w:rPr>
          <w:rFonts w:ascii="Century Schoolbook" w:eastAsia="Times New Roman" w:hAnsi="Century Schoolbook" w:cs="Times New Roman"/>
        </w:rPr>
        <w:t xml:space="preserve"> </w:t>
      </w:r>
      <w:r w:rsidR="00223634" w:rsidRPr="00223634">
        <w:rPr>
          <w:rFonts w:ascii="Century Schoolbook" w:eastAsia="Times New Roman" w:hAnsi="Century Schoolbook" w:cs="Times New Roman"/>
          <w:iCs/>
        </w:rPr>
        <w:t>is a partner at Freeman, Mathis &amp; Gary, LLP in Atlanta in the Governmental Law and the Commercial and Complex Litigation practice groups.  He is an experienced trial and appellate lawyer who has represented individuals and many types of governmental and corporate entities.  Mr. Melnick is one of only a select number of attorneys in Georgia that have successfully argued that a plaintiff’s case should be dismissed as sanctions for spoliation of evidence and did so in a case where the plaintiff claimed over $2 million in damages.</w:t>
      </w:r>
    </w:p>
    <w:p w:rsidR="00223634" w:rsidRPr="00223634" w:rsidRDefault="00223634" w:rsidP="00223634">
      <w:pPr>
        <w:pBdr>
          <w:top w:val="single" w:sz="4" w:space="1" w:color="auto"/>
          <w:left w:val="single" w:sz="4" w:space="4" w:color="auto"/>
          <w:bottom w:val="single" w:sz="4" w:space="1" w:color="auto"/>
          <w:right w:val="single" w:sz="4" w:space="4" w:color="auto"/>
        </w:pBdr>
        <w:shd w:val="clear" w:color="auto" w:fill="81BAC5"/>
        <w:tabs>
          <w:tab w:val="left" w:pos="540"/>
        </w:tabs>
        <w:spacing w:after="0" w:line="240" w:lineRule="auto"/>
        <w:jc w:val="both"/>
        <w:rPr>
          <w:rFonts w:ascii="Century Schoolbook" w:eastAsia="Times New Roman" w:hAnsi="Century Schoolbook" w:cs="Times New Roman"/>
          <w:highlight w:val="yellow"/>
        </w:rPr>
      </w:pPr>
    </w:p>
    <w:p w:rsidR="002F5994" w:rsidRDefault="002F5994" w:rsidP="002F5994">
      <w:pPr>
        <w:tabs>
          <w:tab w:val="left" w:pos="540"/>
        </w:tabs>
        <w:spacing w:after="0"/>
        <w:rPr>
          <w:rFonts w:ascii="Century Schoolbook" w:eastAsia="Times New Roman" w:hAnsi="Century Schoolbook" w:cs="Times New Roman"/>
          <w:b/>
        </w:rPr>
      </w:pPr>
    </w:p>
    <w:p w:rsidR="005A61E8" w:rsidRDefault="005A61E8" w:rsidP="002F5994">
      <w:pPr>
        <w:tabs>
          <w:tab w:val="left" w:pos="540"/>
        </w:tabs>
        <w:spacing w:after="0"/>
        <w:rPr>
          <w:rFonts w:ascii="Century Schoolbook" w:eastAsia="Times New Roman" w:hAnsi="Century Schoolbook" w:cs="Times New Roman"/>
          <w:b/>
        </w:rPr>
      </w:pPr>
    </w:p>
    <w:p w:rsidR="005C3E72" w:rsidRPr="00CC5181" w:rsidRDefault="005C3E72" w:rsidP="002F5994">
      <w:pPr>
        <w:tabs>
          <w:tab w:val="left" w:pos="540"/>
        </w:tabs>
        <w:spacing w:after="0"/>
        <w:rPr>
          <w:rFonts w:ascii="Century Schoolbook" w:eastAsia="Times New Roman" w:hAnsi="Century Schoolbook" w:cs="Times New Roman"/>
          <w:b/>
        </w:rPr>
      </w:pPr>
      <w:r w:rsidRPr="00CC5181">
        <w:rPr>
          <w:rFonts w:ascii="Century Schoolbook" w:eastAsia="Times New Roman" w:hAnsi="Century Schoolbook" w:cs="Times New Roman"/>
          <w:b/>
        </w:rPr>
        <w:t>I.</w:t>
      </w:r>
      <w:r w:rsidRPr="00CC5181">
        <w:rPr>
          <w:rFonts w:ascii="Century Schoolbook" w:eastAsia="Times New Roman" w:hAnsi="Century Schoolbook" w:cs="Times New Roman"/>
          <w:b/>
        </w:rPr>
        <w:tab/>
      </w:r>
      <w:r w:rsidR="00753298" w:rsidRPr="00CC5181">
        <w:rPr>
          <w:rFonts w:ascii="Century Schoolbook" w:eastAsia="Times New Roman" w:hAnsi="Century Schoolbook" w:cs="Times New Roman"/>
          <w:b/>
        </w:rPr>
        <w:t>Introduction – The Defense Is</w:t>
      </w:r>
      <w:r w:rsidRPr="00CC5181">
        <w:rPr>
          <w:rFonts w:ascii="Century Schoolbook" w:eastAsia="Times New Roman" w:hAnsi="Century Schoolbook" w:cs="Times New Roman"/>
          <w:b/>
        </w:rPr>
        <w:t xml:space="preserve">        </w:t>
      </w:r>
    </w:p>
    <w:p w:rsidR="005C3E72" w:rsidRPr="00CC5181" w:rsidRDefault="005C3E72" w:rsidP="005C3E72">
      <w:pPr>
        <w:tabs>
          <w:tab w:val="left" w:pos="540"/>
        </w:tabs>
        <w:spacing w:after="0"/>
        <w:ind w:firstLine="540"/>
        <w:rPr>
          <w:rFonts w:ascii="Century Schoolbook" w:eastAsia="Times New Roman" w:hAnsi="Century Schoolbook" w:cs="Times New Roman"/>
          <w:b/>
        </w:rPr>
      </w:pPr>
      <w:r w:rsidRPr="00CC5181">
        <w:rPr>
          <w:rFonts w:ascii="Century Schoolbook" w:eastAsia="Times New Roman" w:hAnsi="Century Schoolbook" w:cs="Times New Roman"/>
          <w:b/>
        </w:rPr>
        <w:t>Always Under Fire</w:t>
      </w:r>
    </w:p>
    <w:p w:rsidR="005C3E72" w:rsidRPr="00CC5181" w:rsidRDefault="005C3E72" w:rsidP="005C3E72">
      <w:pPr>
        <w:spacing w:after="0"/>
        <w:jc w:val="center"/>
        <w:rPr>
          <w:rFonts w:ascii="Century Schoolbook" w:eastAsia="Times New Roman" w:hAnsi="Century Schoolbook" w:cs="Times New Roman"/>
          <w:b/>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Part of the challenge of being defense counsel is that your involvement begins long after major events have already occurred.  Much evidence is long gone before you ever receive the call to defend the suit.  Missing evidence can include physical evidence, video footage, photographs, and written statements, and recorded interviews, for example.  If the evidence is not gone, often it has been changed, moved, or otherwise altered.  Vehicles have been repaired and put back in service.  Video footage has been recorded over. Locations have been rebuilt. </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lastRenderedPageBreak/>
        <w:t>Defense attorneys need to learn to recognize the opportunities to be on offense as to such issues, instead of always on the receiving end.  This can provide the defense with the leverage to allow for a resolution of the case, rather than having the leverage applied only by plaintiffs.</w:t>
      </w:r>
    </w:p>
    <w:p w:rsidR="00CC5181" w:rsidRPr="00CC5181" w:rsidRDefault="00CC5181"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numPr>
          <w:ilvl w:val="0"/>
          <w:numId w:val="1"/>
        </w:numPr>
        <w:tabs>
          <w:tab w:val="num" w:pos="540"/>
        </w:tabs>
        <w:spacing w:after="0" w:line="240" w:lineRule="auto"/>
        <w:ind w:left="540" w:hanging="540"/>
        <w:jc w:val="both"/>
        <w:rPr>
          <w:rFonts w:ascii="Century Schoolbook" w:eastAsia="Times New Roman" w:hAnsi="Century Schoolbook" w:cs="Times New Roman"/>
          <w:b/>
        </w:rPr>
      </w:pPr>
      <w:r w:rsidRPr="00CC5181">
        <w:rPr>
          <w:rFonts w:ascii="Century Schoolbook" w:eastAsia="Times New Roman" w:hAnsi="Century Schoolbook" w:cs="Times New Roman"/>
          <w:b/>
        </w:rPr>
        <w:t>Spoliation Sanctions Are Not Only for Plaintiffs.</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Generally, spoliation refers to </w:t>
      </w:r>
      <w:r w:rsidRPr="00CC5181">
        <w:rPr>
          <w:rFonts w:ascii="Century Schoolbook" w:eastAsia="Times New Roman" w:hAnsi="Century Schoolbook" w:cs="Times New Roman"/>
          <w:i/>
        </w:rPr>
        <w:t>any</w:t>
      </w:r>
      <w:r w:rsidRPr="00CC5181">
        <w:rPr>
          <w:rFonts w:ascii="Century Schoolbook" w:eastAsia="Times New Roman" w:hAnsi="Century Schoolbook" w:cs="Times New Roman"/>
        </w:rPr>
        <w:t xml:space="preserve"> party’s destruction or alteration of evidence.  Although plaintiffs more frequently seek sanctions for spoliation, sanctions are available to either party.  In fact, the plaintiff often is the party in the best position, and with the most knowledge, to preserve evidence.  As a result, a plaintiff’s failure to take such steps can be used to the defendant’s benefit. When determining sanctions against a plaintiff who is alleged to have spoliated evidence, the court will apply the same standards that are used to decide whether sanctions are appropriate as to a defendant who has been alleged to have destroyed or altered evidence.  </w:t>
      </w: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In Georgia, spoliation means the destruction or failure to preserve evidence that is necessary to contemplated or pending litigation.</w:t>
      </w:r>
      <w:r w:rsidRPr="00CC5181">
        <w:rPr>
          <w:rFonts w:ascii="Century Schoolbook" w:eastAsia="Times New Roman" w:hAnsi="Century Schoolbook" w:cs="Times New Roman"/>
          <w:vertAlign w:val="superscript"/>
        </w:rPr>
        <w:endnoteReference w:id="1"/>
      </w:r>
      <w:r w:rsidRPr="00CC5181">
        <w:rPr>
          <w:rFonts w:ascii="Century Schoolbook" w:eastAsia="Times New Roman" w:hAnsi="Century Schoolbook" w:cs="Times New Roman"/>
        </w:rPr>
        <w:t xml:space="preserve">  In determining if there has been spoliation of evidence, Georgia trial courts are required to make a two-part inquiry.  First, there is a threshold determination that must be made before the court can consider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w:t>
      </w:r>
      <w:r w:rsidRPr="00CC5181">
        <w:rPr>
          <w:rFonts w:ascii="Century Schoolbook" w:eastAsia="Times New Roman" w:hAnsi="Century Schoolbook" w:cs="Times New Roman"/>
          <w:vertAlign w:val="superscript"/>
        </w:rPr>
        <w:t xml:space="preserve"> </w:t>
      </w:r>
      <w:r w:rsidRPr="00CC5181">
        <w:rPr>
          <w:rFonts w:ascii="Century Schoolbook" w:eastAsia="Times New Roman" w:hAnsi="Century Schoolbook" w:cs="Times New Roman"/>
          <w:vertAlign w:val="superscript"/>
        </w:rPr>
        <w:endnoteReference w:id="2"/>
      </w:r>
      <w:r w:rsidRPr="00CC5181">
        <w:rPr>
          <w:rFonts w:ascii="Century Schoolbook" w:eastAsia="Times New Roman" w:hAnsi="Century Schoolbook" w:cs="Times New Roman"/>
        </w:rPr>
        <w:t xml:space="preserve"> discussed in more detail below.  Because sanctions for spoliation of evidence are available only if </w:t>
      </w:r>
      <w:r w:rsidRPr="00CC5181">
        <w:rPr>
          <w:rFonts w:ascii="Century Schoolbook" w:eastAsia="Times New Roman" w:hAnsi="Century Schoolbook" w:cs="Times New Roman"/>
        </w:rPr>
        <w:lastRenderedPageBreak/>
        <w:t xml:space="preserve">the court has determined that evidence has been spoliated, it is axiomatic that the </w:t>
      </w:r>
      <w:r w:rsidRPr="00CC5181">
        <w:rPr>
          <w:rFonts w:ascii="Century Schoolbook" w:eastAsia="Times New Roman" w:hAnsi="Century Schoolbook" w:cs="Times New Roman"/>
          <w:i/>
          <w:iCs/>
        </w:rPr>
        <w:t>Bridgestone</w:t>
      </w:r>
      <w:r w:rsidRPr="00CC5181">
        <w:rPr>
          <w:rFonts w:ascii="Century Schoolbook" w:eastAsia="Times New Roman" w:hAnsi="Century Schoolbook" w:cs="Times New Roman"/>
        </w:rPr>
        <w:t xml:space="preserve"> factors, which are weighed when a trial court is considering whether to impose sanctions, are not even considered if the court makes the threshold determination that no spoliation of evidence has occurred.</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At the outset, when there is an allegation of spoliation of evidence, the initial threshold determination itself consists of a two-part test:  (1) is the evidence at issue “necessary” to the litigation; and (2) was there “contemplated or pending litigation” at the time of the alleged spoliation.</w:t>
      </w:r>
      <w:r w:rsidRPr="00CC5181">
        <w:rPr>
          <w:rFonts w:ascii="Century Schoolbook" w:eastAsia="Times New Roman" w:hAnsi="Century Schoolbook" w:cs="Times New Roman"/>
          <w:vertAlign w:val="superscript"/>
        </w:rPr>
        <w:endnoteReference w:id="3"/>
      </w:r>
      <w:r w:rsidRPr="00CC5181">
        <w:rPr>
          <w:rFonts w:ascii="Century Schoolbook" w:eastAsia="Times New Roman" w:hAnsi="Century Schoolbook" w:cs="Times New Roman"/>
        </w:rPr>
        <w:t xml:space="preserve">  If both prongs not met, then there is no “spoliation” and by definition no sanctions can be applied.</w:t>
      </w:r>
      <w:r w:rsidRPr="00CC5181">
        <w:rPr>
          <w:rFonts w:ascii="Century Schoolbook" w:eastAsia="Times New Roman" w:hAnsi="Century Schoolbook" w:cs="Times New Roman"/>
          <w:vertAlign w:val="superscript"/>
        </w:rPr>
        <w:endnoteReference w:id="4"/>
      </w:r>
    </w:p>
    <w:p w:rsidR="005C3E72" w:rsidRPr="00CC5181" w:rsidRDefault="005C3E72" w:rsidP="005C3E72">
      <w:pPr>
        <w:tabs>
          <w:tab w:val="num" w:pos="720"/>
        </w:tabs>
        <w:spacing w:after="0" w:line="240" w:lineRule="auto"/>
        <w:ind w:firstLine="72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What is “necessary to the litigation” is fact-specific to each case.  The attorney seeking to take advantage of an opportunity presented by spoliation needs to look for and identify that evidence that is critical to the case.  In products liability cases, that could be the product at issue, or in automobile accident cases, the vehicle.  In a premises liability case, the critical evidence could be an item taken from the scene, and in subrogation or other negligence cases, the critical evidence might address the issue of causation. </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Determining whether the spoliation occurred while there was “contemplated or pending litigation” is a little more difficult to establish.  Pending litigation is easy – either the case was filed or it was not.  Whether litigation was contemplated requires more specific examination of the facts and the parties.  Courts have looked to various factors including the obviousness of the need to retain evidence, the litigation savvy and experience of the party accused of destroying/altering the evidence at issue </w:t>
      </w:r>
      <w:r w:rsidRPr="00CC5181">
        <w:rPr>
          <w:rFonts w:ascii="Century Schoolbook" w:eastAsia="Times New Roman" w:hAnsi="Century Schoolbook" w:cs="Times New Roman"/>
        </w:rPr>
        <w:lastRenderedPageBreak/>
        <w:t>(inclusive of whether the party is an individual or corporation), and at what point the evidence was destroyed or changed.</w:t>
      </w:r>
      <w:r w:rsidRPr="00CC5181">
        <w:rPr>
          <w:rFonts w:ascii="Century Schoolbook" w:eastAsia="Times New Roman" w:hAnsi="Century Schoolbook" w:cs="Times New Roman"/>
          <w:vertAlign w:val="superscript"/>
        </w:rPr>
        <w:endnoteReference w:id="5"/>
      </w:r>
      <w:r w:rsidRPr="00CC5181">
        <w:rPr>
          <w:rFonts w:ascii="Century Schoolbook" w:eastAsia="Times New Roman" w:hAnsi="Century Schoolbook" w:cs="Times New Roman"/>
        </w:rPr>
        <w:t xml:space="preserve">    </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Because a plaintiff is the person who eventually could pursue litigation, it might be easier for a defendant than for a plaintiff to meet this prong.  A plaintiff who is pursuing a spoliation claim must show that the tortfeasor should have </w:t>
      </w:r>
      <w:r w:rsidRPr="00CC5181">
        <w:rPr>
          <w:rFonts w:ascii="Century Schoolbook" w:eastAsia="Times New Roman" w:hAnsi="Century Schoolbook" w:cs="Times New Roman"/>
          <w:i/>
        </w:rPr>
        <w:t>predicted</w:t>
      </w:r>
      <w:r w:rsidRPr="00CC5181">
        <w:rPr>
          <w:rFonts w:ascii="Century Schoolbook" w:eastAsia="Times New Roman" w:hAnsi="Century Schoolbook" w:cs="Times New Roman"/>
        </w:rPr>
        <w:t xml:space="preserve"> that a plaintiff would pursue a claim, whereas a defendant who wants to seek spoliation sanctions can meet the prong if he can show that the plaintiff actually had contemplated making a claim.</w:t>
      </w:r>
      <w:r w:rsidRPr="00CC5181">
        <w:rPr>
          <w:rFonts w:ascii="Century Schoolbook" w:eastAsia="Times New Roman" w:hAnsi="Century Schoolbook" w:cs="Times New Roman"/>
          <w:vertAlign w:val="superscript"/>
        </w:rPr>
        <w:endnoteReference w:id="6"/>
      </w:r>
      <w:r w:rsidRPr="00CC5181">
        <w:rPr>
          <w:rFonts w:ascii="Century Schoolbook" w:eastAsia="Times New Roman" w:hAnsi="Century Schoolbook" w:cs="Times New Roman"/>
        </w:rPr>
        <w:t xml:space="preserve"> </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Pr="00CC5181" w:rsidRDefault="005C3E72" w:rsidP="005C3E72">
      <w:pPr>
        <w:spacing w:after="24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Once the trial court has made the initial determination that spoliation of evidence has occurred, then it moves to the next inquiry: the weighing of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Those factors are: (1) whether the defendant was prejudiced as a result of the destruction of the evidence; (2) whether the prejudice could be cured; (3) the practical importance of the evidence; (4) whether the plaintiff acted in good or bad faith; and (5) the potential for abuse if expert testimony about the evidence was not excluded.</w:t>
      </w:r>
      <w:r w:rsidRPr="00CC5181">
        <w:rPr>
          <w:rFonts w:ascii="Century Schoolbook" w:eastAsia="Times New Roman" w:hAnsi="Century Schoolbook" w:cs="Times New Roman"/>
          <w:vertAlign w:val="superscript"/>
        </w:rPr>
        <w:endnoteReference w:id="7"/>
      </w:r>
      <w:r w:rsidRPr="00CC5181">
        <w:rPr>
          <w:rFonts w:ascii="Century Schoolbook" w:eastAsia="Times New Roman" w:hAnsi="Century Schoolbook" w:cs="Times New Roman"/>
        </w:rPr>
        <w:t xml:space="preserve">  Necessarily, how these factors are weighed is determined on a case-by-case basis, because each spoliation scenario is fact-specific.  </w:t>
      </w:r>
    </w:p>
    <w:p w:rsidR="005C3E72" w:rsidRPr="00CC5181" w:rsidRDefault="005C3E72" w:rsidP="005C3E72">
      <w:pPr>
        <w:spacing w:after="24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Georgia’s analysis is similar to the approach taken in many other states.  Factors that sister jurisdictions generally consider include: (1) the degree of fault and responsibility of the offending party (2) the amount of prejudice suffered by the innocent party; (3) whether the prejudice can be cured; and (4) the importance of the evidence.</w:t>
      </w:r>
      <w:r w:rsidRPr="00CC5181">
        <w:rPr>
          <w:rFonts w:ascii="Century Schoolbook" w:eastAsia="Times New Roman" w:hAnsi="Century Schoolbook" w:cs="Times New Roman"/>
          <w:vertAlign w:val="superscript"/>
        </w:rPr>
        <w:endnoteReference w:id="8"/>
      </w:r>
      <w:r w:rsidRPr="00CC5181">
        <w:rPr>
          <w:rFonts w:ascii="Century Schoolbook" w:eastAsia="Times New Roman" w:hAnsi="Century Schoolbook" w:cs="Times New Roman"/>
        </w:rPr>
        <w:t xml:space="preserve">  Similar factors also are weighed by federal courts considering spoliation sanctions.</w:t>
      </w:r>
      <w:r w:rsidRPr="00CC5181">
        <w:rPr>
          <w:rFonts w:ascii="Century Schoolbook" w:eastAsia="Times New Roman" w:hAnsi="Century Schoolbook" w:cs="Times New Roman"/>
          <w:vertAlign w:val="superscript"/>
        </w:rPr>
        <w:endnoteReference w:id="9"/>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lastRenderedPageBreak/>
        <w:t xml:space="preserve">So, what can the defense practitioner do if it is determined that important evidence has already been (or is anticipated will be) destroyed or altered?  As discussed herein, there are several options available, depending on the phase of the claim/litigation and whether the evidence is already changed or destroyed.  In the process, the attorney should everything possible to appear reasonable, active, and involved.  Put the plaintiff on notice to retain and preserve the evidence, and put it in writing with a confirmation of receipt of the notice.  Equally important is to request to inspect the evidence and all footage of the evidence including video, photographic and digital representations, or related information.  </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Reasonableness is critical.  When trial courts evaluate the five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it is readily apparent that the issue underlying all of those factors is whether the party who claims to have been wronged by the change in the evidence did what it could and should have done to obtain access to it or to ensure that is gets preserved.</w:t>
      </w:r>
    </w:p>
    <w:p w:rsidR="00CC5181" w:rsidRPr="00CC5181" w:rsidRDefault="00CC5181"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spacing w:after="0" w:line="240" w:lineRule="auto"/>
        <w:ind w:left="540" w:hanging="540"/>
        <w:rPr>
          <w:rFonts w:ascii="Century Schoolbook" w:eastAsia="Times New Roman" w:hAnsi="Century Schoolbook" w:cs="Times New Roman"/>
          <w:b/>
        </w:rPr>
      </w:pPr>
      <w:r w:rsidRPr="00CC5181">
        <w:rPr>
          <w:rFonts w:ascii="Century Schoolbook" w:eastAsia="Times New Roman" w:hAnsi="Century Schoolbook" w:cs="Times New Roman"/>
          <w:b/>
        </w:rPr>
        <w:t xml:space="preserve">III. </w:t>
      </w:r>
      <w:r w:rsidRPr="00CC5181">
        <w:rPr>
          <w:rFonts w:ascii="Century Schoolbook" w:eastAsia="Times New Roman" w:hAnsi="Century Schoolbook" w:cs="Times New Roman"/>
          <w:b/>
        </w:rPr>
        <w:tab/>
        <w:t xml:space="preserve">What the Court Can Do When  </w:t>
      </w:r>
      <w:r w:rsidR="008B4F6C" w:rsidRPr="00CC5181">
        <w:rPr>
          <w:rFonts w:ascii="Century Schoolbook" w:eastAsia="Times New Roman" w:hAnsi="Century Schoolbook" w:cs="Times New Roman"/>
          <w:b/>
        </w:rPr>
        <w:t xml:space="preserve">    Evidence Has Been Spoliated</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If and when you get to the point of the court imposing sanctions, the obvious question is, “What can the court do about it?”  In Georgia, “[t]rial courts have the power to control the behavior of litigants before them to maintain the integrity of the judicial process, and this power includes the discretion to fashion appropriate remedies for the spoliation of evidence.”</w:t>
      </w:r>
      <w:r w:rsidRPr="00CC5181">
        <w:rPr>
          <w:rFonts w:ascii="Century Schoolbook" w:eastAsia="Times New Roman" w:hAnsi="Century Schoolbook" w:cs="Times New Roman"/>
          <w:i/>
          <w:iCs/>
          <w:vertAlign w:val="superscript"/>
        </w:rPr>
        <w:endnoteReference w:id="10"/>
      </w:r>
      <w:r w:rsidRPr="00CC5181">
        <w:rPr>
          <w:rFonts w:ascii="Century Schoolbook" w:eastAsia="Times New Roman" w:hAnsi="Century Schoolbook" w:cs="Times New Roman"/>
        </w:rPr>
        <w:t xml:space="preserve">  Where a party has destroyed or significantly altered evidence that is material to the litigation, the trial court has wide discretion to fashion sanctions on a case-by-case basis.</w:t>
      </w:r>
      <w:r w:rsidRPr="00CC5181">
        <w:rPr>
          <w:rFonts w:ascii="Century Schoolbook" w:eastAsia="Times New Roman" w:hAnsi="Century Schoolbook" w:cs="Times New Roman"/>
          <w:vertAlign w:val="superscript"/>
        </w:rPr>
        <w:endnoteReference w:id="11"/>
      </w:r>
      <w:r w:rsidRPr="00CC5181">
        <w:rPr>
          <w:rFonts w:ascii="Century Schoolbook" w:eastAsia="Times New Roman" w:hAnsi="Century Schoolbook" w:cs="Times New Roman"/>
        </w:rPr>
        <w:t xml:space="preserve">  Georgia’s approach is consistent with the rules applicable in federal courts,  because the </w:t>
      </w:r>
      <w:r w:rsidRPr="00CC5181">
        <w:rPr>
          <w:rFonts w:ascii="Century Schoolbook" w:eastAsia="Times New Roman" w:hAnsi="Century Schoolbook" w:cs="Times New Roman"/>
        </w:rPr>
        <w:lastRenderedPageBreak/>
        <w:t>United States Supreme Court has held that the right to impose sanctions for spoliation arises from a court's inherent power to control the judicial process and litigation, but that the power is limited to the level which is necessary to redress conduct “which abuses the judicial process.</w:t>
      </w:r>
      <w:r w:rsidRPr="00CC5181">
        <w:rPr>
          <w:rFonts w:ascii="Century Schoolbook" w:eastAsia="Times New Roman" w:hAnsi="Century Schoolbook" w:cs="Times New Roman"/>
          <w:vertAlign w:val="superscript"/>
        </w:rPr>
        <w:endnoteReference w:id="12"/>
      </w:r>
      <w:r w:rsidRPr="00CC5181">
        <w:rPr>
          <w:rFonts w:ascii="Century Schoolbook" w:eastAsia="Times New Roman" w:hAnsi="Century Schoolbook" w:cs="Times New Roman"/>
        </w:rPr>
        <w:t xml:space="preserve">  A trial court’s imposition of sanctions for evidence </w:t>
      </w:r>
      <w:r w:rsidRPr="00CC5181">
        <w:rPr>
          <w:rFonts w:ascii="Century Schoolbook" w:eastAsia="Times New Roman" w:hAnsi="Century Schoolbook" w:cs="Times New Roman"/>
          <w:bCs/>
        </w:rPr>
        <w:t>spoliation will not be reversed on appeal</w:t>
      </w:r>
      <w:r w:rsidRPr="00CC5181">
        <w:rPr>
          <w:rFonts w:ascii="Century Schoolbook" w:eastAsia="Times New Roman" w:hAnsi="Century Schoolbook" w:cs="Times New Roman"/>
        </w:rPr>
        <w:t> unless the court </w:t>
      </w:r>
      <w:r w:rsidRPr="00CC5181">
        <w:rPr>
          <w:rFonts w:ascii="Century Schoolbook" w:eastAsia="Times New Roman" w:hAnsi="Century Schoolbook" w:cs="Times New Roman"/>
          <w:bCs/>
        </w:rPr>
        <w:t>abused</w:t>
      </w:r>
      <w:r w:rsidRPr="00CC5181">
        <w:rPr>
          <w:rFonts w:ascii="Century Schoolbook" w:eastAsia="Times New Roman" w:hAnsi="Century Schoolbook" w:cs="Times New Roman"/>
        </w:rPr>
        <w:t> its </w:t>
      </w:r>
      <w:r w:rsidRPr="00CC5181">
        <w:rPr>
          <w:rFonts w:ascii="Century Schoolbook" w:eastAsia="Times New Roman" w:hAnsi="Century Schoolbook" w:cs="Times New Roman"/>
          <w:bCs/>
        </w:rPr>
        <w:t>discretion</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13"/>
      </w:r>
      <w:r w:rsidRPr="00CC5181">
        <w:rPr>
          <w:rFonts w:ascii="Century Schoolbook" w:eastAsia="Times New Roman" w:hAnsi="Century Schoolbook" w:cs="Times New Roman"/>
        </w:rPr>
        <w:t xml:space="preserve">  </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Thus, what is sauce for the goose is certainly sauce for the gander.  The remedies available for spoliation of evidence are not for application only against defendants.  There are many examples in Georgia law, both state and federal, where the trial courts have sanctioned a plaintiff for spoliation of evidence and have been affirmed by the appellate courts.  There are even a few cases where the trial court did not properly apply spoliation sanctions or did not apply harsh enough sanctions to the plaintiff, and the appellate court reversed the trial court so that the trial court could try again and get it right.</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The next question, then, is, “What remedies are available?”  To cure or diminish the prejudice resulting from the spoliation of evidence, a trial court may: (1) charge the jury that spoliation of evidence creates the rebuttable presumption that the evidence would have been harmful to the spoliator; (2) dismiss the case; or (3) exclude testimony about the evidence.</w:t>
      </w:r>
      <w:r w:rsidRPr="00CC5181">
        <w:rPr>
          <w:rFonts w:ascii="Century Schoolbook" w:eastAsia="Times New Roman" w:hAnsi="Century Schoolbook" w:cs="Times New Roman"/>
          <w:vertAlign w:val="superscript"/>
        </w:rPr>
        <w:endnoteReference w:id="14"/>
      </w:r>
      <w:r w:rsidRPr="00CC5181">
        <w:rPr>
          <w:rFonts w:ascii="Century Schoolbook" w:eastAsia="Times New Roman" w:hAnsi="Century Schoolbook" w:cs="Times New Roman"/>
        </w:rPr>
        <w:t xml:space="preserve">  Each of those options will be addressed below.</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contextualSpacing/>
        <w:jc w:val="center"/>
        <w:rPr>
          <w:rFonts w:ascii="Century Schoolbook" w:eastAsia="Times New Roman" w:hAnsi="Century Schoolbook" w:cs="Times New Roman"/>
          <w:b/>
        </w:rPr>
      </w:pPr>
      <w:r w:rsidRPr="00CC5181">
        <w:rPr>
          <w:rFonts w:ascii="Century Schoolbook" w:eastAsia="Times New Roman" w:hAnsi="Century Schoolbook" w:cs="Times New Roman"/>
          <w:b/>
        </w:rPr>
        <w:t>A.  Evidence and</w:t>
      </w:r>
    </w:p>
    <w:p w:rsidR="005C3E72" w:rsidRPr="00CC5181" w:rsidRDefault="005C3E72" w:rsidP="005C3E72">
      <w:pPr>
        <w:spacing w:after="0" w:line="240" w:lineRule="auto"/>
        <w:contextualSpacing/>
        <w:jc w:val="center"/>
        <w:rPr>
          <w:rFonts w:ascii="Century Schoolbook" w:eastAsia="Times New Roman" w:hAnsi="Century Schoolbook" w:cs="Times New Roman"/>
          <w:b/>
        </w:rPr>
      </w:pPr>
      <w:r w:rsidRPr="00CC5181">
        <w:rPr>
          <w:rFonts w:ascii="Century Schoolbook" w:eastAsia="Times New Roman" w:hAnsi="Century Schoolbook" w:cs="Times New Roman"/>
          <w:b/>
        </w:rPr>
        <w:t>Testimony Exclusion</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One available sanction available to the Court is to exclude evidence and/or testimony.  For example, in </w:t>
      </w:r>
      <w:r w:rsidRPr="00CC5181">
        <w:rPr>
          <w:rFonts w:ascii="Century Schoolbook" w:eastAsia="Times New Roman" w:hAnsi="Century Schoolbook" w:cs="Times New Roman"/>
          <w:i/>
          <w:iCs/>
        </w:rPr>
        <w:t>AMLI Residential Properties, Inc. v. Georgia Power Co.</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15"/>
      </w:r>
      <w:r w:rsidRPr="00CC5181">
        <w:rPr>
          <w:rFonts w:ascii="Century Schoolbook" w:eastAsia="Times New Roman" w:hAnsi="Century Schoolbook" w:cs="Times New Roman"/>
        </w:rPr>
        <w:t xml:space="preserve"> a plaintiff was precluded </w:t>
      </w:r>
      <w:r w:rsidRPr="00CC5181">
        <w:rPr>
          <w:rFonts w:ascii="Century Schoolbook" w:eastAsia="Times New Roman" w:hAnsi="Century Schoolbook" w:cs="Times New Roman"/>
        </w:rPr>
        <w:lastRenderedPageBreak/>
        <w:t>from introducing or conveying to the jury, through expert witnesses or otherwise, any evidence whatsoever relating to the ground rod which the plaintiff alleged had caused the fire at issue.  Other jurisdictions throughout the United States also recognize evidence and/or testimony exclusion as being a proper remedy to rectify spoliation.</w:t>
      </w:r>
      <w:r w:rsidRPr="00CC5181">
        <w:rPr>
          <w:rFonts w:ascii="Century Schoolbook" w:eastAsia="Times New Roman" w:hAnsi="Century Schoolbook" w:cs="Times New Roman"/>
          <w:vertAlign w:val="superscript"/>
        </w:rPr>
        <w:endnoteReference w:id="16"/>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contextualSpacing/>
        <w:jc w:val="center"/>
        <w:rPr>
          <w:rFonts w:ascii="Century Schoolbook" w:eastAsia="Times New Roman" w:hAnsi="Century Schoolbook" w:cs="Times New Roman"/>
          <w:b/>
        </w:rPr>
      </w:pPr>
      <w:r w:rsidRPr="00CC5181">
        <w:rPr>
          <w:rFonts w:ascii="Century Schoolbook" w:eastAsia="Times New Roman" w:hAnsi="Century Schoolbook" w:cs="Times New Roman"/>
          <w:b/>
        </w:rPr>
        <w:t>B.  Jury Instructions</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Another available sanction is for the court to instruct the jury in a way favorable to the defendant and/or contrary to the plaintiff.  </w:t>
      </w:r>
      <w:r w:rsidRPr="00CC5181">
        <w:rPr>
          <w:rFonts w:ascii="Century Schoolbook" w:eastAsia="Times New Roman" w:hAnsi="Century Schoolbook" w:cs="Times New Roman"/>
          <w:i/>
          <w:iCs/>
        </w:rPr>
        <w:t>Wright v. VIF/Valentine Farms Building One, LLC</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17"/>
      </w:r>
      <w:r w:rsidRPr="00CC5181">
        <w:rPr>
          <w:rFonts w:ascii="Century Schoolbook" w:eastAsia="Times New Roman" w:hAnsi="Century Schoolbook" w:cs="Times New Roman"/>
        </w:rPr>
        <w:t xml:space="preserve"> was a trespass case involving ownership of a disputed portion of property.  After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were found to weigh in the favor of spoliation sanctions, the court determined that the appropriate sanction was for the jury to be instructed as to a rebuttable presumption that the existence of the spoliated evidence would have been harmful to the plaintiff as to one of the defendant’s defenses.  Jury instructions allowing adverse inference and/or presumptions against the spoliator are not unique to Georgia, and other jurisdictions have affirmed the use of this remedy to cure spoliation of evidence.</w:t>
      </w:r>
      <w:r w:rsidRPr="00CC5181">
        <w:rPr>
          <w:rFonts w:ascii="Century Schoolbook" w:eastAsia="Times New Roman" w:hAnsi="Century Schoolbook" w:cs="Times New Roman"/>
          <w:vertAlign w:val="superscript"/>
        </w:rPr>
        <w:endnoteReference w:id="18"/>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In Georgia, remedies of evidence exclusion and jury instructions are not mutually exclusive.  In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case, the court determined that the application of </w:t>
      </w:r>
      <w:r w:rsidRPr="00CC5181">
        <w:rPr>
          <w:rFonts w:ascii="Century Schoolbook" w:eastAsia="Times New Roman" w:hAnsi="Century Schoolbook" w:cs="Times New Roman"/>
          <w:i/>
        </w:rPr>
        <w:t>both</w:t>
      </w:r>
      <w:r w:rsidRPr="00CC5181">
        <w:rPr>
          <w:rFonts w:ascii="Century Schoolbook" w:eastAsia="Times New Roman" w:hAnsi="Century Schoolbook" w:cs="Times New Roman"/>
        </w:rPr>
        <w:t xml:space="preserve"> sanctions was appropriate, due to the spoliation of evidence for which the plaintiff was responsible.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court, in affirming the trial court’s spoliation sanction order, determined that, “[g]iven the evidence presented, the trial court would have been authorized to dismiss [plaintiff’s] complaint or, in the alternative, to exclude the photographs of the destroyed evidence.”</w:t>
      </w:r>
      <w:r w:rsidRPr="00CC5181">
        <w:rPr>
          <w:rFonts w:ascii="Century Schoolbook" w:eastAsia="Times New Roman" w:hAnsi="Century Schoolbook" w:cs="Times New Roman"/>
          <w:vertAlign w:val="superscript"/>
        </w:rPr>
        <w:endnoteReference w:id="19"/>
      </w:r>
      <w:r w:rsidRPr="00CC5181">
        <w:rPr>
          <w:rFonts w:ascii="Century Schoolbook" w:eastAsia="Times New Roman" w:hAnsi="Century Schoolbook" w:cs="Times New Roman"/>
        </w:rPr>
        <w:t xml:space="preserve">   In doing so, the appellate court affirmed the trial </w:t>
      </w:r>
      <w:r w:rsidRPr="00CC5181">
        <w:rPr>
          <w:rFonts w:ascii="Century Schoolbook" w:eastAsia="Times New Roman" w:hAnsi="Century Schoolbook" w:cs="Times New Roman"/>
        </w:rPr>
        <w:lastRenderedPageBreak/>
        <w:t xml:space="preserve">court’s sanction excluding inspection notes or other examination materials, as well as testimony by consulting experts or any witness based on the inspection of the vehicle or tires, </w:t>
      </w:r>
      <w:r w:rsidRPr="00CC5181">
        <w:rPr>
          <w:rFonts w:ascii="Century Schoolbook" w:eastAsia="Times New Roman" w:hAnsi="Century Schoolbook" w:cs="Times New Roman"/>
          <w:bCs/>
          <w:i/>
        </w:rPr>
        <w:t>and</w:t>
      </w:r>
      <w:r w:rsidRPr="00CC5181">
        <w:rPr>
          <w:rFonts w:ascii="Century Schoolbook" w:eastAsia="Times New Roman" w:hAnsi="Century Schoolbook" w:cs="Times New Roman"/>
          <w:bCs/>
        </w:rPr>
        <w:t xml:space="preserve"> giving </w:t>
      </w:r>
      <w:r w:rsidRPr="00CC5181">
        <w:rPr>
          <w:rFonts w:ascii="Century Schoolbook" w:eastAsia="Times New Roman" w:hAnsi="Century Schoolbook" w:cs="Times New Roman"/>
        </w:rPr>
        <w:t>a jury instruction that spoliation of evidence raised a presumption against the spoliator.</w:t>
      </w:r>
      <w:r w:rsidRPr="00CC5181">
        <w:rPr>
          <w:rFonts w:ascii="Century Schoolbook" w:eastAsia="Times New Roman" w:hAnsi="Century Schoolbook" w:cs="Times New Roman"/>
          <w:vertAlign w:val="superscript"/>
        </w:rPr>
        <w:endnoteReference w:id="20"/>
      </w:r>
      <w:r w:rsidRPr="00CC5181">
        <w:rPr>
          <w:rFonts w:ascii="Century Schoolbook" w:eastAsia="Times New Roman" w:hAnsi="Century Schoolbook" w:cs="Times New Roman"/>
        </w:rPr>
        <w:t xml:space="preserve">  </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contextualSpacing/>
        <w:jc w:val="center"/>
        <w:rPr>
          <w:rFonts w:ascii="Century Schoolbook" w:eastAsia="Times New Roman" w:hAnsi="Century Schoolbook" w:cs="Times New Roman"/>
          <w:b/>
        </w:rPr>
      </w:pPr>
      <w:r w:rsidRPr="00CC5181">
        <w:rPr>
          <w:rFonts w:ascii="Century Schoolbook" w:eastAsia="Times New Roman" w:hAnsi="Century Schoolbook" w:cs="Times New Roman"/>
          <w:b/>
        </w:rPr>
        <w:t xml:space="preserve">C.  Dismissal of </w:t>
      </w:r>
    </w:p>
    <w:p w:rsidR="005C3E72" w:rsidRPr="00CC5181" w:rsidRDefault="005C3E72" w:rsidP="005C3E72">
      <w:pPr>
        <w:spacing w:after="0" w:line="240" w:lineRule="auto"/>
        <w:contextualSpacing/>
        <w:jc w:val="center"/>
        <w:rPr>
          <w:rFonts w:ascii="Century Schoolbook" w:eastAsia="Times New Roman" w:hAnsi="Century Schoolbook" w:cs="Times New Roman"/>
          <w:b/>
        </w:rPr>
      </w:pPr>
      <w:r w:rsidRPr="00CC5181">
        <w:rPr>
          <w:rFonts w:ascii="Century Schoolbook" w:eastAsia="Times New Roman" w:hAnsi="Century Schoolbook" w:cs="Times New Roman"/>
          <w:b/>
        </w:rPr>
        <w:t>Plaintiff’s Claims</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The “home run ball” of spoliation sanctions is the dismissal of the plaintiff’s Complaint or a specific theory of recovery.  While this ultimate sanction is not used often in Georgia, it is available to a court which wishes to sanction a plaintiff who has been found to be responsible for spoliation of evidence.</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i/>
          <w:iCs/>
        </w:rPr>
        <w:t>Chapman v. Auto Owners Ins. Co</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21"/>
      </w:r>
      <w:r w:rsidRPr="00CC5181">
        <w:rPr>
          <w:rFonts w:ascii="Century Schoolbook" w:eastAsia="Times New Roman" w:hAnsi="Century Schoolbook" w:cs="Times New Roman"/>
        </w:rPr>
        <w:t xml:space="preserve"> was the first Georgia case recognizing dismissal as a valid spoliation sanction.  In considering the motion, the trial court did not believe that it had to power to dismiss the suit as an appropriate sanction.  In this case of first impression, the appellate court determined that the harsh sanction of dismissal is available to a trial court.  The court’s rationale was that, if a dismissal were not allowed, such a circumstance could result in trial by ambush which could not be cured by a jury instruction.  The case was remanded to the trial court to determine whether that sanction was appropriate under the facts of that particular case.</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Dismissal is reserved for the most egregious instances of spoliation.  </w:t>
      </w:r>
      <w:r w:rsidRPr="00CC5181">
        <w:rPr>
          <w:rFonts w:ascii="Century Schoolbook" w:eastAsia="Times New Roman" w:hAnsi="Century Schoolbook" w:cs="Times New Roman"/>
          <w:i/>
        </w:rPr>
        <w:t>Chapman</w:t>
      </w:r>
      <w:r w:rsidRPr="00CC5181">
        <w:rPr>
          <w:rFonts w:ascii="Century Schoolbook" w:eastAsia="Times New Roman" w:hAnsi="Century Schoolbook" w:cs="Times New Roman"/>
        </w:rPr>
        <w:t xml:space="preserve"> held that “‘dismissal should be reserved for cases where a party has maliciously destroyed relevant evidence with the sole purpose of precluding an adversary from examining that relevant evidence.’”</w:t>
      </w:r>
      <w:r w:rsidRPr="00CC5181">
        <w:rPr>
          <w:rFonts w:ascii="Century Schoolbook" w:eastAsia="Times New Roman" w:hAnsi="Century Schoolbook" w:cs="Times New Roman"/>
          <w:vertAlign w:val="superscript"/>
        </w:rPr>
        <w:endnoteReference w:id="22"/>
      </w:r>
      <w:r w:rsidRPr="00CC5181">
        <w:rPr>
          <w:rFonts w:ascii="Century Schoolbook" w:eastAsia="Times New Roman" w:hAnsi="Century Schoolbook" w:cs="Times New Roman"/>
        </w:rPr>
        <w:t xml:space="preserve">  However, malice is not always required before a trial court determines that dismissal is appropriate.  </w:t>
      </w:r>
      <w:r w:rsidRPr="00CC5181">
        <w:rPr>
          <w:rFonts w:ascii="Century Schoolbook" w:eastAsia="Times New Roman" w:hAnsi="Century Schoolbook" w:cs="Times New Roman"/>
        </w:rPr>
        <w:lastRenderedPageBreak/>
        <w:t>Even when conduct is less culpable, dismissal may be necessary if the prejudice to the defendant is extraordinary, denying it the ability to adequately defend the case.</w:t>
      </w:r>
      <w:r w:rsidRPr="00CC5181">
        <w:rPr>
          <w:rFonts w:ascii="Century Schoolbook" w:eastAsia="Times New Roman" w:hAnsi="Century Schoolbook" w:cs="Times New Roman"/>
          <w:vertAlign w:val="superscript"/>
        </w:rPr>
        <w:endnoteReference w:id="23"/>
      </w:r>
      <w:r w:rsidRPr="00CC5181">
        <w:rPr>
          <w:rFonts w:ascii="Century Schoolbook" w:eastAsia="Times New Roman" w:hAnsi="Century Schoolbook" w:cs="Times New Roman"/>
        </w:rPr>
        <w:t xml:space="preserve">  Other jurisdictions also recognize that some instances of spoliation require dismissal of or summary judgment as to a plaintiff’s claims and can be looked to for guidance.</w:t>
      </w:r>
      <w:r w:rsidRPr="00CC5181">
        <w:rPr>
          <w:rFonts w:ascii="Century Schoolbook" w:eastAsia="Times New Roman" w:hAnsi="Century Schoolbook" w:cs="Times New Roman"/>
          <w:vertAlign w:val="superscript"/>
        </w:rPr>
        <w:endnoteReference w:id="24"/>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iCs/>
        </w:rPr>
        <w:t xml:space="preserve">Georgia’s </w:t>
      </w:r>
      <w:r w:rsidRPr="00CC5181">
        <w:rPr>
          <w:rFonts w:ascii="Century Schoolbook" w:eastAsia="Times New Roman" w:hAnsi="Century Schoolbook" w:cs="Times New Roman"/>
          <w:i/>
          <w:iCs/>
        </w:rPr>
        <w:t>Wright v. VIF/Valentine Farms Bldg. One, LLC</w:t>
      </w:r>
      <w:r w:rsidRPr="00CC5181">
        <w:rPr>
          <w:rFonts w:ascii="Century Schoolbook" w:eastAsia="Times New Roman" w:hAnsi="Century Schoolbook" w:cs="Times New Roman"/>
          <w:vertAlign w:val="superscript"/>
        </w:rPr>
        <w:endnoteReference w:id="25"/>
      </w:r>
      <w:r w:rsidRPr="00CC5181">
        <w:rPr>
          <w:rFonts w:ascii="Century Schoolbook" w:eastAsia="Times New Roman" w:hAnsi="Century Schoolbook" w:cs="Times New Roman"/>
        </w:rPr>
        <w:t xml:space="preserve"> involved not only favorable jury instructions for one co-defendant as sanctions for the plaintiff’s spoliation of evidence but also the outright dismissal of all claims against another co-defendant.  In </w:t>
      </w:r>
      <w:r w:rsidRPr="00CC5181">
        <w:rPr>
          <w:rFonts w:ascii="Century Schoolbook" w:eastAsia="Times New Roman" w:hAnsi="Century Schoolbook" w:cs="Times New Roman"/>
          <w:i/>
        </w:rPr>
        <w:t>Wright</w:t>
      </w:r>
      <w:r w:rsidRPr="00CC5181">
        <w:rPr>
          <w:rFonts w:ascii="Century Schoolbook" w:eastAsia="Times New Roman" w:hAnsi="Century Schoolbook" w:cs="Times New Roman"/>
        </w:rPr>
        <w:t>, the dismissed co-defendant was not placed on notice of suit until five days after the spoliation events, whereas the remaining co-defendants had previously been involved with the litigation.  In choosing a different remedy for each of the defendants based on the same behavior of the plaintiff, the court found the remaining co-defendants “had more of an opportunity to develop their case” because they had been involved in discovery for some time prior to the spoliation occurring.  This sanction order was affirmed on appeal.</w:t>
      </w:r>
      <w:r w:rsidRPr="00CC5181">
        <w:rPr>
          <w:rFonts w:ascii="Century Schoolbook" w:eastAsia="Times New Roman" w:hAnsi="Century Schoolbook" w:cs="Times New Roman"/>
          <w:vertAlign w:val="superscript"/>
        </w:rPr>
        <w:endnoteReference w:id="26"/>
      </w:r>
      <w:r w:rsidRPr="00CC5181">
        <w:rPr>
          <w:rFonts w:ascii="Century Schoolbook" w:eastAsia="Times New Roman" w:hAnsi="Century Schoolbook" w:cs="Times New Roman"/>
        </w:rPr>
        <w:t xml:space="preserve"> </w:t>
      </w:r>
    </w:p>
    <w:p w:rsidR="005C3E72" w:rsidRPr="00CC5181" w:rsidRDefault="005C3E72" w:rsidP="005C3E72">
      <w:pPr>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Federal courts in Georgia are not hesitant to dismiss a plaintiff’s case if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show that the sanction is appropriate.  </w:t>
      </w:r>
      <w:r w:rsidRPr="00CC5181">
        <w:rPr>
          <w:rFonts w:ascii="Century Schoolbook" w:eastAsia="Times New Roman" w:hAnsi="Century Schoolbook" w:cs="Times New Roman"/>
          <w:i/>
          <w:iCs/>
        </w:rPr>
        <w:t>Flury v. Daimler Chrysler Corp</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27"/>
      </w:r>
      <w:r w:rsidRPr="00CC5181">
        <w:rPr>
          <w:rFonts w:ascii="Century Schoolbook" w:eastAsia="Times New Roman" w:hAnsi="Century Schoolbook" w:cs="Times New Roman"/>
          <w:i/>
          <w:iCs/>
        </w:rPr>
        <w:t xml:space="preserve"> </w:t>
      </w:r>
      <w:r w:rsidRPr="00CC5181">
        <w:rPr>
          <w:rFonts w:ascii="Century Schoolbook" w:eastAsia="Times New Roman" w:hAnsi="Century Schoolbook" w:cs="Times New Roman"/>
        </w:rPr>
        <w:t>presents an excellent example.</w:t>
      </w:r>
    </w:p>
    <w:p w:rsidR="005C3E72" w:rsidRPr="00CC5181" w:rsidRDefault="005C3E72" w:rsidP="005C3E72">
      <w:pPr>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i/>
        </w:rPr>
        <w:t>Flury</w:t>
      </w:r>
      <w:r w:rsidRPr="00CC5181">
        <w:rPr>
          <w:rFonts w:ascii="Century Schoolbook" w:eastAsia="Times New Roman" w:hAnsi="Century Schoolbook" w:cs="Times New Roman"/>
        </w:rPr>
        <w:t xml:space="preserve"> involved a federal appellate court looking to the law of the forum state (Georgia) for guidance on the issue of whether spoliation sanctions were appropriate and, if so, which sanction was applicable. The plaintiff had alleged that a malfunction in his vehicle’s airbag system had caused his injuries.  The plaintiff’s attorney sent a letter to the defendant, notifying it of the airbag’s </w:t>
      </w:r>
      <w:r w:rsidRPr="00CC5181">
        <w:rPr>
          <w:rFonts w:ascii="Century Schoolbook" w:eastAsia="Times New Roman" w:hAnsi="Century Schoolbook" w:cs="Times New Roman"/>
        </w:rPr>
        <w:lastRenderedPageBreak/>
        <w:t xml:space="preserve">failure to deploy.  The defendant replied to the letter, requesting the location of the vehicle so that it could be inspected. The plaintiff’s attorney did not respond to the defendant’s letter, disclose the vehicle's location, or notify the defendant that the plaintiff’s insurer had scheduled the vehicle for removal.  Subsequently, the plaintiff’s insurer sold the vehicle for salvage.  </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The trial court did not review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and instead allowed the jury to determine which party was responsible for the spoliation of the evidence.  The plaintiff’s accident reconstruction expert testified at trial as to various issues, including the speed of the plaintiff’s vehicle at the time of impact and as to the plaintiff’s claim for airbag deployment malfunction.  Although some of the expert’s opinions were excluded by the trial court, the expert was allowed to testify as to the critical speed issue.  Following a jury trial, the plaintiff was awarded $250,000.00.</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On appeal, </w:t>
      </w:r>
      <w:r w:rsidRPr="00CC5181">
        <w:rPr>
          <w:rFonts w:ascii="Century Schoolbook" w:eastAsia="Times New Roman" w:hAnsi="Century Schoolbook" w:cs="Times New Roman"/>
          <w:i/>
        </w:rPr>
        <w:t>Flury</w:t>
      </w:r>
      <w:r w:rsidRPr="00CC5181">
        <w:rPr>
          <w:rFonts w:ascii="Century Schoolbook" w:eastAsia="Times New Roman" w:hAnsi="Century Schoolbook" w:cs="Times New Roman"/>
        </w:rPr>
        <w:t xml:space="preserve"> first determined that the trial court had erred because it should have applied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However, rather than remanding the case back for consideration of the issue, the Eleventh Circuit determined that there was only one, inescapable conclusion when those factors were weighed: that the plaintiff was responsible for the spoliation, and all the factors weighed in favor of sanctions. </w:t>
      </w:r>
      <w:r w:rsidRPr="00CC5181">
        <w:rPr>
          <w:rFonts w:ascii="Century Schoolbook" w:eastAsia="Times New Roman" w:hAnsi="Century Schoolbook" w:cs="Times New Roman"/>
          <w:i/>
        </w:rPr>
        <w:t>Flury</w:t>
      </w:r>
      <w:r w:rsidRPr="00CC5181">
        <w:rPr>
          <w:rFonts w:ascii="Century Schoolbook" w:eastAsia="Times New Roman" w:hAnsi="Century Schoolbook" w:cs="Times New Roman"/>
        </w:rPr>
        <w:t xml:space="preserve"> went even further and determined:</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ind w:left="720" w:right="72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Plaintiff failed to preserve an allegedly defective vehicle in a crashworthiness case. The vehicle was, in effect, the most crucial and reliable evidence available to the parties at the time plaintiff secured representation and </w:t>
      </w:r>
      <w:r w:rsidRPr="00CC5181">
        <w:rPr>
          <w:rFonts w:ascii="Century Schoolbook" w:eastAsia="Times New Roman" w:hAnsi="Century Schoolbook" w:cs="Times New Roman"/>
        </w:rPr>
        <w:lastRenderedPageBreak/>
        <w:t>notified defendant of the accident. By the time plaintiff filed suit, years after the accident had taken place, plaintiff had allowed the vehicle to be sold for salvage despite a request from defendant for the vehicle's location. For these reasons, we believe the resulting prejudice to the defendant incurable, and dismissal necessary.</w:t>
      </w:r>
      <w:r w:rsidRPr="00CC5181">
        <w:rPr>
          <w:rFonts w:ascii="Century Schoolbook" w:eastAsia="Times New Roman" w:hAnsi="Century Schoolbook" w:cs="Times New Roman"/>
          <w:vertAlign w:val="superscript"/>
        </w:rPr>
        <w:endnoteReference w:id="28"/>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In explaining its rationale for the application of the ultimate sanction, </w:t>
      </w:r>
      <w:r w:rsidRPr="00CC5181">
        <w:rPr>
          <w:rFonts w:ascii="Century Schoolbook" w:eastAsia="Times New Roman" w:hAnsi="Century Schoolbook" w:cs="Times New Roman"/>
          <w:i/>
        </w:rPr>
        <w:t>Flury</w:t>
      </w:r>
      <w:r w:rsidRPr="00CC5181">
        <w:rPr>
          <w:rFonts w:ascii="Century Schoolbook" w:eastAsia="Times New Roman" w:hAnsi="Century Schoolbook" w:cs="Times New Roman"/>
        </w:rPr>
        <w:t xml:space="preserve"> further clarified:</w:t>
      </w:r>
    </w:p>
    <w:p w:rsidR="005C3E72" w:rsidRPr="00CC5181" w:rsidRDefault="005C3E72" w:rsidP="005C3E72">
      <w:pPr>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ind w:left="720" w:right="720"/>
        <w:jc w:val="both"/>
        <w:rPr>
          <w:rFonts w:ascii="Century Schoolbook" w:eastAsia="Times New Roman" w:hAnsi="Century Schoolbook" w:cs="Times New Roman"/>
        </w:rPr>
      </w:pPr>
      <w:r w:rsidRPr="00CC5181">
        <w:rPr>
          <w:rFonts w:ascii="Century Schoolbook" w:eastAsia="Times New Roman" w:hAnsi="Century Schoolbook" w:cs="Times New Roman"/>
        </w:rPr>
        <w:t>Even absent defendant’s unambiguous request for its location, plaintiff should have known that the vehicle, which was the very subject of his lawsuit, needed to be preserved and examined as evidence central to his case. Plaintiff's failure to preserve the vehicle resulted in extreme prejudice to the defendant, and failure to respond to defendant's letter displayed a clear dereliction of duty.</w:t>
      </w:r>
      <w:r w:rsidRPr="00CC5181">
        <w:rPr>
          <w:rFonts w:ascii="Century Schoolbook" w:eastAsia="Times New Roman" w:hAnsi="Century Schoolbook" w:cs="Times New Roman"/>
          <w:vertAlign w:val="superscript"/>
        </w:rPr>
        <w:endnoteReference w:id="29"/>
      </w:r>
    </w:p>
    <w:p w:rsidR="005C3E72" w:rsidRPr="00CC5181" w:rsidRDefault="005C3E72" w:rsidP="005C3E72">
      <w:pPr>
        <w:spacing w:after="0" w:line="240" w:lineRule="auto"/>
        <w:ind w:left="720" w:right="720"/>
        <w:jc w:val="both"/>
        <w:rPr>
          <w:rFonts w:ascii="Century Schoolbook" w:eastAsia="Times New Roman" w:hAnsi="Century Schoolbook" w:cs="Times New Roman"/>
        </w:rPr>
      </w:pP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Related to the question of dismissal is whether a trial court can functionally accomplish such a result without actually dismissing the case.  In other words, can the trial court so cripple the plaintiff’s case that it results in summary judgment for the defense, even without formally “dismissing” the case as the sanction for spoliation?  The answer to this question is clearly, “Yes.”</w:t>
      </w:r>
    </w:p>
    <w:p w:rsidR="005C3E72" w:rsidRPr="00CC5181" w:rsidRDefault="005C3E72" w:rsidP="005C3E72">
      <w:pPr>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iCs/>
        </w:rPr>
        <w:t xml:space="preserve">As discussed above, in </w:t>
      </w:r>
      <w:r w:rsidRPr="00CC5181">
        <w:rPr>
          <w:rFonts w:ascii="Century Schoolbook" w:eastAsia="Times New Roman" w:hAnsi="Century Schoolbook" w:cs="Times New Roman"/>
          <w:i/>
          <w:iCs/>
        </w:rPr>
        <w:t>AMLI Residential Properties, Inc. v. Georgia Power Co</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30"/>
      </w:r>
      <w:r w:rsidRPr="00CC5181">
        <w:rPr>
          <w:rFonts w:ascii="Century Schoolbook" w:eastAsia="Times New Roman" w:hAnsi="Century Schoolbook" w:cs="Times New Roman"/>
          <w:i/>
          <w:iCs/>
        </w:rPr>
        <w:t xml:space="preserve"> </w:t>
      </w:r>
      <w:r w:rsidRPr="00CC5181">
        <w:rPr>
          <w:rFonts w:ascii="Century Schoolbook" w:eastAsia="Times New Roman" w:hAnsi="Century Schoolbook" w:cs="Times New Roman"/>
        </w:rPr>
        <w:t xml:space="preserve">the plaintiff was precluded </w:t>
      </w:r>
      <w:r w:rsidRPr="00CC5181">
        <w:rPr>
          <w:rFonts w:ascii="Century Schoolbook" w:eastAsia="Times New Roman" w:hAnsi="Century Schoolbook" w:cs="Times New Roman"/>
        </w:rPr>
        <w:lastRenderedPageBreak/>
        <w:t>from introducing or conveying to the jury, through expert witnesses or otherwise, any evidence whatsoever relating to the spoliated ground rod.  After the evidence and testimony were precluded, the trial court then granted summary judgment based on the absence of evidence of causation, and this ruling was affirmed on appeal.</w:t>
      </w:r>
      <w:r w:rsidRPr="00CC5181">
        <w:rPr>
          <w:rFonts w:ascii="Century Schoolbook" w:eastAsia="Times New Roman" w:hAnsi="Century Schoolbook" w:cs="Times New Roman"/>
          <w:vertAlign w:val="superscript"/>
        </w:rPr>
        <w:endnoteReference w:id="31"/>
      </w:r>
      <w:r w:rsidRPr="00CC5181">
        <w:rPr>
          <w:rFonts w:ascii="Century Schoolbook" w:eastAsia="Times New Roman" w:hAnsi="Century Schoolbook" w:cs="Times New Roman"/>
        </w:rPr>
        <w:t xml:space="preserve">  Like Georgia, other jurisdictions have affirmed the use of a spoliation sanction less than dismissal which ultimately results in summary judgment for the defense when the sanction prevents the plaintiff from being able to prove an essential element of its case.</w:t>
      </w:r>
      <w:r w:rsidRPr="00CC5181">
        <w:rPr>
          <w:rFonts w:ascii="Century Schoolbook" w:eastAsia="Times New Roman" w:hAnsi="Century Schoolbook" w:cs="Times New Roman"/>
          <w:vertAlign w:val="superscript"/>
        </w:rPr>
        <w:endnoteReference w:id="32"/>
      </w:r>
    </w:p>
    <w:p w:rsidR="005C3E72" w:rsidRDefault="005C3E72" w:rsidP="005C3E72">
      <w:pPr>
        <w:tabs>
          <w:tab w:val="num" w:pos="720"/>
        </w:tabs>
        <w:spacing w:after="0" w:line="240" w:lineRule="auto"/>
        <w:ind w:firstLine="360"/>
        <w:jc w:val="both"/>
        <w:rPr>
          <w:rFonts w:ascii="Century Schoolbook" w:eastAsia="Times New Roman" w:hAnsi="Century Schoolbook" w:cs="Times New Roman"/>
        </w:rPr>
      </w:pPr>
    </w:p>
    <w:p w:rsidR="00CC5181" w:rsidRPr="00CC5181" w:rsidRDefault="00CC5181"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ind w:left="540" w:hanging="540"/>
        <w:rPr>
          <w:rFonts w:ascii="Century Schoolbook" w:eastAsia="Times New Roman" w:hAnsi="Century Schoolbook" w:cs="Times New Roman"/>
          <w:b/>
        </w:rPr>
      </w:pPr>
      <w:r w:rsidRPr="00CC5181">
        <w:rPr>
          <w:rFonts w:ascii="Century Schoolbook" w:eastAsia="Times New Roman" w:hAnsi="Century Schoolbook" w:cs="Times New Roman"/>
          <w:b/>
        </w:rPr>
        <w:t>IV.</w:t>
      </w:r>
      <w:r w:rsidRPr="00CC5181">
        <w:rPr>
          <w:rFonts w:ascii="Century Schoolbook" w:eastAsia="Times New Roman" w:hAnsi="Century Schoolbook" w:cs="Times New Roman"/>
          <w:b/>
        </w:rPr>
        <w:tab/>
        <w:t>Strategy for Using Spoliation as a Sword</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So, what can defense counsel do to get to the heart of the spoliation issue?  Recently, the author has begun conducting more discovery which is aimed at determining the current whereabouts of evidence which may have been spoliated by the plaintiff.  Discovery inquires include questions and requests designed to determine where the critical evidence is, what has happened to it since the incident, who had control of it, and what steps did the custodian take to protect it after the incident occurred.  Additional requests seek an opportunity to inspect the critical evidence – even before it is directly identified.  A simple example of this is to request to inspect the shoes that the plaintiff was wearing in slip/trip-and-fall cases.  It is amazing what percentage of plaintiffs continue to wear their shoes for weeks to months following the subject incident, and how many of those plaintiffs do not even retain the shoes.</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Outside of the formal discovery process, the defense practitioner should place plaintiffs and their counsel on notice of the need to preserve evidence in the </w:t>
      </w:r>
      <w:r w:rsidRPr="00CC5181">
        <w:rPr>
          <w:rFonts w:ascii="Century Schoolbook" w:eastAsia="Times New Roman" w:hAnsi="Century Schoolbook" w:cs="Times New Roman"/>
        </w:rPr>
        <w:lastRenderedPageBreak/>
        <w:t>same status as it was at the time of accident.</w:t>
      </w:r>
    </w:p>
    <w:p w:rsidR="005C3E72" w:rsidRDefault="005C3E72" w:rsidP="005C3E72">
      <w:pPr>
        <w:tabs>
          <w:tab w:val="num" w:pos="720"/>
        </w:tabs>
        <w:spacing w:after="0" w:line="240" w:lineRule="auto"/>
        <w:ind w:firstLine="360"/>
        <w:jc w:val="both"/>
        <w:rPr>
          <w:rFonts w:ascii="Century Schoolbook" w:eastAsia="Times New Roman" w:hAnsi="Century Schoolbook" w:cs="Times New Roman"/>
        </w:rPr>
      </w:pPr>
    </w:p>
    <w:p w:rsidR="00CC5181" w:rsidRPr="00CC5181" w:rsidRDefault="00CC5181"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spacing w:after="0" w:line="240" w:lineRule="auto"/>
        <w:ind w:left="540" w:hanging="540"/>
        <w:jc w:val="both"/>
        <w:rPr>
          <w:rFonts w:ascii="Century Schoolbook" w:eastAsia="Times New Roman" w:hAnsi="Century Schoolbook" w:cs="Times New Roman"/>
          <w:b/>
        </w:rPr>
      </w:pPr>
      <w:r w:rsidRPr="00CC5181">
        <w:rPr>
          <w:rFonts w:ascii="Century Schoolbook" w:eastAsia="Times New Roman" w:hAnsi="Century Schoolbook" w:cs="Times New Roman"/>
          <w:b/>
        </w:rPr>
        <w:t>V.</w:t>
      </w:r>
      <w:r w:rsidRPr="00CC5181">
        <w:rPr>
          <w:rFonts w:ascii="Century Schoolbook" w:eastAsia="Times New Roman" w:hAnsi="Century Schoolbook" w:cs="Times New Roman"/>
          <w:b/>
        </w:rPr>
        <w:tab/>
        <w:t>Recent Success Stories</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This author has had two recent significant successes involving the use of spoliation of evidence as a sword against plaintiffs: one resulting in favorable jury instructions, and the other involving the dismissal of the plaintiff’s case with prejudice.</w:t>
      </w:r>
    </w:p>
    <w:p w:rsidR="005C3E72" w:rsidRPr="00CC5181" w:rsidRDefault="005C3E72" w:rsidP="005C3E72">
      <w:pPr>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In the first suit, the plaintiff had alleged that her hair had fallen out as a result of the use of a hair product.  The plaintiff had originally retained the hair, but she testified that she subsequently had offered to give it to her attorney, who told her to throw it away. There was, therefore, no way for the defense to demonstrate that she had used the product in violation of the warnings on the package.  Fulton State Court Judge Dixon (also the trial court judge from </w:t>
      </w:r>
      <w:r w:rsidRPr="00CC5181">
        <w:rPr>
          <w:rFonts w:ascii="Century Schoolbook" w:eastAsia="Times New Roman" w:hAnsi="Century Schoolbook" w:cs="Times New Roman"/>
          <w:i/>
          <w:iCs/>
        </w:rPr>
        <w:t>Bouve &amp; Mohr, LLC</w:t>
      </w:r>
      <w:r w:rsidRPr="00CC5181">
        <w:rPr>
          <w:rFonts w:ascii="Century Schoolbook" w:eastAsia="Times New Roman" w:hAnsi="Century Schoolbook" w:cs="Times New Roman"/>
          <w:i/>
          <w:iCs/>
          <w:vertAlign w:val="superscript"/>
        </w:rPr>
        <w:endnoteReference w:id="33"/>
      </w:r>
      <w:r w:rsidRPr="00CC5181">
        <w:rPr>
          <w:rFonts w:ascii="Century Schoolbook" w:eastAsia="Times New Roman" w:hAnsi="Century Schoolbook" w:cs="Times New Roman"/>
        </w:rPr>
        <w:t xml:space="preserve">) granted sanctions including instructing the jury that the defendant was entitled to an </w:t>
      </w:r>
      <w:r w:rsidRPr="00CC5181">
        <w:rPr>
          <w:rFonts w:ascii="Century Schoolbook" w:eastAsia="Times New Roman" w:hAnsi="Century Schoolbook" w:cs="Times New Roman"/>
          <w:bCs/>
          <w:i/>
          <w:iCs/>
        </w:rPr>
        <w:t>irrebuttable presumption</w:t>
      </w:r>
      <w:r w:rsidRPr="00CC5181">
        <w:rPr>
          <w:rFonts w:ascii="Century Schoolbook" w:eastAsia="Times New Roman" w:hAnsi="Century Schoolbook" w:cs="Times New Roman"/>
        </w:rPr>
        <w:t xml:space="preserve"> that the product had been used in violation of written warnings.  Near the time that the sanctions were granted, the case settled for nuisance value. </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In 2012, the author succeeded in obtaining an outright dismissal of a plaintiff’s case due to spoliation of evidence.  In that case, </w:t>
      </w:r>
      <w:r w:rsidRPr="00CC5181">
        <w:rPr>
          <w:rFonts w:ascii="Century Schoolbook" w:eastAsia="Times New Roman" w:hAnsi="Century Schoolbook" w:cs="Times New Roman"/>
          <w:i/>
        </w:rPr>
        <w:t>RV Motors, LLC v. Forthe Insurance Agency, Inc.</w:t>
      </w:r>
      <w:r w:rsidRPr="00CC5181">
        <w:rPr>
          <w:rFonts w:ascii="Century Schoolbook" w:eastAsia="Times New Roman" w:hAnsi="Century Schoolbook" w:cs="Times New Roman"/>
        </w:rPr>
        <w:t>,</w:t>
      </w:r>
      <w:r w:rsidRPr="00CC5181">
        <w:rPr>
          <w:rFonts w:ascii="Century Schoolbook" w:eastAsia="Times New Roman" w:hAnsi="Century Schoolbook" w:cs="Times New Roman"/>
          <w:vertAlign w:val="superscript"/>
        </w:rPr>
        <w:endnoteReference w:id="34"/>
      </w:r>
      <w:r w:rsidRPr="00CC5181">
        <w:rPr>
          <w:rFonts w:ascii="Century Schoolbook" w:eastAsia="Times New Roman" w:hAnsi="Century Schoolbook" w:cs="Times New Roman"/>
        </w:rPr>
        <w:t xml:space="preserve"> the plaintiff corporation owned four recreational vehicles (“RVs”) that were vandalized.  Following the vandalism, and while the plaintiff was pursuing a first-party claim through its property insurer, the plaintiff put a third-party’s insurer on notice of a claim.  The third-party’s insurer made both oral and written requests to inspect the RVs and for </w:t>
      </w:r>
      <w:r w:rsidRPr="00CC5181">
        <w:rPr>
          <w:rFonts w:ascii="Century Schoolbook" w:eastAsia="Times New Roman" w:hAnsi="Century Schoolbook" w:cs="Times New Roman"/>
        </w:rPr>
        <w:lastRenderedPageBreak/>
        <w:t>documentation of damages, but the plaintiff refused to provide such.  Fifteen months after giving notice of the third-party claim, the plaintiff informed the third-party’s insurer that the RVs had been sold for salvage.  When no resolution could be reached on the claims made against the third party, the plaintiff filed suit against the third party.  In litigation, the plaintiff identified an expert who had inspected the RVs before they had been sold and who opined as to the inability to repair the RVs, as well as to the alleged loss of value.</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In response to a motion for spoliation sanctions, Gwinnett State Court Judge Hamil dismissed the entire case, finding that the plaintiff's spoliation had deprived the defendant of the opportunity to put on a complete defense. The court determined that the defendant's repeated requests to the plaintiff to inspect the RVs after having been put on notice of the claim were inexplicably ignored, and as a result, the defendant had been unable to examine the vehicles’ condition.  The court also determined that the few photographs which existed were insufficient to substitute for a valid inspection.  Judge Hamil then concluded that the resulting prejudice to the defendant was incurable by any sanction other than dismissal. His entire view of the case was summed up in one line of the Order, “This Court prefers cases to be tried on their merits whenever possible.  Sometimes there just is no way to obtain that.”</w:t>
      </w:r>
      <w:r w:rsidRPr="00CC5181">
        <w:rPr>
          <w:rFonts w:ascii="Century Schoolbook" w:eastAsia="Times New Roman" w:hAnsi="Century Schoolbook" w:cs="Times New Roman"/>
          <w:vertAlign w:val="superscript"/>
        </w:rPr>
        <w:endnoteReference w:id="35"/>
      </w:r>
      <w:r w:rsidRPr="00CC5181">
        <w:rPr>
          <w:rFonts w:ascii="Century Schoolbook" w:eastAsia="Times New Roman" w:hAnsi="Century Schoolbook" w:cs="Times New Roman"/>
        </w:rPr>
        <w:t xml:space="preserve"> </w:t>
      </w:r>
    </w:p>
    <w:p w:rsidR="005C3E72" w:rsidRDefault="005C3E72" w:rsidP="005C3E72">
      <w:pPr>
        <w:spacing w:after="0" w:line="240" w:lineRule="auto"/>
        <w:jc w:val="both"/>
        <w:rPr>
          <w:rFonts w:ascii="Century Schoolbook" w:eastAsia="Times New Roman" w:hAnsi="Century Schoolbook" w:cs="Times New Roman"/>
        </w:rPr>
      </w:pPr>
    </w:p>
    <w:p w:rsidR="00CC5181" w:rsidRPr="00CC5181" w:rsidRDefault="00CC5181" w:rsidP="005C3E72">
      <w:pPr>
        <w:spacing w:after="0" w:line="240" w:lineRule="auto"/>
        <w:jc w:val="both"/>
        <w:rPr>
          <w:rFonts w:ascii="Century Schoolbook" w:eastAsia="Times New Roman" w:hAnsi="Century Schoolbook" w:cs="Times New Roman"/>
        </w:rPr>
      </w:pPr>
    </w:p>
    <w:p w:rsidR="005C3E72" w:rsidRPr="00CC5181" w:rsidRDefault="005C3E72" w:rsidP="005C3E72">
      <w:pPr>
        <w:spacing w:after="0" w:line="240" w:lineRule="auto"/>
        <w:ind w:left="540" w:hanging="540"/>
        <w:jc w:val="both"/>
        <w:rPr>
          <w:rFonts w:ascii="Century Schoolbook" w:eastAsia="Times New Roman" w:hAnsi="Century Schoolbook" w:cs="Times New Roman"/>
          <w:b/>
        </w:rPr>
      </w:pPr>
      <w:r w:rsidRPr="00CC5181">
        <w:rPr>
          <w:rFonts w:ascii="Century Schoolbook" w:eastAsia="Times New Roman" w:hAnsi="Century Schoolbook" w:cs="Times New Roman"/>
          <w:b/>
        </w:rPr>
        <w:t>VI.</w:t>
      </w:r>
      <w:r w:rsidRPr="00CC5181">
        <w:rPr>
          <w:rFonts w:ascii="Century Schoolbook" w:eastAsia="Times New Roman" w:hAnsi="Century Schoolbook" w:cs="Times New Roman"/>
          <w:b/>
        </w:rPr>
        <w:tab/>
        <w:t>Conclusion</w:t>
      </w:r>
    </w:p>
    <w:p w:rsidR="005C3E72" w:rsidRPr="00CC5181" w:rsidRDefault="005C3E72" w:rsidP="005C3E72">
      <w:pPr>
        <w:spacing w:after="0" w:line="240" w:lineRule="auto"/>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 xml:space="preserve">Based on a review of the case law, it is clear that as far as spoliation is concerned in Georgia, what is sauce for the goose is sauce for the gander.  Trial courts will impose sanctions against plaintiffs when the </w:t>
      </w:r>
      <w:r w:rsidRPr="00CC5181">
        <w:rPr>
          <w:rFonts w:ascii="Century Schoolbook" w:eastAsia="Times New Roman" w:hAnsi="Century Schoolbook" w:cs="Times New Roman"/>
          <w:i/>
          <w:iCs/>
        </w:rPr>
        <w:t>Bridgestone</w:t>
      </w:r>
      <w:r w:rsidRPr="00CC5181">
        <w:rPr>
          <w:rFonts w:ascii="Century Schoolbook" w:eastAsia="Times New Roman" w:hAnsi="Century Schoolbook" w:cs="Times New Roman"/>
        </w:rPr>
        <w:t xml:space="preserve"> factors are met. Defense </w:t>
      </w:r>
      <w:r w:rsidRPr="00CC5181">
        <w:rPr>
          <w:rFonts w:ascii="Century Schoolbook" w:eastAsia="Times New Roman" w:hAnsi="Century Schoolbook" w:cs="Times New Roman"/>
        </w:rPr>
        <w:lastRenderedPageBreak/>
        <w:t xml:space="preserve">counsel should seek to identify critical evidence to determine if anything is missing. If it is, look to see how important it is to your case and whether the </w:t>
      </w:r>
      <w:r w:rsidRPr="00CC5181">
        <w:rPr>
          <w:rFonts w:ascii="Century Schoolbook" w:eastAsia="Times New Roman" w:hAnsi="Century Schoolbook" w:cs="Times New Roman"/>
          <w:i/>
        </w:rPr>
        <w:t>Bridgestone</w:t>
      </w:r>
      <w:r w:rsidRPr="00CC5181">
        <w:rPr>
          <w:rFonts w:ascii="Century Schoolbook" w:eastAsia="Times New Roman" w:hAnsi="Century Schoolbook" w:cs="Times New Roman"/>
        </w:rPr>
        <w:t xml:space="preserve"> factors can be established.</w:t>
      </w: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p>
    <w:p w:rsidR="005C3E72" w:rsidRPr="00CC5181" w:rsidRDefault="005C3E72" w:rsidP="005C3E72">
      <w:pPr>
        <w:tabs>
          <w:tab w:val="num" w:pos="720"/>
        </w:tabs>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If possible, counsel should not be afraid to ask the trial court for sanctions – even if it is something less than dismissal.  The home run swing should be saved for those cases where the opportunity to provide a complete defense is lost due to a plaintiff’s action.</w:t>
      </w:r>
    </w:p>
    <w:p w:rsidR="005C3E72" w:rsidRPr="00CC5181" w:rsidRDefault="005C3E72" w:rsidP="005C3E72">
      <w:pPr>
        <w:tabs>
          <w:tab w:val="num" w:pos="720"/>
        </w:tabs>
        <w:spacing w:after="0" w:line="240" w:lineRule="auto"/>
        <w:jc w:val="both"/>
        <w:rPr>
          <w:rFonts w:ascii="Century Schoolbook" w:eastAsia="Times New Roman" w:hAnsi="Century Schoolbook" w:cs="Times New Roman"/>
        </w:rPr>
      </w:pPr>
    </w:p>
    <w:p w:rsidR="005A61E8" w:rsidRDefault="005C3E72" w:rsidP="005A61E8">
      <w:pPr>
        <w:spacing w:after="0" w:line="240" w:lineRule="auto"/>
        <w:ind w:firstLine="360"/>
        <w:jc w:val="both"/>
        <w:rPr>
          <w:rFonts w:ascii="Century Schoolbook" w:eastAsia="Times New Roman" w:hAnsi="Century Schoolbook" w:cs="Times New Roman"/>
        </w:rPr>
      </w:pPr>
      <w:r w:rsidRPr="00CC5181">
        <w:rPr>
          <w:rFonts w:ascii="Century Schoolbook" w:eastAsia="Times New Roman" w:hAnsi="Century Schoolbook" w:cs="Times New Roman"/>
        </w:rPr>
        <w:t>But when the right pitch comes, swing away!</w:t>
      </w:r>
    </w:p>
    <w:p w:rsidR="005A61E8" w:rsidRDefault="005A61E8" w:rsidP="005A61E8">
      <w:pPr>
        <w:spacing w:after="0" w:line="240" w:lineRule="auto"/>
        <w:jc w:val="both"/>
        <w:rPr>
          <w:rFonts w:ascii="Century Schoolbook" w:eastAsia="Times New Roman" w:hAnsi="Century Schoolbook" w:cs="Times New Roman"/>
        </w:rPr>
      </w:pPr>
    </w:p>
    <w:p w:rsidR="005A61E8" w:rsidRPr="005A61E8" w:rsidRDefault="005A61E8" w:rsidP="005A61E8">
      <w:pPr>
        <w:spacing w:after="0" w:line="240" w:lineRule="auto"/>
        <w:jc w:val="center"/>
        <w:rPr>
          <w:rFonts w:ascii="Century Schoolbook" w:eastAsiaTheme="minorEastAsia" w:hAnsi="Century Schoolbook"/>
          <w:b/>
          <w:bCs/>
          <w:u w:val="single"/>
        </w:rPr>
      </w:pPr>
      <w:r w:rsidRPr="005A61E8">
        <w:rPr>
          <w:rFonts w:ascii="Century Schoolbook" w:eastAsia="Times New Roman" w:hAnsi="Century Schoolbook" w:cs="Times New Roman"/>
          <w:b/>
          <w:u w:val="single"/>
        </w:rPr>
        <w:t>End Notes</w:t>
      </w:r>
    </w:p>
    <w:p w:rsidR="005A61E8" w:rsidRDefault="005A61E8" w:rsidP="005A61E8">
      <w:pPr>
        <w:spacing w:after="0" w:line="240" w:lineRule="auto"/>
        <w:ind w:firstLine="360"/>
        <w:jc w:val="both"/>
        <w:rPr>
          <w:rFonts w:ascii="Century Schoolbook" w:eastAsiaTheme="minorEastAsia" w:hAnsi="Century Schoolbook"/>
          <w:b/>
          <w:bCs/>
        </w:rPr>
      </w:pPr>
    </w:p>
    <w:p w:rsidR="005A61E8" w:rsidRPr="005A61E8" w:rsidRDefault="005A61E8" w:rsidP="005A61E8">
      <w:pPr>
        <w:spacing w:after="0" w:line="240" w:lineRule="auto"/>
        <w:ind w:firstLine="360"/>
        <w:jc w:val="both"/>
        <w:rPr>
          <w:rFonts w:ascii="Century Schoolbook" w:eastAsiaTheme="minorEastAsia" w:hAnsi="Century Schoolbook"/>
          <w:b/>
          <w:bCs/>
        </w:rPr>
        <w:sectPr w:rsidR="005A61E8" w:rsidRPr="005A61E8" w:rsidSect="00E16721">
          <w:endnotePr>
            <w:numFmt w:val="decimal"/>
            <w:numRestart w:val="eachSect"/>
          </w:endnotePr>
          <w:type w:val="continuous"/>
          <w:pgSz w:w="12240" w:h="15840"/>
          <w:pgMar w:top="1440" w:right="1440" w:bottom="1440" w:left="1440" w:header="720" w:footer="720" w:gutter="0"/>
          <w:pgNumType w:start="0"/>
          <w:cols w:num="2" w:space="720"/>
          <w:docGrid w:linePitch="360"/>
        </w:sectPr>
      </w:pPr>
    </w:p>
    <w:p w:rsidR="002F77D6" w:rsidRPr="002A2565" w:rsidRDefault="002F77D6" w:rsidP="002A2565">
      <w:pPr>
        <w:pStyle w:val="Heading3"/>
        <w:tabs>
          <w:tab w:val="clear" w:pos="2160"/>
          <w:tab w:val="num" w:pos="0"/>
        </w:tabs>
        <w:ind w:left="0" w:firstLine="0"/>
        <w:jc w:val="center"/>
        <w:rPr>
          <w:rFonts w:ascii="Century Schoolbook" w:hAnsi="Century Schoolbook"/>
          <w:sz w:val="22"/>
          <w:szCs w:val="22"/>
          <w:u w:val="single"/>
        </w:rPr>
      </w:pPr>
      <w:bookmarkStart w:id="8" w:name="_Toc356227227"/>
      <w:r w:rsidRPr="002A2565">
        <w:rPr>
          <w:rFonts w:ascii="Century Schoolbook" w:hAnsi="Century Schoolbook"/>
          <w:sz w:val="22"/>
          <w:szCs w:val="22"/>
          <w:u w:val="single"/>
        </w:rPr>
        <w:lastRenderedPageBreak/>
        <w:t>Appendix A</w:t>
      </w:r>
      <w:r w:rsidR="00203931" w:rsidRPr="002A2565">
        <w:rPr>
          <w:rFonts w:ascii="Century Schoolbook" w:hAnsi="Century Schoolbook"/>
          <w:sz w:val="22"/>
          <w:szCs w:val="22"/>
          <w:u w:val="single"/>
        </w:rPr>
        <w:t>: Order on Pending Motions</w:t>
      </w:r>
      <w:bookmarkEnd w:id="8"/>
    </w:p>
    <w:p w:rsidR="002F77D6" w:rsidRDefault="002F77D6" w:rsidP="002F77D6">
      <w:pPr>
        <w:rPr>
          <w:b/>
          <w:u w:val="single"/>
        </w:rPr>
      </w:pPr>
      <w:r>
        <w:rPr>
          <w:rFonts w:ascii="Century Schoolbook" w:hAnsi="Century Schoolbook"/>
          <w:b/>
          <w:noProof/>
          <w:sz w:val="19"/>
          <w:szCs w:val="19"/>
          <w:u w:val="single"/>
        </w:rPr>
        <w:drawing>
          <wp:inline distT="0" distB="0" distL="0" distR="0" wp14:anchorId="7369B36F" wp14:editId="39159945">
            <wp:extent cx="5712648" cy="7394311"/>
            <wp:effectExtent l="0" t="0" r="2540" b="0"/>
            <wp:docPr id="22" name="Picture 22" descr="C:\Users\ar\Desktop\P - PDM Spoliation addendum Order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Desktop\P - PDM Spoliation addendum Order_Page_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2594" cy="7394241"/>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0CA5ADC8" wp14:editId="4B089098">
            <wp:extent cx="5938520" cy="7686675"/>
            <wp:effectExtent l="0" t="0" r="5080" b="9525"/>
            <wp:docPr id="23" name="Picture 23" descr="C:\Users\ar\Desktop\P - PDM Spoliation addendum Order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Desktop\P - PDM Spoliation addendum Order_Page_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22A0073D" wp14:editId="704277D7">
            <wp:extent cx="5938520" cy="7686675"/>
            <wp:effectExtent l="0" t="0" r="5080" b="9525"/>
            <wp:docPr id="24" name="Picture 24" descr="C:\Users\ar\Desktop\P - PDM Spoliation addendum Order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Desktop\P - PDM Spoliation addendum Order_Page_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40FC544A" wp14:editId="2B3A64FD">
            <wp:extent cx="5938520" cy="7686675"/>
            <wp:effectExtent l="0" t="0" r="5080" b="9525"/>
            <wp:docPr id="25" name="Picture 25" descr="C:\Users\ar\Desktop\P - PDM Spoliation addendum Order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Desktop\P - PDM Spoliation addendum Order_Page_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7A410A09" wp14:editId="2C2AEA17">
            <wp:extent cx="5938520" cy="7686675"/>
            <wp:effectExtent l="0" t="0" r="5080" b="9525"/>
            <wp:docPr id="26" name="Picture 26" descr="C:\Users\ar\Desktop\P - PDM Spoliation addendum Order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Desktop\P - PDM Spoliation addendum Order_Page_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056340B6" wp14:editId="4BB63D1D">
            <wp:extent cx="5938520" cy="7686675"/>
            <wp:effectExtent l="0" t="0" r="5080" b="9525"/>
            <wp:docPr id="27" name="Picture 27" descr="C:\Users\ar\Desktop\P - PDM Spoliation addendum Order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Desktop\P - PDM Spoliation addendum Order_Page_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295367D0" wp14:editId="7FC26E13">
            <wp:extent cx="5938520" cy="7686675"/>
            <wp:effectExtent l="0" t="0" r="5080" b="9525"/>
            <wp:docPr id="28" name="Picture 28" descr="C:\Users\ar\Desktop\P - PDM Spoliation addendum Order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Desktop\P - PDM Spoliation addendum Order_Page_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6105D519" wp14:editId="37CD0636">
            <wp:extent cx="5938520" cy="7686675"/>
            <wp:effectExtent l="0" t="0" r="5080" b="9525"/>
            <wp:docPr id="29" name="Picture 29" descr="C:\Users\ar\Desktop\P - PDM Spoliation addendum Order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Desktop\P - PDM Spoliation addendum Order_Page_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4F740F32" wp14:editId="3277D93E">
            <wp:extent cx="5938520" cy="7686675"/>
            <wp:effectExtent l="0" t="0" r="5080" b="9525"/>
            <wp:docPr id="30" name="Picture 30" descr="C:\Users\ar\Desktop\P - PDM Spoliation addendum Order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Desktop\P - PDM Spoliation addendum Order_Page_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3AD5DE77" wp14:editId="39C444E3">
            <wp:extent cx="5938520" cy="7686675"/>
            <wp:effectExtent l="0" t="0" r="5080" b="9525"/>
            <wp:docPr id="31" name="Picture 31" descr="C:\Users\ar\Desktop\P - PDM Spoliation addendum Order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Desktop\P - PDM Spoliation addendum Order_Page_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39938125" wp14:editId="6ACE499F">
            <wp:extent cx="5938520" cy="7686675"/>
            <wp:effectExtent l="0" t="0" r="5080" b="9525"/>
            <wp:docPr id="225" name="Picture 225" descr="C:\Users\ar\Desktop\P - PDM Spoliation addendum Order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Desktop\P - PDM Spoliation addendum Order_Page_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Default="002F77D6" w:rsidP="002F77D6">
      <w:pPr>
        <w:rPr>
          <w:b/>
          <w:u w:val="single"/>
        </w:rPr>
      </w:pPr>
      <w:r>
        <w:rPr>
          <w:b/>
          <w:noProof/>
          <w:u w:val="single"/>
        </w:rPr>
        <w:lastRenderedPageBreak/>
        <w:drawing>
          <wp:inline distT="0" distB="0" distL="0" distR="0" wp14:anchorId="06EB4928" wp14:editId="0B6248B2">
            <wp:extent cx="5938520" cy="7686675"/>
            <wp:effectExtent l="0" t="0" r="5080" b="9525"/>
            <wp:docPr id="226" name="Picture 226" descr="C:\Users\ar\Desktop\P - PDM Spoliation addendum Order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Desktop\P - PDM Spoliation addendum Order_Page_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p>
    <w:p w:rsidR="002F77D6" w:rsidRPr="002F77D6" w:rsidRDefault="002F77D6" w:rsidP="002F77D6">
      <w:pPr>
        <w:rPr>
          <w:rFonts w:ascii="Century Schoolbook" w:hAnsi="Century Schoolbook"/>
          <w:b/>
          <w:sz w:val="28"/>
          <w:szCs w:val="28"/>
          <w:u w:val="single"/>
        </w:rPr>
      </w:pPr>
      <w:r>
        <w:rPr>
          <w:b/>
          <w:noProof/>
          <w:u w:val="single"/>
        </w:rPr>
        <w:lastRenderedPageBreak/>
        <w:drawing>
          <wp:inline distT="0" distB="0" distL="0" distR="0" wp14:anchorId="548B7AE0" wp14:editId="05F5D5A5">
            <wp:extent cx="5938520" cy="7686675"/>
            <wp:effectExtent l="0" t="0" r="5080" b="9525"/>
            <wp:docPr id="227" name="Picture 227" descr="C:\Users\ar\Desktop\P - PDM Spoliation addendum Order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Desktop\P - PDM Spoliation addendum Order_Page_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8520" cy="7686675"/>
                    </a:xfrm>
                    <a:prstGeom prst="rect">
                      <a:avLst/>
                    </a:prstGeom>
                    <a:noFill/>
                    <a:ln>
                      <a:noFill/>
                    </a:ln>
                  </pic:spPr>
                </pic:pic>
              </a:graphicData>
            </a:graphic>
          </wp:inline>
        </w:drawing>
      </w:r>
      <w:r w:rsidRPr="002F77D6">
        <w:rPr>
          <w:b/>
          <w:u w:val="single"/>
        </w:rPr>
        <w:br w:type="page"/>
      </w:r>
    </w:p>
    <w:p w:rsidR="003522D9" w:rsidRPr="003522D9" w:rsidRDefault="003522D9" w:rsidP="003522D9">
      <w:pPr>
        <w:pStyle w:val="GDLA"/>
        <w:outlineLvl w:val="0"/>
      </w:pPr>
      <w:bookmarkStart w:id="9" w:name="_Toc356227228"/>
      <w:r w:rsidRPr="003522D9">
        <w:lastRenderedPageBreak/>
        <w:t xml:space="preserve">Accurately Calculating </w:t>
      </w:r>
      <w:r>
        <w:t xml:space="preserve">the Costs </w:t>
      </w:r>
      <w:r w:rsidRPr="003522D9">
        <w:t>of a Limited Representation</w:t>
      </w:r>
      <w:bookmarkEnd w:id="9"/>
      <w:r w:rsidRPr="003522D9">
        <w:t xml:space="preserve"> </w:t>
      </w:r>
    </w:p>
    <w:p w:rsidR="003522D9" w:rsidRPr="003522D9" w:rsidRDefault="003522D9" w:rsidP="003522D9">
      <w:pPr>
        <w:spacing w:after="0" w:line="240" w:lineRule="auto"/>
        <w:jc w:val="center"/>
        <w:rPr>
          <w:rFonts w:ascii="Century Schoolbook" w:eastAsia="MS Mincho" w:hAnsi="Century Schoolbook" w:cs="Times New Roman"/>
          <w:sz w:val="24"/>
          <w:szCs w:val="24"/>
        </w:rPr>
      </w:pPr>
    </w:p>
    <w:p w:rsidR="003522D9" w:rsidRPr="003522D9" w:rsidRDefault="003522D9" w:rsidP="008F05D1">
      <w:pPr>
        <w:pStyle w:val="Author"/>
        <w:outlineLvl w:val="1"/>
      </w:pPr>
      <w:bookmarkStart w:id="10" w:name="_Toc356227229"/>
      <w:r w:rsidRPr="003522D9">
        <w:t>By Jake Evans and Zachary Lewis</w:t>
      </w:r>
      <w:bookmarkEnd w:id="10"/>
    </w:p>
    <w:p w:rsidR="003522D9" w:rsidRDefault="003522D9" w:rsidP="003522D9">
      <w:pPr>
        <w:spacing w:after="0" w:line="240" w:lineRule="auto"/>
        <w:jc w:val="center"/>
        <w:rPr>
          <w:rFonts w:ascii="Times New Roman" w:eastAsia="MS Mincho" w:hAnsi="Times New Roman" w:cs="Times New Roman"/>
          <w:sz w:val="24"/>
          <w:szCs w:val="24"/>
        </w:rPr>
      </w:pPr>
    </w:p>
    <w:p w:rsidR="000B18CB" w:rsidRDefault="000B18CB" w:rsidP="003522D9">
      <w:pPr>
        <w:spacing w:after="0" w:line="240" w:lineRule="auto"/>
        <w:jc w:val="center"/>
        <w:rPr>
          <w:rFonts w:ascii="Times New Roman" w:eastAsia="MS Mincho" w:hAnsi="Times New Roman" w:cs="Times New Roman"/>
          <w:sz w:val="24"/>
          <w:szCs w:val="24"/>
        </w:rPr>
      </w:pPr>
    </w:p>
    <w:p w:rsidR="003522D9" w:rsidRDefault="003522D9" w:rsidP="003522D9">
      <w:pPr>
        <w:spacing w:after="0" w:line="240" w:lineRule="auto"/>
        <w:jc w:val="center"/>
        <w:rPr>
          <w:rFonts w:ascii="Times New Roman" w:eastAsia="MS Mincho" w:hAnsi="Times New Roman" w:cs="Times New Roman"/>
          <w:sz w:val="24"/>
          <w:szCs w:val="24"/>
        </w:rPr>
        <w:sectPr w:rsidR="003522D9" w:rsidSect="00205EDD">
          <w:footerReference w:type="even" r:id="rId31"/>
          <w:footerReference w:type="default" r:id="rId32"/>
          <w:endnotePr>
            <w:numFmt w:val="decimal"/>
            <w:numRestart w:val="eachSect"/>
          </w:endnotePr>
          <w:pgSz w:w="12240" w:h="15840"/>
          <w:pgMar w:top="1440" w:right="1440" w:bottom="1440" w:left="1440" w:header="720" w:footer="720" w:gutter="0"/>
          <w:cols w:space="720"/>
          <w:docGrid w:linePitch="360"/>
        </w:sectPr>
      </w:pPr>
    </w:p>
    <w:p w:rsidR="00C279A3" w:rsidRDefault="00F5587A" w:rsidP="005A61E8">
      <w:pPr>
        <w:pBdr>
          <w:top w:val="single" w:sz="4" w:space="1" w:color="auto"/>
          <w:left w:val="single" w:sz="4" w:space="4" w:color="auto"/>
          <w:bottom w:val="single" w:sz="4" w:space="1" w:color="auto"/>
          <w:right w:val="single" w:sz="4" w:space="4" w:color="auto"/>
        </w:pBdr>
        <w:shd w:val="clear" w:color="auto" w:fill="81BAC5"/>
        <w:spacing w:line="240" w:lineRule="auto"/>
        <w:jc w:val="both"/>
        <w:rPr>
          <w:rFonts w:ascii="Century Schoolbook" w:hAnsi="Century Schoolbook"/>
        </w:rPr>
      </w:pPr>
      <w:r w:rsidRPr="005A61E8">
        <w:rPr>
          <w:rFonts w:ascii="Century Schoolbook" w:eastAsia="MS Mincho" w:hAnsi="Century Schoolbook" w:cs="Times New Roman"/>
          <w:b/>
          <w:noProof/>
        </w:rPr>
        <w:drawing>
          <wp:anchor distT="0" distB="0" distL="114300" distR="114300" simplePos="0" relativeHeight="251662336" behindDoc="0" locked="0" layoutInCell="1" allowOverlap="1" wp14:anchorId="4311CE7E" wp14:editId="1D2B906B">
            <wp:simplePos x="0" y="0"/>
            <wp:positionH relativeFrom="margin">
              <wp:posOffset>-38100</wp:posOffset>
            </wp:positionH>
            <wp:positionV relativeFrom="margin">
              <wp:posOffset>1837690</wp:posOffset>
            </wp:positionV>
            <wp:extent cx="1009650" cy="1442085"/>
            <wp:effectExtent l="76200" t="76200" r="133350" b="1390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9650" cy="1442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A61E8">
        <w:rPr>
          <w:rFonts w:ascii="Century Schoolbook" w:hAnsi="Century Schoolbook"/>
          <w:b/>
        </w:rPr>
        <w:t>Jake Evans</w:t>
      </w:r>
      <w:r w:rsidRPr="00C279A3">
        <w:rPr>
          <w:rFonts w:ascii="Century Schoolbook" w:hAnsi="Century Schoolbook"/>
        </w:rPr>
        <w:t xml:space="preserve"> is an Associate in the Product Liability and Toxic Tort and Environmental Litigation practice groups at Hawkins Parnell Thackston &amp; Young LLP. Jake participates in all phases of litigation, including drafting motions, assisting with trial preparation, and attending depositions.</w:t>
      </w:r>
    </w:p>
    <w:p w:rsidR="00F5587A" w:rsidRDefault="000D7B32" w:rsidP="005A61E8">
      <w:pPr>
        <w:pBdr>
          <w:top w:val="single" w:sz="4" w:space="1" w:color="auto"/>
          <w:left w:val="single" w:sz="4" w:space="4" w:color="auto"/>
          <w:bottom w:val="single" w:sz="4" w:space="1" w:color="auto"/>
          <w:right w:val="single" w:sz="4" w:space="4" w:color="auto"/>
        </w:pBdr>
        <w:shd w:val="clear" w:color="auto" w:fill="81BAC5"/>
        <w:spacing w:line="240" w:lineRule="auto"/>
        <w:jc w:val="both"/>
        <w:rPr>
          <w:rFonts w:ascii="Century Schoolbook" w:hAnsi="Century Schoolbook"/>
        </w:rPr>
      </w:pPr>
      <w:r w:rsidRPr="00C279A3">
        <w:rPr>
          <w:rFonts w:ascii="Century Schoolbook" w:hAnsi="Century Schoolbook"/>
        </w:rPr>
        <w:t>Jake</w:t>
      </w:r>
      <w:r w:rsidR="00F5587A" w:rsidRPr="00C279A3">
        <w:rPr>
          <w:rFonts w:ascii="Century Schoolbook" w:hAnsi="Century Schoolbook"/>
        </w:rPr>
        <w:t xml:space="preserve"> obtained a degree in Political Science from  the University of Georgia, graduating  Summa Cum Laude He also obtained his law degree from the University of Georgia School of Law, graduating Cum Laude.</w:t>
      </w:r>
    </w:p>
    <w:p w:rsidR="00C279A3" w:rsidRPr="00C279A3" w:rsidRDefault="00C279A3" w:rsidP="00C279A3">
      <w:pPr>
        <w:spacing w:after="0" w:line="240" w:lineRule="auto"/>
        <w:jc w:val="both"/>
        <w:rPr>
          <w:rFonts w:ascii="Century Schoolbook" w:hAnsi="Century Schoolbook"/>
        </w:rPr>
      </w:pPr>
    </w:p>
    <w:p w:rsidR="005A61E8" w:rsidRDefault="00F5587A" w:rsidP="005A61E8">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hAnsi="Century Schoolbook"/>
        </w:rPr>
      </w:pPr>
      <w:r w:rsidRPr="005A61E8">
        <w:rPr>
          <w:rFonts w:ascii="Century Schoolbook" w:hAnsi="Century Schoolbook"/>
          <w:b/>
          <w:noProof/>
        </w:rPr>
        <w:drawing>
          <wp:anchor distT="0" distB="0" distL="114300" distR="114300" simplePos="0" relativeHeight="251663360" behindDoc="0" locked="0" layoutInCell="1" allowOverlap="1" wp14:anchorId="2B5007C7" wp14:editId="38472BE5">
            <wp:simplePos x="0" y="0"/>
            <wp:positionH relativeFrom="margin">
              <wp:posOffset>-38100</wp:posOffset>
            </wp:positionH>
            <wp:positionV relativeFrom="margin">
              <wp:posOffset>5304790</wp:posOffset>
            </wp:positionV>
            <wp:extent cx="1010285" cy="1327150"/>
            <wp:effectExtent l="76200" t="76200" r="132715" b="139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0285" cy="132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A61E8">
        <w:rPr>
          <w:rFonts w:ascii="Century Schoolbook" w:hAnsi="Century Schoolbook"/>
          <w:b/>
        </w:rPr>
        <w:t>Zachary Lewis</w:t>
      </w:r>
      <w:r w:rsidRPr="00C279A3">
        <w:rPr>
          <w:rFonts w:ascii="Century Schoolbook" w:hAnsi="Century Schoolbook"/>
        </w:rPr>
        <w:t xml:space="preserve"> is an Associate in the Atlanta office of Hawkins Parnell Thackston &amp; Young LLP. Zack's practice focuses on professional negligence defense and toxic tort litigation. He has managed all aspects of litigation, including drafting of pleadings, discovery,</w:t>
      </w:r>
      <w:r w:rsidR="00C279A3">
        <w:rPr>
          <w:rFonts w:ascii="Century Schoolbook" w:hAnsi="Century Schoolbook"/>
        </w:rPr>
        <w:t xml:space="preserve"> and </w:t>
      </w:r>
      <w:r w:rsidRPr="00C279A3">
        <w:rPr>
          <w:rFonts w:ascii="Century Schoolbook" w:hAnsi="Century Schoolbook"/>
        </w:rPr>
        <w:t>dispositive motions.</w:t>
      </w:r>
    </w:p>
    <w:p w:rsidR="00C279A3" w:rsidRPr="00C279A3" w:rsidRDefault="00F5587A" w:rsidP="005A61E8">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hAnsi="Century Schoolbook"/>
        </w:rPr>
      </w:pPr>
      <w:r w:rsidRPr="00C279A3">
        <w:rPr>
          <w:rFonts w:ascii="Century Schoolbook" w:hAnsi="Century Schoolbook"/>
        </w:rPr>
        <w:t>Before joining HPTY, Zack served as counsel to a court-appointed receiver in an SEC fraud case filed to recover investor funds lost during a multi-million dollar Ponzi scheme.</w:t>
      </w:r>
    </w:p>
    <w:p w:rsidR="003522D9" w:rsidRPr="00C279A3" w:rsidRDefault="003522D9" w:rsidP="00153A04">
      <w:pPr>
        <w:spacing w:after="0" w:line="240" w:lineRule="auto"/>
        <w:rPr>
          <w:rFonts w:ascii="Century Schoolbook" w:eastAsia="MS Mincho" w:hAnsi="Century Schoolbook" w:cs="Times New Roman"/>
          <w:u w:val="single"/>
        </w:rPr>
      </w:pPr>
    </w:p>
    <w:p w:rsidR="00153A04" w:rsidRDefault="00153A04" w:rsidP="00153A04">
      <w:pPr>
        <w:spacing w:after="0" w:line="240" w:lineRule="auto"/>
        <w:rPr>
          <w:rFonts w:ascii="Century Schoolbook" w:eastAsia="MS Mincho" w:hAnsi="Century Schoolbook" w:cs="Times New Roman"/>
          <w:u w:val="single"/>
        </w:rPr>
      </w:pPr>
    </w:p>
    <w:p w:rsidR="00C279A3" w:rsidRPr="00C279A3" w:rsidRDefault="00C279A3" w:rsidP="00153A04">
      <w:pPr>
        <w:spacing w:after="0" w:line="240" w:lineRule="auto"/>
        <w:rPr>
          <w:rFonts w:ascii="Century Schoolbook" w:eastAsia="MS Mincho" w:hAnsi="Century Schoolbook" w:cs="Times New Roman"/>
          <w:u w:val="single"/>
        </w:rPr>
      </w:pPr>
    </w:p>
    <w:p w:rsidR="003522D9" w:rsidRPr="00C279A3" w:rsidRDefault="003522D9" w:rsidP="00153A04">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lastRenderedPageBreak/>
        <w:t xml:space="preserve">Lawyers often contractually limit an engagement’s scope based upon a client’s limited goals or finances.  In the latter circumstance, a lawyer may determine that the matter’s opportunity cost would be too great if the client did not agree to a limited representation.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Such a circumstance is found in the insurance defense world when a lawyer calculates that a suit’s value depends on a client agreeing to limit the scope of representation to covered claims.  That determination is incomplete, however, if the lawyer does not analyze two hidden costs: 1) applicable professional conduct rules governing limited engagements; and 2) the greater potential for malpractice claims.  These costs are especially pronounced where the limited representation excludes prosecution of an insured’s potential affirmative claims.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This article analyzes a defense lawyer’s obligations when confronted with that hypothetical circumstance.  The first section analyzes a lawyer’s obligations under applicable Georgia Rules of Professional Conduct in undertaking a limited representation.  The second section reviews when an insured’s affirmative claims are likely to trigger coverage disputes and the likely outcome of such disputes.  The final section provides a framework for calculating the financial value of a limited engagement and for efficiently resolving conflicts between professional obligations and financial motivations.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left="540" w:hanging="540"/>
        <w:rPr>
          <w:rFonts w:ascii="Century Schoolbook" w:eastAsia="MS Mincho" w:hAnsi="Century Schoolbook" w:cs="Times New Roman"/>
          <w:b/>
        </w:rPr>
      </w:pPr>
      <w:r w:rsidRPr="00C279A3">
        <w:rPr>
          <w:rFonts w:ascii="Century Schoolbook" w:eastAsia="MS Mincho" w:hAnsi="Century Schoolbook" w:cs="Times New Roman"/>
          <w:b/>
        </w:rPr>
        <w:lastRenderedPageBreak/>
        <w:t xml:space="preserve">I.  </w:t>
      </w:r>
      <w:r w:rsidRPr="00C279A3">
        <w:rPr>
          <w:rFonts w:ascii="Century Schoolbook" w:eastAsia="MS Mincho" w:hAnsi="Century Schoolbook" w:cs="Times New Roman"/>
          <w:b/>
        </w:rPr>
        <w:tab/>
        <w:t>Professional Obligations When Undertaking Limited Insurance Defense Engagements</w:t>
      </w:r>
    </w:p>
    <w:p w:rsidR="003522D9" w:rsidRPr="00C279A3" w:rsidRDefault="003522D9" w:rsidP="003522D9">
      <w:pPr>
        <w:spacing w:after="0" w:line="240" w:lineRule="auto"/>
        <w:ind w:left="1080"/>
        <w:contextualSpacing/>
        <w:rPr>
          <w:rFonts w:ascii="Century Schoolbook" w:eastAsia="MS Mincho" w:hAnsi="Century Schoolbook" w:cs="Times New Roman"/>
          <w:u w:val="single"/>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Lawyers must evaluate applicable Georgia professional conduct rules before undertaking a limited representation. Rule 1.2(c) provides that a lawyer may undertake a limited client representation only if: 1) the limitation is reasonable, and 2) the client gives informed consent.  While Georgia case law does not explicitly evaluate what types of limited engagements are reasonable, Rule 1.2’s sixth comment implies that a lawyer may reasonably limit a representation’s scope to claims covered under an insurance policy.</w:t>
      </w:r>
      <w:r w:rsidRPr="00C279A3">
        <w:rPr>
          <w:rFonts w:ascii="Century Schoolbook" w:eastAsia="MS Mincho" w:hAnsi="Century Schoolbook" w:cs="Times New Roman"/>
          <w:vertAlign w:val="superscript"/>
        </w:rPr>
        <w:endnoteReference w:id="36"/>
      </w:r>
      <w:r w:rsidRPr="00C279A3">
        <w:rPr>
          <w:rFonts w:ascii="Century Schoolbook" w:eastAsia="MS Mincho" w:hAnsi="Century Schoolbook" w:cs="Times New Roman"/>
        </w:rPr>
        <w:t xml:space="preserve">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That commentary, however, is not a carte blanche for entering into limited engagements.  In fact, such a limitation is unreasonable where it precludes the lawyer from representing the client competently.</w:t>
      </w:r>
      <w:r w:rsidRPr="00C279A3">
        <w:rPr>
          <w:rFonts w:ascii="Century Schoolbook" w:eastAsia="MS Mincho" w:hAnsi="Century Schoolbook" w:cs="Times New Roman"/>
          <w:vertAlign w:val="superscript"/>
        </w:rPr>
        <w:endnoteReference w:id="37"/>
      </w:r>
      <w:r w:rsidRPr="00C279A3">
        <w:rPr>
          <w:rFonts w:ascii="Century Schoolbook" w:eastAsia="MS Mincho" w:hAnsi="Century Schoolbook" w:cs="Times New Roman"/>
        </w:rPr>
        <w:t xml:space="preserve">  For example, a limited engagement might motivate a lawyer not to carry out an appropriate course of action for the client, such as prosecuting a non-covered affirmative claim.  Succumbing to that financial motivation likely violates the lawyer’s loyalty duties under Rule 1.7 of the Georgia Rules of Professional Conduct.</w:t>
      </w:r>
      <w:r w:rsidRPr="00C279A3">
        <w:rPr>
          <w:rFonts w:ascii="Century Schoolbook" w:eastAsia="MS Mincho" w:hAnsi="Century Schoolbook" w:cs="Times New Roman"/>
          <w:vertAlign w:val="superscript"/>
        </w:rPr>
        <w:endnoteReference w:id="38"/>
      </w:r>
      <w:r w:rsidRPr="00C279A3">
        <w:rPr>
          <w:rFonts w:ascii="Century Schoolbook" w:eastAsia="MS Mincho" w:hAnsi="Century Schoolbook" w:cs="Times New Roman"/>
        </w:rPr>
        <w:t xml:space="preserve">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This example is not merely hypothetical, because many jurisdictions hold that an insurer’s duty to defend covered claims does not include prosecuting related claims for affirmative relief.</w:t>
      </w:r>
      <w:r w:rsidRPr="00C279A3">
        <w:rPr>
          <w:rFonts w:ascii="Century Schoolbook" w:eastAsia="MS Mincho" w:hAnsi="Century Schoolbook" w:cs="Times New Roman"/>
          <w:vertAlign w:val="superscript"/>
        </w:rPr>
        <w:endnoteReference w:id="39"/>
      </w:r>
      <w:r w:rsidRPr="00C279A3">
        <w:rPr>
          <w:rFonts w:ascii="Century Schoolbook" w:eastAsia="MS Mincho" w:hAnsi="Century Schoolbook" w:cs="Times New Roman"/>
        </w:rPr>
        <w:t xml:space="preserve">  The Northern District of Georgia holds that under this “tripartite relationship,”</w:t>
      </w:r>
      <w:r w:rsidRPr="00C279A3">
        <w:rPr>
          <w:rFonts w:ascii="Century Schoolbook" w:eastAsia="MS Mincho" w:hAnsi="Century Schoolbook" w:cs="Times New Roman"/>
          <w:vertAlign w:val="superscript"/>
        </w:rPr>
        <w:endnoteReference w:id="40"/>
      </w:r>
      <w:r w:rsidRPr="00C279A3">
        <w:rPr>
          <w:rFonts w:ascii="Century Schoolbook" w:eastAsia="MS Mincho" w:hAnsi="Century Schoolbook" w:cs="Times New Roman"/>
        </w:rPr>
        <w:t xml:space="preserve"> an attorney represents both the insurer and the insured.</w:t>
      </w:r>
      <w:r w:rsidRPr="00C279A3">
        <w:rPr>
          <w:rFonts w:ascii="Century Schoolbook" w:eastAsia="MS Mincho" w:hAnsi="Century Schoolbook" w:cs="Times New Roman"/>
          <w:vertAlign w:val="superscript"/>
        </w:rPr>
        <w:endnoteReference w:id="41"/>
      </w:r>
      <w:r w:rsidRPr="00C279A3">
        <w:rPr>
          <w:rFonts w:ascii="Century Schoolbook" w:eastAsia="MS Mincho" w:hAnsi="Century Schoolbook" w:cs="Times New Roman"/>
        </w:rPr>
        <w:t xml:space="preserve"> In navigating this relationship, a lawyer must diligently represent his client but must also recognize the insurer’s right to contain legal defense costs.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b/>
        </w:rPr>
      </w:pPr>
      <w:r w:rsidRPr="00C279A3">
        <w:rPr>
          <w:rFonts w:ascii="Century Schoolbook" w:eastAsia="MS Mincho" w:hAnsi="Century Schoolbook" w:cs="Times New Roman"/>
        </w:rPr>
        <w:t>Consequently, an insurance defense lawyer’s professional and financial motivations may conflict where an insured’s case demands the prosecution of a non-covered counterclaim.  On the one hand, prosecuting the affirmative claim may result in huge opportunity costs, given that an insurer is not obligated to pay fees for these non-covered claims.  On the other hand, a lawyer’s decision against prosecuting the non-covered counterclaim increases the potential that a client will assert that the lawyer placed his own interests ahead of the client’s defense.</w:t>
      </w:r>
      <w:r w:rsidRPr="00C279A3">
        <w:rPr>
          <w:rFonts w:ascii="Century Schoolbook" w:eastAsia="MS Mincho" w:hAnsi="Century Schoolbook" w:cs="Times New Roman"/>
          <w:vertAlign w:val="superscript"/>
        </w:rPr>
        <w:endnoteReference w:id="42"/>
      </w:r>
      <w:r w:rsidRPr="00C279A3">
        <w:rPr>
          <w:rFonts w:ascii="Century Schoolbook" w:eastAsia="MS Mincho" w:hAnsi="Century Schoolbook" w:cs="Times New Roman"/>
        </w:rPr>
        <w:t xml:space="preserve">     </w:t>
      </w:r>
      <w:r w:rsidRPr="00C279A3">
        <w:rPr>
          <w:rFonts w:ascii="Century Schoolbook" w:eastAsia="MS Mincho" w:hAnsi="Century Schoolbook" w:cs="Times New Roman"/>
          <w:b/>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b/>
        </w:rPr>
      </w:pPr>
    </w:p>
    <w:p w:rsid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Thus, in calculating a new matter’s potential value, a lawyer should evaluate whether the insured’s case involves potentially non-covered affirmative claims.  Such an evaluation turns on the insurer’s duty to defend claims under Georgia law. </w:t>
      </w: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rPr>
          <w:rFonts w:ascii="Century Schoolbook" w:eastAsia="MS Mincho" w:hAnsi="Century Schoolbook" w:cs="Times New Roman"/>
        </w:rPr>
      </w:pPr>
    </w:p>
    <w:p w:rsidR="003522D9" w:rsidRPr="00C279A3" w:rsidRDefault="003522D9" w:rsidP="003522D9">
      <w:pPr>
        <w:spacing w:after="0" w:line="240" w:lineRule="auto"/>
        <w:ind w:left="540" w:hanging="540"/>
        <w:rPr>
          <w:rFonts w:ascii="Century Schoolbook" w:eastAsia="MS Mincho" w:hAnsi="Century Schoolbook" w:cs="Times New Roman"/>
          <w:b/>
        </w:rPr>
      </w:pPr>
      <w:r w:rsidRPr="00C279A3">
        <w:rPr>
          <w:rFonts w:ascii="Century Schoolbook" w:eastAsia="MS Mincho" w:hAnsi="Century Schoolbook" w:cs="Times New Roman"/>
          <w:b/>
        </w:rPr>
        <w:t>II.</w:t>
      </w:r>
      <w:r w:rsidRPr="00C279A3">
        <w:rPr>
          <w:rFonts w:ascii="Century Schoolbook" w:eastAsia="MS Mincho" w:hAnsi="Century Schoolbook" w:cs="Times New Roman"/>
          <w:b/>
        </w:rPr>
        <w:tab/>
        <w:t>Coverage for Affirmative Claims</w:t>
      </w:r>
    </w:p>
    <w:p w:rsidR="003522D9" w:rsidRPr="00C279A3" w:rsidRDefault="003522D9" w:rsidP="003522D9">
      <w:pPr>
        <w:spacing w:after="0" w:line="240" w:lineRule="auto"/>
        <w:rPr>
          <w:rFonts w:ascii="Century Schoolbook" w:eastAsia="MS Mincho" w:hAnsi="Century Schoolbook" w:cs="Times New Roman"/>
          <w:b/>
        </w:rPr>
      </w:pP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A.  The Duty To Defend</w:t>
      </w:r>
    </w:p>
    <w:p w:rsidR="003522D9" w:rsidRPr="00C279A3" w:rsidRDefault="003522D9" w:rsidP="003522D9">
      <w:pPr>
        <w:spacing w:after="0" w:line="240" w:lineRule="auto"/>
        <w:ind w:left="1440"/>
        <w:contextualSpacing/>
        <w:rPr>
          <w:rFonts w:ascii="Century Schoolbook" w:eastAsia="MS Mincho" w:hAnsi="Century Schoolbook" w:cs="Times New Roman"/>
          <w:u w:val="single"/>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Insurance companies’ financial health depends on their ability to manage legal defense costs efficiently, given the growing attorney costs for insurance defense claims.  To facilitate such management, insurance policies generally provide that the insurer controls the insured’s defense.</w:t>
      </w:r>
      <w:r w:rsidRPr="00C279A3">
        <w:rPr>
          <w:rFonts w:ascii="Century Schoolbook" w:eastAsia="MS Mincho" w:hAnsi="Century Schoolbook" w:cs="Times New Roman"/>
          <w:vertAlign w:val="superscript"/>
        </w:rPr>
        <w:endnoteReference w:id="43"/>
      </w:r>
      <w:r w:rsidRPr="00C279A3">
        <w:rPr>
          <w:rFonts w:ascii="Century Schoolbook" w:eastAsia="MS Mincho" w:hAnsi="Century Schoolbook" w:cs="Times New Roman"/>
        </w:rPr>
        <w:t xml:space="preserve">  Further, the insurance contract usually vests the insurer with control over the selection and payment of a defense attorney.</w:t>
      </w:r>
      <w:r w:rsidRPr="00C279A3">
        <w:rPr>
          <w:rFonts w:ascii="Century Schoolbook" w:eastAsia="MS Mincho" w:hAnsi="Century Schoolbook" w:cs="Times New Roman"/>
          <w:vertAlign w:val="superscript"/>
        </w:rPr>
        <w:endnoteReference w:id="44"/>
      </w:r>
      <w:r w:rsidRPr="00C279A3">
        <w:rPr>
          <w:rFonts w:ascii="Century Schoolbook" w:eastAsia="MS Mincho" w:hAnsi="Century Schoolbook" w:cs="Times New Roman"/>
        </w:rPr>
        <w:t xml:space="preserve">  The insurer’s control over an insured’s defense, however, is limited by its defense obligations under state law.</w:t>
      </w:r>
    </w:p>
    <w:p w:rsidR="003522D9" w:rsidRPr="00C279A3" w:rsidRDefault="003522D9" w:rsidP="003522D9">
      <w:pPr>
        <w:spacing w:after="0" w:line="240" w:lineRule="auto"/>
        <w:ind w:firstLine="360"/>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Under Georgia law, an insurer’s duty to defend is determined by comparing the </w:t>
      </w:r>
      <w:r w:rsidRPr="00C279A3">
        <w:rPr>
          <w:rFonts w:ascii="Century Schoolbook" w:eastAsia="MS Mincho" w:hAnsi="Century Schoolbook" w:cs="Times New Roman"/>
        </w:rPr>
        <w:lastRenderedPageBreak/>
        <w:t>allegations of the complaint with the provisions of the insurance policy.</w:t>
      </w:r>
      <w:r w:rsidRPr="00C279A3">
        <w:rPr>
          <w:rFonts w:ascii="Century Schoolbook" w:eastAsia="MS Mincho" w:hAnsi="Century Schoolbook" w:cs="Times New Roman"/>
          <w:vertAlign w:val="superscript"/>
        </w:rPr>
        <w:endnoteReference w:id="45"/>
      </w:r>
      <w:r w:rsidRPr="00C279A3">
        <w:rPr>
          <w:rFonts w:ascii="Century Schoolbook" w:eastAsia="MS Mincho" w:hAnsi="Century Schoolbook" w:cs="Times New Roman"/>
        </w:rPr>
        <w:t xml:space="preserve">  In ascertaining whether a lawsuit is covered, Georgia courts look to the “four corners” of the complaint.</w:t>
      </w:r>
      <w:r w:rsidRPr="00C279A3">
        <w:rPr>
          <w:rFonts w:ascii="Century Schoolbook" w:eastAsia="MS Mincho" w:hAnsi="Century Schoolbook" w:cs="Times New Roman"/>
          <w:vertAlign w:val="superscript"/>
        </w:rPr>
        <w:endnoteReference w:id="46"/>
      </w:r>
      <w:r w:rsidRPr="00C279A3">
        <w:rPr>
          <w:rFonts w:ascii="Century Schoolbook" w:eastAsia="MS Mincho" w:hAnsi="Century Schoolbook" w:cs="Times New Roman"/>
        </w:rPr>
        <w:t xml:space="preserve">  Doubts as to liability and the insurer’s duty to defend are resolved in favor of the insured.</w:t>
      </w:r>
      <w:r w:rsidRPr="00C279A3">
        <w:rPr>
          <w:rFonts w:ascii="Century Schoolbook" w:eastAsia="MS Mincho" w:hAnsi="Century Schoolbook" w:cs="Times New Roman"/>
          <w:vertAlign w:val="superscript"/>
        </w:rPr>
        <w:endnoteReference w:id="47"/>
      </w:r>
      <w:r w:rsidRPr="00C279A3">
        <w:rPr>
          <w:rFonts w:ascii="Century Schoolbook" w:eastAsia="MS Mincho" w:hAnsi="Century Schoolbook" w:cs="Times New Roman"/>
        </w:rPr>
        <w:t xml:space="preserve">   Accordingly, an insurer must defend a claim even when a complaint’s allegations are ambiguous with respect to coverage.</w:t>
      </w:r>
      <w:r w:rsidRPr="00C279A3">
        <w:rPr>
          <w:rFonts w:ascii="Century Schoolbook" w:eastAsia="MS Mincho" w:hAnsi="Century Schoolbook" w:cs="Times New Roman"/>
          <w:vertAlign w:val="superscript"/>
        </w:rPr>
        <w:endnoteReference w:id="48"/>
      </w:r>
      <w:r w:rsidRPr="00C279A3">
        <w:rPr>
          <w:rFonts w:ascii="Century Schoolbook" w:eastAsia="MS Mincho" w:hAnsi="Century Schoolbook" w:cs="Times New Roman"/>
        </w:rPr>
        <w:t xml:space="preserve">  In contrast, insurers appropriately decline defense coverage where, as a matter of law, the complaint’s allegations unambiguously preclude coverage.</w:t>
      </w:r>
      <w:r w:rsidRPr="00C279A3">
        <w:rPr>
          <w:rFonts w:ascii="Century Schoolbook" w:eastAsia="MS Mincho" w:hAnsi="Century Schoolbook" w:cs="Times New Roman"/>
          <w:vertAlign w:val="superscript"/>
        </w:rPr>
        <w:endnoteReference w:id="49"/>
      </w:r>
      <w:r w:rsidRPr="00C279A3">
        <w:rPr>
          <w:rFonts w:ascii="Century Schoolbook" w:eastAsia="MS Mincho" w:hAnsi="Century Schoolbook" w:cs="Times New Roman"/>
        </w:rPr>
        <w:t xml:space="preserve">  Thus, an insurer possesses a duty to defend if the claim </w:t>
      </w:r>
      <w:r w:rsidRPr="00C279A3">
        <w:rPr>
          <w:rFonts w:ascii="Century Schoolbook" w:eastAsia="MS Mincho" w:hAnsi="Century Schoolbook" w:cs="Times New Roman"/>
          <w:i/>
        </w:rPr>
        <w:t>potentially</w:t>
      </w:r>
      <w:r w:rsidRPr="00C279A3">
        <w:rPr>
          <w:rFonts w:ascii="Century Schoolbook" w:eastAsia="MS Mincho" w:hAnsi="Century Schoolbook" w:cs="Times New Roman"/>
        </w:rPr>
        <w:t xml:space="preserve"> falls within the policy.</w:t>
      </w:r>
      <w:r w:rsidRPr="00C279A3">
        <w:rPr>
          <w:rFonts w:ascii="Century Schoolbook" w:eastAsia="MS Mincho" w:hAnsi="Century Schoolbook" w:cs="Times New Roman"/>
          <w:vertAlign w:val="superscript"/>
        </w:rPr>
        <w:endnoteReference w:id="50"/>
      </w: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In Georgia</w:t>
      </w:r>
      <w:r w:rsidR="002A708E" w:rsidRPr="00C279A3">
        <w:rPr>
          <w:rFonts w:ascii="Century Schoolbook" w:eastAsia="MS Mincho" w:hAnsi="Century Schoolbook" w:cs="Times New Roman"/>
        </w:rPr>
        <w:t xml:space="preserve"> </w:t>
      </w:r>
      <w:r w:rsidRPr="00C279A3">
        <w:rPr>
          <w:rFonts w:ascii="Century Schoolbook" w:eastAsia="MS Mincho" w:hAnsi="Century Schoolbook" w:cs="Times New Roman"/>
        </w:rPr>
        <w:t>—</w:t>
      </w:r>
      <w:r w:rsidR="002A708E" w:rsidRPr="00C279A3">
        <w:rPr>
          <w:rFonts w:ascii="Century Schoolbook" w:eastAsia="MS Mincho" w:hAnsi="Century Schoolbook" w:cs="Times New Roman"/>
        </w:rPr>
        <w:t xml:space="preserve"> </w:t>
      </w:r>
      <w:r w:rsidRPr="00C279A3">
        <w:rPr>
          <w:rFonts w:ascii="Century Schoolbook" w:eastAsia="MS Mincho" w:hAnsi="Century Schoolbook" w:cs="Times New Roman"/>
        </w:rPr>
        <w:t>unlike in other jurisdictions</w:t>
      </w:r>
      <w:r w:rsidR="002A708E" w:rsidRPr="00C279A3">
        <w:rPr>
          <w:rFonts w:ascii="Century Schoolbook" w:eastAsia="MS Mincho" w:hAnsi="Century Schoolbook" w:cs="Times New Roman"/>
        </w:rPr>
        <w:t xml:space="preserve"> </w:t>
      </w:r>
      <w:r w:rsidRPr="00C279A3">
        <w:rPr>
          <w:rFonts w:ascii="Century Schoolbook" w:eastAsia="MS Mincho" w:hAnsi="Century Schoolbook" w:cs="Times New Roman"/>
        </w:rPr>
        <w:t>—</w:t>
      </w:r>
      <w:r w:rsidR="002A708E" w:rsidRPr="00C279A3">
        <w:rPr>
          <w:rFonts w:ascii="Century Schoolbook" w:eastAsia="MS Mincho" w:hAnsi="Century Schoolbook" w:cs="Times New Roman"/>
        </w:rPr>
        <w:t xml:space="preserve"> </w:t>
      </w:r>
      <w:r w:rsidRPr="00C279A3">
        <w:rPr>
          <w:rFonts w:ascii="Century Schoolbook" w:eastAsia="MS Mincho" w:hAnsi="Century Schoolbook" w:cs="Times New Roman"/>
        </w:rPr>
        <w:t>it is unclear whether an insurer’s defense duty extends to related affirmative claims.</w:t>
      </w:r>
      <w:r w:rsidRPr="00C279A3">
        <w:rPr>
          <w:rFonts w:ascii="Century Schoolbook" w:eastAsia="MS Mincho" w:hAnsi="Century Schoolbook" w:cs="Times New Roman"/>
          <w:vertAlign w:val="superscript"/>
        </w:rPr>
        <w:endnoteReference w:id="51"/>
      </w:r>
      <w:r w:rsidRPr="00C279A3">
        <w:rPr>
          <w:rFonts w:ascii="Century Schoolbook" w:eastAsia="MS Mincho" w:hAnsi="Century Schoolbook" w:cs="Times New Roman"/>
        </w:rPr>
        <w:t xml:space="preserve"> Outside of Georgia, jurisdictions have grappled with this issue, reaching divergent results.</w:t>
      </w:r>
    </w:p>
    <w:p w:rsidR="003522D9" w:rsidRPr="00C279A3" w:rsidRDefault="003522D9" w:rsidP="003522D9">
      <w:pPr>
        <w:spacing w:after="0" w:line="240" w:lineRule="auto"/>
        <w:ind w:left="1440"/>
        <w:contextualSpacing/>
        <w:rPr>
          <w:rFonts w:ascii="Century Schoolbook" w:eastAsia="MS Mincho" w:hAnsi="Century Schoolbook" w:cs="Times New Roman"/>
          <w:u w:val="single"/>
        </w:rPr>
      </w:pP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B.  Majority Rule</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The majority of jurisdictions hold that an insurer has no duty to prosecute an insured’s affirmative claims for relief.</w:t>
      </w:r>
      <w:r w:rsidRPr="00C279A3">
        <w:rPr>
          <w:rFonts w:ascii="Century Schoolbook" w:eastAsia="MS Mincho" w:hAnsi="Century Schoolbook" w:cs="Times New Roman"/>
          <w:vertAlign w:val="superscript"/>
        </w:rPr>
        <w:endnoteReference w:id="52"/>
      </w:r>
      <w:r w:rsidRPr="00C279A3">
        <w:rPr>
          <w:rFonts w:ascii="Century Schoolbook" w:eastAsia="MS Mincho" w:hAnsi="Century Schoolbook" w:cs="Times New Roman"/>
        </w:rPr>
        <w:t xml:space="preserve">  As a corollary, many jurisdictions hold that insurers have no duty to defend non-covered counterclaims.  For example, in </w:t>
      </w:r>
      <w:r w:rsidRPr="00C279A3">
        <w:rPr>
          <w:rFonts w:ascii="Century Schoolbook" w:eastAsia="MS Mincho" w:hAnsi="Century Schoolbook" w:cs="Times New Roman"/>
          <w:i/>
        </w:rPr>
        <w:t>Red Head Brass, Inc. v. Buckeye Union Ins. Co.</w:t>
      </w:r>
      <w:r w:rsidRPr="00C279A3">
        <w:rPr>
          <w:rFonts w:ascii="Century Schoolbook" w:eastAsia="MS Mincho" w:hAnsi="Century Schoolbook" w:cs="Times New Roman"/>
        </w:rPr>
        <w:t>, the Ohio Court of Appeals held:</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753298">
      <w:pPr>
        <w:spacing w:after="0" w:line="240" w:lineRule="auto"/>
        <w:ind w:left="720" w:right="720"/>
        <w:jc w:val="both"/>
        <w:rPr>
          <w:rFonts w:ascii="Century Schoolbook" w:eastAsia="MS Mincho" w:hAnsi="Century Schoolbook" w:cs="Times New Roman"/>
        </w:rPr>
      </w:pPr>
      <w:r w:rsidRPr="00C279A3">
        <w:rPr>
          <w:rFonts w:ascii="Century Schoolbook" w:eastAsia="MS Mincho" w:hAnsi="Century Schoolbook" w:cs="Times New Roman"/>
        </w:rPr>
        <w:t xml:space="preserve">The terms of the insurance contract, which defined [the insurer’s] duty to defend, in no way obligated [the insurer] to compensate [the insured] for the expense of prosecuting its counterclaim.  [The insured], in its contract with [the insurer], bargained only for the insurer to pay for defending </w:t>
      </w:r>
      <w:r w:rsidRPr="00C279A3">
        <w:rPr>
          <w:rFonts w:ascii="Century Schoolbook" w:eastAsia="MS Mincho" w:hAnsi="Century Schoolbook" w:cs="Times New Roman"/>
        </w:rPr>
        <w:lastRenderedPageBreak/>
        <w:t>the insured against litigation.  It did not bargain for legal representation where the insured is the plaintiff.  Nor does Ohio law mandate such services by an insurer.  [The insured] would like this court to expand the duty to defend in Ohio, but we decline to do so.</w:t>
      </w:r>
      <w:r w:rsidRPr="00C279A3">
        <w:rPr>
          <w:rFonts w:ascii="Century Schoolbook" w:eastAsia="MS Mincho" w:hAnsi="Century Schoolbook" w:cs="Times New Roman"/>
          <w:vertAlign w:val="superscript"/>
        </w:rPr>
        <w:endnoteReference w:id="53"/>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jc w:val="both"/>
        <w:rPr>
          <w:rFonts w:ascii="Century Schoolbook" w:eastAsia="MS Mincho" w:hAnsi="Century Schoolbook" w:cs="Times New Roman"/>
        </w:rPr>
      </w:pPr>
      <w:r w:rsidRPr="00C279A3">
        <w:rPr>
          <w:rFonts w:ascii="Century Schoolbook" w:eastAsia="MS Mincho" w:hAnsi="Century Schoolbook" w:cs="Times New Roman"/>
        </w:rPr>
        <w:t xml:space="preserve">A myriad of approaches in other jurisdictions, however, muddy this majority rule.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C.  The Inextricably Intertwined Doctrine</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Under the “inextricably intertwined” theory, an insurer is required to fund claims “inextricably intertwined with the defense of the [insured’s claims] and necessary to the defense of the litigation as a strategic matter.”</w:t>
      </w:r>
      <w:r w:rsidRPr="00C279A3">
        <w:rPr>
          <w:rFonts w:ascii="Century Schoolbook" w:eastAsia="MS Mincho" w:hAnsi="Century Schoolbook" w:cs="Times New Roman"/>
          <w:vertAlign w:val="superscript"/>
        </w:rPr>
        <w:endnoteReference w:id="54"/>
      </w: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The theory was broadly applied by the court in </w:t>
      </w:r>
      <w:r w:rsidRPr="00C279A3">
        <w:rPr>
          <w:rFonts w:ascii="Century Schoolbook" w:eastAsia="MS Mincho" w:hAnsi="Century Schoolbook" w:cs="Times New Roman"/>
          <w:i/>
        </w:rPr>
        <w:t>Safeguard Scientifics, Inc. v. Liberty Mutual Insurance Co.</w:t>
      </w:r>
      <w:r w:rsidRPr="00C279A3">
        <w:rPr>
          <w:rFonts w:ascii="Century Schoolbook" w:eastAsia="MS Mincho" w:hAnsi="Century Schoolbook" w:cs="Times New Roman"/>
        </w:rPr>
        <w:t>, where the court held that an insurer’s defense duty extends to counterclaims that are necessary to the defense of underlying litigation “as a strategic matter”.</w:t>
      </w:r>
      <w:r w:rsidRPr="00C279A3">
        <w:rPr>
          <w:rFonts w:ascii="Century Schoolbook" w:eastAsia="MS Mincho" w:hAnsi="Century Schoolbook" w:cs="Times New Roman"/>
          <w:vertAlign w:val="superscript"/>
        </w:rPr>
        <w:endnoteReference w:id="55"/>
      </w:r>
      <w:r w:rsidRPr="00C279A3">
        <w:rPr>
          <w:rFonts w:ascii="Century Schoolbook" w:eastAsia="MS Mincho" w:hAnsi="Century Schoolbook" w:cs="Times New Roman"/>
        </w:rPr>
        <w:t xml:space="preserve">  That declaratory judgment action arose out of a lawsuit between the insured business and its former president, where the former president asserted liability counts against the business for breach of contract, fraud, and breach of fiduciary duty.  The business, in turn, asserted nearly identical liability theories against its former president as counterclaims.</w:t>
      </w:r>
      <w:r w:rsidRPr="00C279A3">
        <w:rPr>
          <w:rFonts w:ascii="Century Schoolbook" w:eastAsia="MS Mincho" w:hAnsi="Century Schoolbook" w:cs="Times New Roman"/>
          <w:vertAlign w:val="superscript"/>
        </w:rPr>
        <w:endnoteReference w:id="56"/>
      </w: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The insurer sought to deny defense coverage for the prosecution of the counterclaims, because “no term of the insurance policy imposes a duty to fund </w:t>
      </w:r>
      <w:r w:rsidRPr="00C279A3">
        <w:rPr>
          <w:rFonts w:ascii="Century Schoolbook" w:eastAsia="MS Mincho" w:hAnsi="Century Schoolbook" w:cs="Times New Roman"/>
        </w:rPr>
        <w:lastRenderedPageBreak/>
        <w:t>counterclaims.”  As noted above, however, the court found defense coverage for the counterclaims, even though they were not compulsory, simply because they were very related to the underlying plaintiff’s liability claims.</w:t>
      </w:r>
      <w:r w:rsidRPr="00C279A3">
        <w:rPr>
          <w:rFonts w:ascii="Century Schoolbook" w:eastAsia="MS Mincho" w:hAnsi="Century Schoolbook" w:cs="Times New Roman"/>
          <w:vertAlign w:val="superscript"/>
        </w:rPr>
        <w:endnoteReference w:id="57"/>
      </w: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jc w:val="both"/>
        <w:rPr>
          <w:rFonts w:ascii="Century Schoolbook" w:eastAsia="MS Mincho" w:hAnsi="Century Schoolbook" w:cs="Times New Roman"/>
        </w:rPr>
      </w:pPr>
      <w:r w:rsidRPr="00C279A3">
        <w:rPr>
          <w:rFonts w:ascii="Century Schoolbook" w:eastAsia="MS Mincho" w:hAnsi="Century Schoolbook" w:cs="Times New Roman"/>
        </w:rPr>
        <w:t xml:space="preserve">Citing </w:t>
      </w:r>
      <w:r w:rsidRPr="00C279A3">
        <w:rPr>
          <w:rFonts w:ascii="Century Schoolbook" w:eastAsia="MS Mincho" w:hAnsi="Century Schoolbook" w:cs="Times New Roman"/>
          <w:i/>
        </w:rPr>
        <w:t>Safeguard Scientifics, Inc.</w:t>
      </w:r>
      <w:r w:rsidRPr="00C279A3">
        <w:rPr>
          <w:rFonts w:ascii="Century Schoolbook" w:eastAsia="MS Mincho" w:hAnsi="Century Schoolbook" w:cs="Times New Roman"/>
        </w:rPr>
        <w:t xml:space="preserve">, the United States District Court for the Northern District of Illinois held in </w:t>
      </w:r>
      <w:r w:rsidRPr="00C279A3">
        <w:rPr>
          <w:rFonts w:ascii="Century Schoolbook" w:eastAsia="MS Mincho" w:hAnsi="Century Schoolbook" w:cs="Times New Roman"/>
          <w:i/>
        </w:rPr>
        <w:t>Great West Casualty Co. v. Marathon Oil Co</w:t>
      </w:r>
      <w:r w:rsidRPr="00C279A3">
        <w:rPr>
          <w:rFonts w:ascii="Century Schoolbook" w:eastAsia="MS Mincho" w:hAnsi="Century Schoolbook" w:cs="Times New Roman"/>
        </w:rPr>
        <w:t>. that an insurer’s defense duty extends to third-party indemnification and contribution claims that potentially reduced or eliminated the insured’s liability.</w:t>
      </w:r>
      <w:r w:rsidRPr="00C279A3">
        <w:rPr>
          <w:rFonts w:ascii="Century Schoolbook" w:eastAsia="MS Mincho" w:hAnsi="Century Schoolbook" w:cs="Times New Roman"/>
          <w:vertAlign w:val="superscript"/>
        </w:rPr>
        <w:endnoteReference w:id="58"/>
      </w:r>
      <w:r w:rsidRPr="00C279A3">
        <w:rPr>
          <w:rFonts w:ascii="Century Schoolbook" w:eastAsia="MS Mincho" w:hAnsi="Century Schoolbook" w:cs="Times New Roman"/>
        </w:rPr>
        <w:t xml:space="preserve">  There, a truck driver’s estate had sued the insured for damages arising out of the driver’s on-the-job wrongful death.  In turn, the insured had sued two companies for contribution and indemnity.</w:t>
      </w:r>
      <w:r w:rsidRPr="00C279A3">
        <w:rPr>
          <w:rFonts w:ascii="Century Schoolbook" w:eastAsia="MS Mincho" w:hAnsi="Century Schoolbook" w:cs="Times New Roman"/>
          <w:vertAlign w:val="superscript"/>
        </w:rPr>
        <w:endnoteReference w:id="59"/>
      </w:r>
      <w:r w:rsidRPr="00C279A3">
        <w:rPr>
          <w:rFonts w:ascii="Century Schoolbook" w:eastAsia="MS Mincho" w:hAnsi="Century Schoolbook" w:cs="Times New Roman"/>
        </w:rPr>
        <w:t xml:space="preserve">  The court held that the insurer’s defense duty extended to the affirmative claims, because they were filed to limit the insured’s liability for covered claims.</w:t>
      </w:r>
      <w:r w:rsidRPr="00C279A3">
        <w:rPr>
          <w:rFonts w:ascii="Century Schoolbook" w:eastAsia="MS Mincho" w:hAnsi="Century Schoolbook" w:cs="Times New Roman"/>
          <w:vertAlign w:val="superscript"/>
        </w:rPr>
        <w:endnoteReference w:id="60"/>
      </w: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D.  Coverage for Defensive</w:t>
      </w: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Affirmative Claims</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Most jurisdictions, however, do not extend the insurer’s duty to defend affirmative claims as broadly as the court did in </w:t>
      </w:r>
      <w:r w:rsidRPr="00C279A3">
        <w:rPr>
          <w:rFonts w:ascii="Century Schoolbook" w:eastAsia="MS Mincho" w:hAnsi="Century Schoolbook" w:cs="Times New Roman"/>
          <w:i/>
        </w:rPr>
        <w:t>Safeguard Scientifics Inc.</w:t>
      </w:r>
      <w:r w:rsidRPr="00C279A3">
        <w:rPr>
          <w:rFonts w:ascii="Century Schoolbook" w:eastAsia="MS Mincho" w:hAnsi="Century Schoolbook" w:cs="Times New Roman"/>
        </w:rPr>
        <w:t xml:space="preserve"> </w:t>
      </w:r>
      <w:r w:rsidRPr="00C279A3">
        <w:rPr>
          <w:rFonts w:ascii="Century Schoolbook" w:eastAsia="MS Mincho" w:hAnsi="Century Schoolbook" w:cs="Times New Roman"/>
          <w:i/>
        </w:rPr>
        <w:t xml:space="preserve"> </w:t>
      </w:r>
      <w:r w:rsidRPr="00C279A3">
        <w:rPr>
          <w:rFonts w:ascii="Century Schoolbook" w:eastAsia="MS Mincho" w:hAnsi="Century Schoolbook" w:cs="Times New Roman"/>
        </w:rPr>
        <w:t>Instead, these jurisdictions focus their coverage analysis for affirmative claims upon whether the affirmative claim is offensive or defensive in nature.</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For example, the United States District Court for South Dakota held in </w:t>
      </w:r>
      <w:r w:rsidRPr="00C279A3">
        <w:rPr>
          <w:rFonts w:ascii="Century Schoolbook" w:eastAsia="MS Mincho" w:hAnsi="Century Schoolbook" w:cs="Times New Roman"/>
          <w:i/>
        </w:rPr>
        <w:t xml:space="preserve">IBP, Inc. v. National Union Fire Insurance Co. </w:t>
      </w:r>
      <w:r w:rsidRPr="00C279A3">
        <w:rPr>
          <w:rFonts w:ascii="Century Schoolbook" w:eastAsia="MS Mincho" w:hAnsi="Century Schoolbook" w:cs="Times New Roman"/>
        </w:rPr>
        <w:t>that a duty to defend extends to cross claims that are necessary to an insured’s defense.</w:t>
      </w:r>
      <w:r w:rsidRPr="00C279A3">
        <w:rPr>
          <w:rFonts w:ascii="Century Schoolbook" w:eastAsia="MS Mincho" w:hAnsi="Century Schoolbook" w:cs="Times New Roman"/>
          <w:vertAlign w:val="superscript"/>
        </w:rPr>
        <w:endnoteReference w:id="61"/>
      </w:r>
      <w:r w:rsidRPr="00C279A3">
        <w:rPr>
          <w:rFonts w:ascii="Century Schoolbook" w:eastAsia="MS Mincho" w:hAnsi="Century Schoolbook" w:cs="Times New Roman"/>
        </w:rPr>
        <w:t xml:space="preserve">  There, an insured had filed a cross claim against the underlying defendant in a related lawsuit, in lieu of answering the underlying </w:t>
      </w:r>
      <w:r w:rsidRPr="00C279A3">
        <w:rPr>
          <w:rFonts w:ascii="Century Schoolbook" w:eastAsia="MS Mincho" w:hAnsi="Century Schoolbook" w:cs="Times New Roman"/>
        </w:rPr>
        <w:lastRenderedPageBreak/>
        <w:t>lawsuit.  Finding a duty to defend, the court stated that “even though an insured initiates a lawsuit, that fact does not automatically preclude coverage for defense-type legal fees and expenses where the insured is resisting a contention of liability for damages.”</w:t>
      </w:r>
      <w:r w:rsidRPr="00C279A3">
        <w:rPr>
          <w:rFonts w:ascii="Century Schoolbook" w:eastAsia="MS Mincho" w:hAnsi="Century Schoolbook" w:cs="Times New Roman"/>
          <w:vertAlign w:val="superscript"/>
        </w:rPr>
        <w:endnoteReference w:id="62"/>
      </w:r>
      <w:r w:rsidRPr="00C279A3">
        <w:rPr>
          <w:rFonts w:ascii="Century Schoolbook" w:eastAsia="MS Mincho" w:hAnsi="Century Schoolbook" w:cs="Times New Roman"/>
        </w:rPr>
        <w:t xml:space="preserve">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In contrast, courts hold that offensive counterclaims—claims that do not serve solely to limit an insured’s liability—are not covered under an insurance policy.</w:t>
      </w:r>
      <w:r w:rsidRPr="00C279A3">
        <w:rPr>
          <w:rFonts w:ascii="Century Schoolbook" w:eastAsia="MS Mincho" w:hAnsi="Century Schoolbook" w:cs="Times New Roman"/>
          <w:vertAlign w:val="superscript"/>
        </w:rPr>
        <w:endnoteReference w:id="63"/>
      </w:r>
      <w:r w:rsidRPr="00C279A3">
        <w:rPr>
          <w:rFonts w:ascii="Century Schoolbook" w:eastAsia="MS Mincho" w:hAnsi="Century Schoolbook" w:cs="Times New Roman"/>
        </w:rPr>
        <w:t xml:space="preserve">  For example, in </w:t>
      </w:r>
      <w:r w:rsidRPr="00C279A3">
        <w:rPr>
          <w:rFonts w:ascii="Century Schoolbook" w:eastAsia="MS Mincho" w:hAnsi="Century Schoolbook" w:cs="Times New Roman"/>
          <w:i/>
        </w:rPr>
        <w:t>International Insurance Co. v. Rollprint Packaging Products, Inc.</w:t>
      </w:r>
      <w:r w:rsidRPr="00C279A3">
        <w:rPr>
          <w:rFonts w:ascii="Century Schoolbook" w:eastAsia="MS Mincho" w:hAnsi="Century Schoolbook" w:cs="Times New Roman"/>
        </w:rPr>
        <w:t>, the Illinois Court of Appeals held that an insurer had no duty to defend counterclaims that were seeking to enjoin a party from future use of trade secrets.</w:t>
      </w:r>
      <w:r w:rsidRPr="00C279A3">
        <w:rPr>
          <w:rFonts w:ascii="Century Schoolbook" w:eastAsia="MS Mincho" w:hAnsi="Century Schoolbook" w:cs="Times New Roman"/>
          <w:vertAlign w:val="superscript"/>
        </w:rPr>
        <w:endnoteReference w:id="64"/>
      </w:r>
      <w:r w:rsidRPr="00C279A3">
        <w:rPr>
          <w:rFonts w:ascii="Century Schoolbook" w:eastAsia="MS Mincho" w:hAnsi="Century Schoolbook" w:cs="Times New Roman"/>
        </w:rPr>
        <w:t xml:space="preserve">   </w:t>
      </w:r>
    </w:p>
    <w:p w:rsidR="003522D9" w:rsidRPr="00C279A3" w:rsidRDefault="003522D9" w:rsidP="003522D9">
      <w:pPr>
        <w:spacing w:after="0" w:line="240" w:lineRule="auto"/>
        <w:ind w:firstLine="360"/>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In addition, an insurer has no duty to defend counterclaims that are unrelated to the covered claims asserted against the insured.</w:t>
      </w:r>
      <w:r w:rsidRPr="00C279A3">
        <w:rPr>
          <w:rFonts w:ascii="Century Schoolbook" w:eastAsia="MS Mincho" w:hAnsi="Century Schoolbook" w:cs="Times New Roman"/>
          <w:vertAlign w:val="superscript"/>
        </w:rPr>
        <w:endnoteReference w:id="65"/>
      </w:r>
      <w:r w:rsidRPr="00C279A3">
        <w:rPr>
          <w:rFonts w:ascii="Century Schoolbook" w:eastAsia="MS Mincho" w:hAnsi="Century Schoolbook" w:cs="Times New Roman"/>
        </w:rPr>
        <w:t xml:space="preserve">  For example, an insurance company has no duty to defend an insured’s counterclaim for a Langham Act violation in a trademark infringement lawsuit.</w:t>
      </w:r>
      <w:r w:rsidRPr="00C279A3">
        <w:rPr>
          <w:rFonts w:ascii="Century Schoolbook" w:eastAsia="MS Mincho" w:hAnsi="Century Schoolbook" w:cs="Times New Roman"/>
          <w:vertAlign w:val="superscript"/>
        </w:rPr>
        <w:endnoteReference w:id="66"/>
      </w:r>
      <w:r w:rsidRPr="00C279A3">
        <w:rPr>
          <w:rFonts w:ascii="Century Schoolbook" w:eastAsia="MS Mincho" w:hAnsi="Century Schoolbook" w:cs="Times New Roman"/>
        </w:rPr>
        <w:t xml:space="preserve">  </w:t>
      </w:r>
    </w:p>
    <w:p w:rsidR="00153A04" w:rsidRDefault="00153A04" w:rsidP="003522D9">
      <w:pPr>
        <w:spacing w:after="0" w:line="240" w:lineRule="auto"/>
        <w:rPr>
          <w:rFonts w:ascii="Century Schoolbook" w:eastAsia="MS Mincho" w:hAnsi="Century Schoolbook" w:cs="Times New Roman"/>
        </w:rPr>
      </w:pPr>
    </w:p>
    <w:p w:rsidR="00C279A3" w:rsidRPr="00C279A3" w:rsidRDefault="00C279A3"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left="540" w:hanging="540"/>
        <w:rPr>
          <w:rFonts w:ascii="Century Schoolbook" w:eastAsia="MS Mincho" w:hAnsi="Century Schoolbook" w:cs="Times New Roman"/>
          <w:b/>
        </w:rPr>
      </w:pPr>
      <w:r w:rsidRPr="00C279A3">
        <w:rPr>
          <w:rFonts w:ascii="Century Schoolbook" w:eastAsia="MS Mincho" w:hAnsi="Century Schoolbook" w:cs="Times New Roman"/>
          <w:b/>
        </w:rPr>
        <w:t xml:space="preserve">III.  </w:t>
      </w:r>
      <w:r w:rsidRPr="00C279A3">
        <w:rPr>
          <w:rFonts w:ascii="Century Schoolbook" w:eastAsia="MS Mincho" w:hAnsi="Century Schoolbook" w:cs="Times New Roman"/>
          <w:b/>
        </w:rPr>
        <w:tab/>
        <w:t>Approaching the Issue in Georgia</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Given the dearth of Georgia case law addressing the issue, Georgia insurance companies are likely within their rights to deny coverage for an insured’s affirmative claims.  As a practical matter, however, insurers might make a business decision to fund an affirmative claim’s prosecution in order to minimize indemnity exposure.</w:t>
      </w:r>
      <w:r w:rsidRPr="00C279A3">
        <w:rPr>
          <w:rFonts w:ascii="Century Schoolbook" w:eastAsia="MS Mincho" w:hAnsi="Century Schoolbook" w:cs="Times New Roman"/>
          <w:vertAlign w:val="superscript"/>
        </w:rPr>
        <w:endnoteReference w:id="67"/>
      </w:r>
      <w:r w:rsidRPr="00C279A3">
        <w:rPr>
          <w:rFonts w:ascii="Century Schoolbook" w:eastAsia="MS Mincho" w:hAnsi="Century Schoolbook" w:cs="Times New Roman"/>
        </w:rPr>
        <w:t xml:space="preserve">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Regardless of whether the insurer can deny coverage for such additional claims, a lawyer must tread cautiously when representing an insured who has a potentially non-covered affirmative claim, </w:t>
      </w:r>
      <w:r w:rsidRPr="00C279A3">
        <w:rPr>
          <w:rFonts w:ascii="Century Schoolbook" w:eastAsia="MS Mincho" w:hAnsi="Century Schoolbook" w:cs="Times New Roman"/>
        </w:rPr>
        <w:lastRenderedPageBreak/>
        <w:t xml:space="preserve">so as to ensure compliance with applicable ethical rules and to minimize the potential for malpractice claims.  The following practices will help to accomplish these goals.  </w:t>
      </w:r>
    </w:p>
    <w:p w:rsidR="003522D9" w:rsidRPr="00C279A3" w:rsidRDefault="003522D9" w:rsidP="003522D9">
      <w:pPr>
        <w:spacing w:after="0" w:line="240" w:lineRule="auto"/>
        <w:rPr>
          <w:rFonts w:ascii="Century Schoolbook" w:eastAsia="MS Mincho" w:hAnsi="Century Schoolbook" w:cs="Times New Roman"/>
        </w:rPr>
      </w:pPr>
    </w:p>
    <w:p w:rsidR="003522D9" w:rsidRPr="001722DB" w:rsidRDefault="003522D9" w:rsidP="003522D9">
      <w:pPr>
        <w:spacing w:after="0" w:line="240" w:lineRule="auto"/>
        <w:jc w:val="center"/>
        <w:rPr>
          <w:rFonts w:ascii="Century Schoolbook" w:eastAsia="MS Mincho" w:hAnsi="Century Schoolbook" w:cs="Times New Roman"/>
          <w:b/>
        </w:rPr>
      </w:pPr>
      <w:r w:rsidRPr="001722DB">
        <w:rPr>
          <w:rFonts w:ascii="Century Schoolbook" w:eastAsia="MS Mincho" w:hAnsi="Century Schoolbook" w:cs="Times New Roman"/>
          <w:b/>
        </w:rPr>
        <w:t>A.  Lawyers Should Analyze</w:t>
      </w:r>
    </w:p>
    <w:p w:rsidR="003522D9" w:rsidRPr="00C279A3" w:rsidRDefault="003522D9" w:rsidP="003522D9">
      <w:pPr>
        <w:spacing w:after="0" w:line="240" w:lineRule="auto"/>
        <w:jc w:val="center"/>
        <w:rPr>
          <w:rFonts w:ascii="Century Schoolbook" w:eastAsia="MS Mincho" w:hAnsi="Century Schoolbook" w:cs="Times New Roman"/>
          <w:b/>
        </w:rPr>
      </w:pPr>
      <w:r w:rsidRPr="001722DB">
        <w:rPr>
          <w:rFonts w:ascii="Century Schoolbook" w:eastAsia="MS Mincho" w:hAnsi="Century Schoolbook" w:cs="Times New Roman"/>
          <w:b/>
        </w:rPr>
        <w:t>Whether the Insured Possesses an Affirmative Claim</w:t>
      </w:r>
    </w:p>
    <w:p w:rsidR="003522D9" w:rsidRPr="00C279A3" w:rsidRDefault="003522D9" w:rsidP="003522D9">
      <w:pPr>
        <w:spacing w:after="0" w:line="240" w:lineRule="auto"/>
        <w:jc w:val="center"/>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Upon receipt of a new insurance defense file, an attorney should analyze whether the insured’s defense requires the assertion of non-covered affirmative claims.  Such an analysis should include claims arising out of the same transaction or occurrence, as well as less related claims that potentially advance the insured’s defense.  The depth of the assessment should correspond to the size of each new matter—the greater the size, the greater the potential for a malpractice claim.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Next, the evaluation should be documented through an internal file memorandum which details the search’s purpose.  That record could provide key evidence in absolving a lawyer from a malpractice claim—it indicates that the lawyer undertook a diligent and exhaustive examination of a client’s case.  This is especially applicable where a strategic decision not to raise a compulsory counterclaim is later alleged to have been driven by counsel’s belief that the claim was not covered.</w:t>
      </w:r>
      <w:r w:rsidRPr="00C279A3">
        <w:rPr>
          <w:rFonts w:ascii="Century Schoolbook" w:eastAsia="MS Mincho" w:hAnsi="Century Schoolbook" w:cs="Times New Roman"/>
          <w:vertAlign w:val="superscript"/>
        </w:rPr>
        <w:endnoteReference w:id="68"/>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More importantly, the search allows a lawyer to better advise his client as to a potential, future need to retain personal counsel.  Finally, the search apprises a lawyer of a case’ latent cost and permits him to accurately calculate its value.  </w:t>
      </w:r>
    </w:p>
    <w:p w:rsidR="003522D9" w:rsidRDefault="003522D9" w:rsidP="003522D9">
      <w:pPr>
        <w:spacing w:after="0" w:line="240" w:lineRule="auto"/>
        <w:jc w:val="both"/>
        <w:rPr>
          <w:rFonts w:ascii="Century Schoolbook" w:eastAsia="MS Mincho" w:hAnsi="Century Schoolbook" w:cs="Times New Roman"/>
        </w:rPr>
      </w:pPr>
    </w:p>
    <w:p w:rsidR="00C279A3" w:rsidRPr="00C279A3" w:rsidRDefault="00C279A3"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lastRenderedPageBreak/>
        <w:t>B.  Advise the Insured of Any Counterclaims or Cross Claims</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If the insured possesses an affirmative claim, a lawyer should advise the insured of the claim and apprise her of the viable options.  In doing so, however, the lawyer must be careful to ensure that the client does not develop a reasonable belief that the lawyer represents her as to such counterclaims.</w:t>
      </w:r>
      <w:r w:rsidRPr="00C279A3">
        <w:rPr>
          <w:rFonts w:ascii="Century Schoolbook" w:eastAsia="MS Mincho" w:hAnsi="Century Schoolbook" w:cs="Times New Roman"/>
          <w:vertAlign w:val="superscript"/>
        </w:rPr>
        <w:endnoteReference w:id="69"/>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First, the lawyer should explain that a counterclaim or cross claim is available, from which the insured possibly could receive damages.  The lawyer should advise the insured in writing about the consequences of failing to raise compulsory counterclaims and evaluate whether the insured’s affirmative claim is compulsory.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Second, the lawyer should advise the insured of the law regarding the prosecution of affirmative claims, particularly in instances where an insurer is funding the defense.  The general rule that an insurer’s duty to defend does not encompass a duty to prosecute affirmative claims of the insured should be conspicuously explained.  Assuming that the respective insurance policy follows the general rule, the affirmative claim may be prosecuted only if it is funded by the insured or the defense attorney.  If the claim is compulsory, which in Georgia both cross claims and counterclaims arising under the same transaction or occurrence as the underlying case are, it is imperative that the lawyer emphasize that such claims are waived if not raised.</w:t>
      </w:r>
      <w:r w:rsidRPr="00C279A3">
        <w:rPr>
          <w:rFonts w:ascii="Century Schoolbook" w:eastAsia="MS Mincho" w:hAnsi="Century Schoolbook" w:cs="Times New Roman"/>
          <w:vertAlign w:val="superscript"/>
        </w:rPr>
        <w:endnoteReference w:id="70"/>
      </w:r>
      <w:r w:rsidRPr="00C279A3">
        <w:rPr>
          <w:rFonts w:ascii="Century Schoolbook" w:eastAsia="MS Mincho" w:hAnsi="Century Schoolbook" w:cs="Times New Roman"/>
        </w:rPr>
        <w:t xml:space="preserve">   A lawyer’s argument that the insured was apprised of all of the legal ramifications and knowingly waived such a claim is augmented by documentation of such a discussion.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lastRenderedPageBreak/>
        <w:t>Lastly, the lawyer should expound upon the insured’s options.  First, the insured could personally fund the affirmative claim and seek reimbursement from the insurer under a subsequent declaratory judgment action.</w:t>
      </w:r>
      <w:r w:rsidRPr="00C279A3">
        <w:rPr>
          <w:rFonts w:ascii="Century Schoolbook" w:eastAsia="MS Mincho" w:hAnsi="Century Schoolbook" w:cs="Times New Roman"/>
          <w:vertAlign w:val="superscript"/>
        </w:rPr>
        <w:endnoteReference w:id="71"/>
      </w:r>
      <w:r w:rsidRPr="00C279A3">
        <w:rPr>
          <w:rFonts w:ascii="Century Schoolbook" w:eastAsia="MS Mincho" w:hAnsi="Century Schoolbook" w:cs="Times New Roman"/>
        </w:rPr>
        <w:t xml:space="preserve">  This avenue could prove costly, however, because the insured is required to front the expenses required for prosecution of the affirmative claim and must pay the declaratory judgments costs.  Second, the lawyer could opt to personally fund the prosecution of the affirmative claim.  Finally, the lawyer, on behalf of the insured, could petition for the insurance company to cover the claim, despite a possibility of its non-coverage.  Ultimately, this dilemma will be resolved based upon the insured’s ability or desire to fund the affirmative claim.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jc w:val="center"/>
        <w:rPr>
          <w:rFonts w:ascii="Century Schoolbook" w:eastAsia="MS Mincho" w:hAnsi="Century Schoolbook" w:cs="Times New Roman"/>
          <w:b/>
        </w:rPr>
      </w:pPr>
      <w:r w:rsidRPr="001722DB">
        <w:rPr>
          <w:rFonts w:ascii="Century Schoolbook" w:eastAsia="MS Mincho" w:hAnsi="Century Schoolbook" w:cs="Times New Roman"/>
          <w:b/>
        </w:rPr>
        <w:t>C.  For Non-Covered Claims, the Lawyer Should Advise the Insured To Obtain Consultation from Personal Counsel</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If the insured and insurer have elected not to fund a compulsory counterclaim, the lawyer should advise the insured to consult a separate lawyer to counsel the insured regarding a proper litigation strategy.  Upon the insured obtaining separate counsel, the lawyer should communicate that his representation of the insured relates to the covered claims only, such that the defense lawyer’s comments regarding the affirmative claim cede to those of the insured’s personal lawyer.  This course of action minimizes the probability that an insured would mistakenly presume that her insurance defense lawyer is advising her as to affirmative claims.  Further, this communication serves to reinforce the value of personal counsel.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lastRenderedPageBreak/>
        <w:t xml:space="preserve">Ideally, the insured would retain separate counsel to prosecute the affirmative claim.  To minimize potential conflicts pertaining to litigation strategy, the insured should be encouraged to retain separate counsel to fund only the affirmative claims.  Having different lawyers defend and prosecute the respective claims greatly diminishes, if not eliminates, the likelihood of a conflict in litigation strategy.  </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Georgia law contemplates this situation and its purposes in the comment that “when an insurer and its insured have conflicting interests in a matter arising from a liability insurance agreement, and the insured is required to provide special counsel for the insured, the arrangement should assure the special counsel’s professional independence.”</w:t>
      </w:r>
      <w:r w:rsidRPr="00C279A3">
        <w:rPr>
          <w:rFonts w:ascii="Century Schoolbook" w:eastAsia="MS Mincho" w:hAnsi="Century Schoolbook" w:cs="Times New Roman"/>
          <w:vertAlign w:val="superscript"/>
        </w:rPr>
        <w:endnoteReference w:id="72"/>
      </w:r>
      <w:r w:rsidRPr="00C279A3">
        <w:rPr>
          <w:rFonts w:ascii="Century Schoolbook" w:eastAsia="MS Mincho" w:hAnsi="Century Schoolbook" w:cs="Times New Roman"/>
        </w:rPr>
        <w:t xml:space="preserve">   The retention of special counsel assuages concerns regarding potential conflicts and furthers a lawyer’s professional independence.</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Although it is ideal that separate lawyers handle these two claims, it is not categorically necessary.  Specifically, Rule 1.8 of the American Bar Association Model Rules of Professional Conduct and Model Code of Professional Responsibility provide:</w:t>
      </w:r>
    </w:p>
    <w:p w:rsidR="003522D9" w:rsidRPr="00C279A3" w:rsidRDefault="003522D9" w:rsidP="003522D9">
      <w:pPr>
        <w:spacing w:after="0" w:line="240" w:lineRule="auto"/>
        <w:jc w:val="both"/>
        <w:rPr>
          <w:rFonts w:ascii="Century Schoolbook" w:eastAsia="MS Mincho" w:hAnsi="Century Schoolbook" w:cs="Times New Roman"/>
        </w:rPr>
      </w:pPr>
    </w:p>
    <w:p w:rsidR="003522D9" w:rsidRPr="00C279A3" w:rsidRDefault="003522D9" w:rsidP="003522D9">
      <w:pPr>
        <w:spacing w:after="0" w:line="240" w:lineRule="auto"/>
        <w:ind w:left="720" w:right="720"/>
        <w:jc w:val="both"/>
        <w:rPr>
          <w:rFonts w:ascii="Century Schoolbook" w:eastAsia="MS Mincho" w:hAnsi="Century Schoolbook" w:cs="Times New Roman"/>
        </w:rPr>
      </w:pPr>
      <w:r w:rsidRPr="00C279A3">
        <w:rPr>
          <w:rFonts w:ascii="Century Schoolbook" w:eastAsia="MS Mincho" w:hAnsi="Century Schoolbook" w:cs="Times New Roman"/>
        </w:rPr>
        <w:t>(f) a lawyer shall not accept compensation for representin</w:t>
      </w:r>
      <w:r w:rsidR="001D1881" w:rsidRPr="00C279A3">
        <w:rPr>
          <w:rFonts w:ascii="Century Schoolbook" w:eastAsia="MS Mincho" w:hAnsi="Century Schoolbook" w:cs="Times New Roman"/>
        </w:rPr>
        <w:t xml:space="preserve">g a client from one other than </w:t>
      </w:r>
      <w:r w:rsidRPr="00C279A3">
        <w:rPr>
          <w:rFonts w:ascii="Century Schoolbook" w:eastAsia="MS Mincho" w:hAnsi="Century Schoolbook" w:cs="Times New Roman"/>
        </w:rPr>
        <w:t>the client unless:</w:t>
      </w:r>
    </w:p>
    <w:p w:rsidR="003522D9" w:rsidRPr="00C279A3" w:rsidRDefault="003522D9" w:rsidP="003522D9">
      <w:pPr>
        <w:spacing w:after="0" w:line="240" w:lineRule="auto"/>
        <w:ind w:left="720" w:right="720"/>
        <w:jc w:val="both"/>
        <w:rPr>
          <w:rFonts w:ascii="Century Schoolbook" w:eastAsia="MS Mincho" w:hAnsi="Century Schoolbook" w:cs="Times New Roman"/>
        </w:rPr>
      </w:pPr>
    </w:p>
    <w:p w:rsidR="003522D9" w:rsidRPr="00C279A3" w:rsidRDefault="003522D9" w:rsidP="00753298">
      <w:pPr>
        <w:spacing w:after="0" w:line="240" w:lineRule="auto"/>
        <w:ind w:left="1080" w:right="1080" w:hanging="1080"/>
        <w:jc w:val="both"/>
        <w:rPr>
          <w:rFonts w:ascii="Century Schoolbook" w:eastAsia="MS Mincho" w:hAnsi="Century Schoolbook" w:cs="Times New Roman"/>
        </w:rPr>
      </w:pPr>
      <w:r w:rsidRPr="00C279A3">
        <w:rPr>
          <w:rFonts w:ascii="Century Schoolbook" w:eastAsia="MS Mincho" w:hAnsi="Century Schoolbook" w:cs="Times New Roman"/>
        </w:rPr>
        <w:tab/>
        <w:t>(1) the client consents after consultation;</w:t>
      </w:r>
    </w:p>
    <w:p w:rsidR="003522D9" w:rsidRPr="00C279A3" w:rsidRDefault="003522D9" w:rsidP="00753298">
      <w:pPr>
        <w:spacing w:after="0" w:line="240" w:lineRule="auto"/>
        <w:ind w:left="1080" w:right="1080" w:hanging="1080"/>
        <w:jc w:val="both"/>
        <w:rPr>
          <w:rFonts w:ascii="Century Schoolbook" w:eastAsia="MS Mincho" w:hAnsi="Century Schoolbook" w:cs="Times New Roman"/>
        </w:rPr>
      </w:pPr>
      <w:r w:rsidRPr="00C279A3">
        <w:rPr>
          <w:rFonts w:ascii="Century Schoolbook" w:eastAsia="MS Mincho" w:hAnsi="Century Schoolbook" w:cs="Times New Roman"/>
        </w:rPr>
        <w:tab/>
        <w:t xml:space="preserve">(2) there is no interference with the lawyer’s independence of </w:t>
      </w:r>
      <w:r w:rsidRPr="00C279A3">
        <w:rPr>
          <w:rFonts w:ascii="Century Schoolbook" w:eastAsia="MS Mincho" w:hAnsi="Century Schoolbook" w:cs="Times New Roman"/>
        </w:rPr>
        <w:lastRenderedPageBreak/>
        <w:t>professional judgment or with the client-lawyer relationship; and</w:t>
      </w:r>
    </w:p>
    <w:p w:rsidR="003522D9" w:rsidRPr="00C279A3" w:rsidRDefault="003522D9" w:rsidP="00753298">
      <w:pPr>
        <w:spacing w:after="0" w:line="240" w:lineRule="auto"/>
        <w:ind w:left="1080" w:right="1080"/>
        <w:jc w:val="both"/>
        <w:rPr>
          <w:rFonts w:ascii="Century Schoolbook" w:eastAsia="MS Mincho" w:hAnsi="Century Schoolbook" w:cs="Times New Roman"/>
        </w:rPr>
      </w:pPr>
      <w:r w:rsidRPr="00C279A3">
        <w:rPr>
          <w:rFonts w:ascii="Century Schoolbook" w:eastAsia="MS Mincho" w:hAnsi="Century Schoolbook" w:cs="Times New Roman"/>
        </w:rPr>
        <w:t>(3) information relating to representation of a client is protected as required by Rule 1.6</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jc w:val="both"/>
        <w:rPr>
          <w:rFonts w:ascii="Century Schoolbook" w:eastAsia="MS Mincho" w:hAnsi="Century Schoolbook" w:cs="Times New Roman"/>
        </w:rPr>
      </w:pPr>
      <w:r w:rsidRPr="00C279A3">
        <w:rPr>
          <w:rFonts w:ascii="Century Schoolbook" w:eastAsia="MS Mincho" w:hAnsi="Century Schoolbook" w:cs="Times New Roman"/>
        </w:rPr>
        <w:t>This rule has been incorporated in Georgia’s State Bar Rules and Regulations.</w:t>
      </w:r>
      <w:r w:rsidRPr="00C279A3">
        <w:rPr>
          <w:rFonts w:ascii="Century Schoolbook" w:eastAsia="MS Mincho" w:hAnsi="Century Schoolbook" w:cs="Times New Roman"/>
          <w:vertAlign w:val="superscript"/>
        </w:rPr>
        <w:endnoteReference w:id="73"/>
      </w:r>
      <w:r w:rsidRPr="00C279A3">
        <w:rPr>
          <w:rFonts w:ascii="Century Schoolbook" w:eastAsia="MS Mincho" w:hAnsi="Century Schoolbook" w:cs="Times New Roman"/>
        </w:rPr>
        <w:t xml:space="preserve">   Thus, a lawyer who satisfies these professional obligations can reasonably defend the insured and prosecute a related affirmative claim without serious exposure.  As always, documenting one’s actions further reduces one’s potential exposure for conflicts.  </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D.  Prosecuting the Affirmative Claim</w:t>
      </w:r>
    </w:p>
    <w:p w:rsidR="003522D9" w:rsidRPr="00C279A3" w:rsidRDefault="003522D9" w:rsidP="003522D9">
      <w:pPr>
        <w:spacing w:after="0" w:line="240" w:lineRule="auto"/>
        <w:jc w:val="center"/>
        <w:rPr>
          <w:rFonts w:ascii="Century Schoolbook" w:eastAsia="MS Mincho" w:hAnsi="Century Schoolbook" w:cs="Times New Roman"/>
          <w:b/>
        </w:rPr>
      </w:pPr>
      <w:r w:rsidRPr="00C279A3">
        <w:rPr>
          <w:rFonts w:ascii="Century Schoolbook" w:eastAsia="MS Mincho" w:hAnsi="Century Schoolbook" w:cs="Times New Roman"/>
          <w:b/>
        </w:rPr>
        <w:t xml:space="preserve"> </w:t>
      </w:r>
      <w:r w:rsidRPr="00C279A3">
        <w:rPr>
          <w:rFonts w:ascii="Century Schoolbook" w:eastAsia="MS Mincho" w:hAnsi="Century Schoolbook" w:cs="Times New Roman"/>
          <w:b/>
          <w:i/>
        </w:rPr>
        <w:t>Pro Bono</w:t>
      </w:r>
      <w:r w:rsidRPr="00C279A3">
        <w:rPr>
          <w:rFonts w:ascii="Century Schoolbook" w:eastAsia="MS Mincho" w:hAnsi="Century Schoolbook" w:cs="Times New Roman"/>
          <w:b/>
        </w:rPr>
        <w:t xml:space="preserve"> Could Prove Beneficial to Defense Lawyers</w:t>
      </w:r>
    </w:p>
    <w:p w:rsidR="003522D9" w:rsidRPr="00C279A3" w:rsidRDefault="003522D9" w:rsidP="003522D9">
      <w:pPr>
        <w:spacing w:after="0" w:line="240" w:lineRule="auto"/>
        <w:rPr>
          <w:rFonts w:ascii="Century Schoolbook" w:eastAsia="MS Mincho" w:hAnsi="Century Schoolbook" w:cs="Times New Roman"/>
        </w:rPr>
      </w:pPr>
    </w:p>
    <w:p w:rsidR="003522D9" w:rsidRPr="00C279A3" w:rsidRDefault="003522D9" w:rsidP="003522D9">
      <w:pPr>
        <w:spacing w:after="0" w:line="240" w:lineRule="auto"/>
        <w:ind w:firstLine="360"/>
        <w:jc w:val="both"/>
        <w:rPr>
          <w:rFonts w:ascii="Century Schoolbook" w:eastAsia="MS Mincho" w:hAnsi="Century Schoolbook" w:cs="Times New Roman"/>
        </w:rPr>
      </w:pPr>
      <w:r w:rsidRPr="00C279A3">
        <w:rPr>
          <w:rFonts w:ascii="Century Schoolbook" w:eastAsia="MS Mincho" w:hAnsi="Century Schoolbook" w:cs="Times New Roman"/>
        </w:rPr>
        <w:t xml:space="preserve">Finally, a defense lawyer may contemplate prosecuting an affirmative claim on a </w:t>
      </w:r>
      <w:r w:rsidRPr="00C279A3">
        <w:rPr>
          <w:rFonts w:ascii="Century Schoolbook" w:eastAsia="MS Mincho" w:hAnsi="Century Schoolbook" w:cs="Times New Roman"/>
          <w:i/>
        </w:rPr>
        <w:t>pro bono</w:t>
      </w:r>
      <w:r w:rsidRPr="00C279A3">
        <w:rPr>
          <w:rFonts w:ascii="Century Schoolbook" w:eastAsia="MS Mincho" w:hAnsi="Century Schoolbook" w:cs="Times New Roman"/>
        </w:rPr>
        <w:t xml:space="preserve"> basis.  Although such an effort has immediate and tangible costs, it does provide reputational benefits and certainly garners loyalty from the insured. </w:t>
      </w:r>
    </w:p>
    <w:p w:rsidR="003522D9" w:rsidRPr="00C279A3" w:rsidRDefault="003522D9" w:rsidP="003522D9">
      <w:pPr>
        <w:spacing w:after="0" w:line="240" w:lineRule="auto"/>
        <w:jc w:val="both"/>
        <w:rPr>
          <w:rFonts w:ascii="Century Schoolbook" w:eastAsia="MS Mincho" w:hAnsi="Century Schoolbook" w:cs="Times New Roman"/>
        </w:rPr>
      </w:pPr>
    </w:p>
    <w:p w:rsidR="005A61E8" w:rsidRDefault="003522D9" w:rsidP="003522D9">
      <w:pPr>
        <w:spacing w:after="0" w:line="240" w:lineRule="auto"/>
        <w:ind w:firstLine="360"/>
        <w:jc w:val="both"/>
        <w:rPr>
          <w:rFonts w:ascii="Century Schoolbook" w:eastAsia="MS Mincho" w:hAnsi="Century Schoolbook" w:cs="Times New Roman"/>
          <w:sz w:val="19"/>
          <w:szCs w:val="19"/>
        </w:rPr>
      </w:pPr>
      <w:r w:rsidRPr="00C279A3">
        <w:rPr>
          <w:rFonts w:ascii="Century Schoolbook" w:eastAsia="MS Mincho" w:hAnsi="Century Schoolbook" w:cs="Times New Roman"/>
        </w:rPr>
        <w:t>Moreover, this behavior serves to improve the public’s perception of the legal profession, thereby helping not only the lawyer individually but also the profession as a whole.  Public trust in lawyers has consistently been regarded as particularly low.</w:t>
      </w:r>
      <w:r w:rsidRPr="00C279A3">
        <w:rPr>
          <w:rFonts w:ascii="Century Schoolbook" w:eastAsia="MS Mincho" w:hAnsi="Century Schoolbook" w:cs="Times New Roman"/>
          <w:vertAlign w:val="superscript"/>
        </w:rPr>
        <w:endnoteReference w:id="74"/>
      </w:r>
      <w:r w:rsidRPr="00C279A3">
        <w:rPr>
          <w:rFonts w:ascii="Century Schoolbook" w:eastAsia="MS Mincho" w:hAnsi="Century Schoolbook" w:cs="Times New Roman"/>
        </w:rPr>
        <w:t xml:space="preserve">  Any effort made at an individual level to correct this misperception helps to turn the tide on this issue.  Finally, prosecuting affirmative claims on a </w:t>
      </w:r>
      <w:r w:rsidRPr="00C279A3">
        <w:rPr>
          <w:rFonts w:ascii="Century Schoolbook" w:eastAsia="MS Mincho" w:hAnsi="Century Schoolbook" w:cs="Times New Roman"/>
          <w:i/>
        </w:rPr>
        <w:t>pro bono</w:t>
      </w:r>
      <w:r w:rsidRPr="00C279A3">
        <w:rPr>
          <w:rFonts w:ascii="Century Schoolbook" w:eastAsia="MS Mincho" w:hAnsi="Century Schoolbook" w:cs="Times New Roman"/>
        </w:rPr>
        <w:t xml:space="preserve"> basis might not be expensive, given that such claims often overlap with an insured’s defense.</w:t>
      </w:r>
      <w:r w:rsidRPr="003522D9">
        <w:rPr>
          <w:rFonts w:ascii="Century Schoolbook" w:eastAsia="MS Mincho" w:hAnsi="Century Schoolbook" w:cs="Times New Roman"/>
          <w:sz w:val="19"/>
          <w:szCs w:val="19"/>
        </w:rPr>
        <w:t xml:space="preserve">  </w:t>
      </w:r>
    </w:p>
    <w:p w:rsidR="005A61E8" w:rsidRDefault="005A61E8" w:rsidP="005A61E8">
      <w:pPr>
        <w:spacing w:after="0" w:line="240" w:lineRule="auto"/>
        <w:jc w:val="both"/>
        <w:rPr>
          <w:rFonts w:ascii="Century Schoolbook" w:eastAsia="MS Mincho" w:hAnsi="Century Schoolbook" w:cs="Times New Roman"/>
          <w:sz w:val="19"/>
          <w:szCs w:val="19"/>
        </w:rPr>
      </w:pPr>
    </w:p>
    <w:p w:rsidR="005A61E8" w:rsidRDefault="005A61E8" w:rsidP="005A61E8">
      <w:pPr>
        <w:spacing w:after="0" w:line="240" w:lineRule="auto"/>
        <w:jc w:val="center"/>
        <w:rPr>
          <w:rFonts w:ascii="Century Schoolbook" w:eastAsia="MS Mincho" w:hAnsi="Century Schoolbook" w:cs="Times New Roman"/>
          <w:b/>
          <w:u w:val="single"/>
        </w:rPr>
      </w:pPr>
      <w:r w:rsidRPr="000C0C20">
        <w:rPr>
          <w:rFonts w:ascii="Century Schoolbook" w:eastAsia="MS Mincho" w:hAnsi="Century Schoolbook" w:cs="Times New Roman"/>
          <w:b/>
          <w:u w:val="single"/>
        </w:rPr>
        <w:lastRenderedPageBreak/>
        <w:t>End Notes</w:t>
      </w:r>
    </w:p>
    <w:p w:rsidR="00153A04" w:rsidRDefault="0090503A" w:rsidP="005A61E8">
      <w:pPr>
        <w:spacing w:after="0" w:line="240" w:lineRule="auto"/>
        <w:jc w:val="center"/>
        <w:rPr>
          <w:rFonts w:ascii="Century Schoolbook" w:hAnsi="Century Schoolbook"/>
          <w:sz w:val="19"/>
          <w:szCs w:val="19"/>
        </w:rPr>
        <w:sectPr w:rsidR="00153A04" w:rsidSect="00A02874">
          <w:endnotePr>
            <w:numFmt w:val="decimal"/>
            <w:numRestart w:val="eachSect"/>
          </w:endnotePr>
          <w:type w:val="continuous"/>
          <w:pgSz w:w="12240" w:h="15840"/>
          <w:pgMar w:top="1440" w:right="1440" w:bottom="1440" w:left="1440" w:header="720" w:footer="720" w:gutter="0"/>
          <w:cols w:num="2" w:space="720"/>
          <w:docGrid w:linePitch="360"/>
        </w:sectPr>
      </w:pPr>
      <w:r w:rsidRPr="001D1881">
        <w:rPr>
          <w:rFonts w:ascii="Century Schoolbook" w:hAnsi="Century Schoolbook"/>
          <w:sz w:val="19"/>
          <w:szCs w:val="19"/>
        </w:rPr>
        <w:br w:type="page"/>
      </w:r>
    </w:p>
    <w:p w:rsidR="00153A04" w:rsidRDefault="00153A04" w:rsidP="00153A04">
      <w:pPr>
        <w:pStyle w:val="GDLA"/>
        <w:outlineLvl w:val="0"/>
      </w:pPr>
      <w:bookmarkStart w:id="11" w:name="_Toc356227230"/>
      <w:r w:rsidRPr="00153A04">
        <w:lastRenderedPageBreak/>
        <w:t>The Current State of Georgia’s Insurance Reservation of Rights Law in Connection with Declinations of Coverage</w:t>
      </w:r>
      <w:bookmarkEnd w:id="11"/>
    </w:p>
    <w:p w:rsidR="00153A04" w:rsidRDefault="00153A04" w:rsidP="00153A04">
      <w:pPr>
        <w:pStyle w:val="GDLA"/>
        <w:rPr>
          <w:sz w:val="24"/>
          <w:szCs w:val="24"/>
        </w:rPr>
      </w:pPr>
    </w:p>
    <w:p w:rsidR="00153A04" w:rsidRPr="00153A04" w:rsidRDefault="00B77E1B" w:rsidP="00470DD1">
      <w:pPr>
        <w:pStyle w:val="Author"/>
        <w:outlineLvl w:val="1"/>
      </w:pPr>
      <w:bookmarkStart w:id="12" w:name="_Toc356227231"/>
      <w:r>
        <w:t xml:space="preserve">By Kenan G. Loomis, </w:t>
      </w:r>
      <w:r w:rsidR="00153A04" w:rsidRPr="00153A04">
        <w:t>Jennifer Kennedy-Coggins</w:t>
      </w:r>
      <w:r>
        <w:t>, and Morgan Carroll</w:t>
      </w:r>
      <w:bookmarkEnd w:id="12"/>
    </w:p>
    <w:p w:rsidR="00153A04" w:rsidRDefault="00153A04" w:rsidP="00153A04">
      <w:pPr>
        <w:spacing w:after="0" w:line="240" w:lineRule="auto"/>
        <w:jc w:val="both"/>
        <w:rPr>
          <w:rFonts w:ascii="Times New Roman" w:hAnsi="Times New Roman"/>
          <w:b/>
          <w:sz w:val="24"/>
          <w:szCs w:val="24"/>
        </w:rPr>
      </w:pPr>
    </w:p>
    <w:p w:rsidR="00153A04" w:rsidRDefault="00153A04" w:rsidP="00153A04">
      <w:pPr>
        <w:spacing w:after="0" w:line="240" w:lineRule="auto"/>
        <w:jc w:val="both"/>
        <w:rPr>
          <w:rFonts w:ascii="Times New Roman" w:hAnsi="Times New Roman"/>
          <w:b/>
          <w:sz w:val="24"/>
          <w:szCs w:val="24"/>
        </w:rPr>
        <w:sectPr w:rsidR="00153A04" w:rsidSect="00153A04">
          <w:endnotePr>
            <w:numFmt w:val="decimal"/>
            <w:numRestart w:val="eachSect"/>
          </w:endnotePr>
          <w:pgSz w:w="12240" w:h="15840"/>
          <w:pgMar w:top="1440" w:right="1440" w:bottom="1440" w:left="1440" w:header="720" w:footer="720" w:gutter="0"/>
          <w:cols w:space="720"/>
          <w:docGrid w:linePitch="360"/>
        </w:sectPr>
      </w:pPr>
    </w:p>
    <w:p w:rsidR="00153A04" w:rsidRPr="00153A04" w:rsidRDefault="00153A04" w:rsidP="00153A04">
      <w:pPr>
        <w:spacing w:after="0" w:line="240" w:lineRule="auto"/>
        <w:jc w:val="both"/>
        <w:rPr>
          <w:rFonts w:ascii="Times New Roman" w:hAnsi="Times New Roman"/>
          <w:b/>
          <w:sz w:val="24"/>
          <w:szCs w:val="24"/>
        </w:rPr>
      </w:pPr>
    </w:p>
    <w:p w:rsidR="002467AD" w:rsidRDefault="002467AD" w:rsidP="002467AD">
      <w:pPr>
        <w:pBdr>
          <w:top w:val="single" w:sz="4" w:space="1" w:color="auto"/>
          <w:left w:val="single" w:sz="4" w:space="4" w:color="auto"/>
          <w:bottom w:val="single" w:sz="4" w:space="1" w:color="auto"/>
          <w:right w:val="single" w:sz="4" w:space="4" w:color="auto"/>
        </w:pBdr>
        <w:shd w:val="clear" w:color="auto" w:fill="81BAC5"/>
        <w:spacing w:after="0" w:line="240" w:lineRule="auto"/>
        <w:jc w:val="center"/>
        <w:rPr>
          <w:rFonts w:ascii="Century Schoolbook" w:hAnsi="Century Schoolbook"/>
          <w:b/>
        </w:rPr>
      </w:pPr>
      <w:r>
        <w:rPr>
          <w:noProof/>
        </w:rPr>
        <w:drawing>
          <wp:inline distT="0" distB="0" distL="0" distR="0" wp14:anchorId="1D6BB86D" wp14:editId="488EE4F8">
            <wp:extent cx="986518" cy="1381125"/>
            <wp:effectExtent l="76200" t="76200" r="137795" b="123825"/>
            <wp:docPr id="1" name="Picture 1" descr="C:\Users\AR\AppData\Local\Microsoft\Windows\Temporary Internet Files\Content.Word\kloomi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ppData\Local\Microsoft\Windows\Temporary Internet Files\Content.Word\kloomis headsho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7008" cy="138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2CF2E0DA" wp14:editId="7CA8CE1A">
            <wp:extent cx="986518" cy="1381125"/>
            <wp:effectExtent l="76200" t="76200" r="137795" b="123825"/>
            <wp:docPr id="15" name="Picture 15" descr="C:\Users\AR\AppData\Local\Microsoft\Windows\Temporary Internet Files\Content.Word\jkennedy-coggins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ppData\Local\Microsoft\Windows\Temporary Internet Files\Content.Word\jkennedy-coggins headshot.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2574" cy="1389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2F7C383" wp14:editId="26147366">
            <wp:extent cx="932089" cy="1304925"/>
            <wp:effectExtent l="76200" t="76200" r="135255" b="123825"/>
            <wp:docPr id="16" name="Picture 16" descr="C:\Users\AR\AppData\Local\Microsoft\Windows\Temporary Internet Files\Content.Word\vcarroll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ppData\Local\Microsoft\Windows\Temporary Internet Files\Content.Word\vcarroll headsho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2552" cy="1305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3C3B" w:rsidRPr="00A07AFF" w:rsidRDefault="00153A04" w:rsidP="00092EA6">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hAnsi="Century Schoolbook"/>
        </w:rPr>
      </w:pPr>
      <w:r w:rsidRPr="005A61E8">
        <w:rPr>
          <w:rFonts w:ascii="Century Schoolbook" w:hAnsi="Century Schoolbook"/>
          <w:b/>
        </w:rPr>
        <w:t>Kenan G. Loomis</w:t>
      </w:r>
      <w:r w:rsidRPr="00A07AFF">
        <w:rPr>
          <w:rFonts w:ascii="Century Schoolbook" w:hAnsi="Century Schoolbook"/>
        </w:rPr>
        <w:t xml:space="preserve"> and </w:t>
      </w:r>
      <w:r w:rsidRPr="005A61E8">
        <w:rPr>
          <w:rFonts w:ascii="Century Schoolbook" w:hAnsi="Century Schoolbook"/>
          <w:b/>
        </w:rPr>
        <w:t xml:space="preserve">Jennifer Kennedy-Coggins </w:t>
      </w:r>
      <w:r w:rsidRPr="00A07AFF">
        <w:rPr>
          <w:rFonts w:ascii="Century Schoolbook" w:hAnsi="Century Schoolbook"/>
        </w:rPr>
        <w:t xml:space="preserve">are partners, and </w:t>
      </w:r>
      <w:r w:rsidRPr="00B77E1B">
        <w:rPr>
          <w:rFonts w:ascii="Century Schoolbook" w:hAnsi="Century Schoolbook"/>
          <w:b/>
        </w:rPr>
        <w:t>Morgan Carroll</w:t>
      </w:r>
      <w:r w:rsidRPr="00A07AFF">
        <w:rPr>
          <w:rFonts w:ascii="Century Schoolbook" w:hAnsi="Century Schoolbook"/>
        </w:rPr>
        <w:t xml:space="preserve"> is an associate, with the Atlanta office of Cozen O’Connor.  They focus their practice on addressing and defending insurance coverage matters for insurance carriers in the areas of liability insurance (including commercial general liability, pollution liability, and professional liability), property insurance, and health, life, and disability insurance.  Mrs. Kennedy-Coggins is also the vice-chair for the insurance coverage section of the Georgia Defense Lawyers Association.   </w:t>
      </w:r>
    </w:p>
    <w:p w:rsidR="00A07AFF" w:rsidRDefault="00A07AFF" w:rsidP="00A07AFF">
      <w:pPr>
        <w:spacing w:after="0" w:line="240" w:lineRule="auto"/>
        <w:jc w:val="both"/>
        <w:rPr>
          <w:rFonts w:ascii="Century Schoolbook" w:hAnsi="Century Schoolbook"/>
        </w:rPr>
      </w:pPr>
    </w:p>
    <w:p w:rsidR="00153A04" w:rsidRPr="00A07AFF" w:rsidRDefault="00153A04" w:rsidP="00A07AFF">
      <w:pPr>
        <w:spacing w:after="0" w:line="240" w:lineRule="auto"/>
        <w:jc w:val="both"/>
        <w:rPr>
          <w:rFonts w:ascii="Century Schoolbook" w:hAnsi="Century Schoolbook"/>
        </w:rPr>
      </w:pPr>
      <w:r w:rsidRPr="00A07AFF">
        <w:rPr>
          <w:rFonts w:ascii="Century Schoolbook" w:hAnsi="Century Schoolbook"/>
        </w:rPr>
        <w:t xml:space="preserve"> </w:t>
      </w: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On June 18, 2012, the Supreme Court of Georgia issued </w:t>
      </w:r>
      <w:r w:rsidRPr="00A07AFF">
        <w:rPr>
          <w:rFonts w:ascii="Century Schoolbook" w:eastAsia="Times New Roman" w:hAnsi="Century Schoolbook" w:cs="Times New Roman"/>
          <w:i/>
        </w:rPr>
        <w:t>Hoover v. Maxum Indemnity Co.</w:t>
      </w:r>
      <w:r w:rsidRPr="00A07AFF">
        <w:rPr>
          <w:rFonts w:ascii="Century Schoolbook" w:eastAsia="Times New Roman" w:hAnsi="Century Schoolbook" w:cs="Times New Roman"/>
          <w:vertAlign w:val="superscript"/>
        </w:rPr>
        <w:endnoteReference w:id="75"/>
      </w:r>
      <w:r w:rsidRPr="00A07AFF">
        <w:rPr>
          <w:rFonts w:ascii="Century Schoolbook" w:eastAsia="Times New Roman" w:hAnsi="Century Schoolbook" w:cs="Times New Roman"/>
        </w:rPr>
        <w:t xml:space="preserve">, which dramatically changed Georgia’s “Reservation of Rights” law.  In short, the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court held that </w:t>
      </w:r>
      <w:r w:rsidRPr="00A07AFF">
        <w:rPr>
          <w:rFonts w:ascii="Century Schoolbook" w:eastAsia="Times New Roman" w:hAnsi="Century Schoolbook" w:cs="Times New Roman"/>
        </w:rPr>
        <w:lastRenderedPageBreak/>
        <w:t>insurers may no longer disclaim coverage under a specific policy provision while also reserving the right to do so under other provisions.</w:t>
      </w:r>
      <w:r w:rsidRPr="00A07AFF">
        <w:rPr>
          <w:rFonts w:ascii="Century Schoolbook" w:eastAsia="Times New Roman" w:hAnsi="Century Schoolbook" w:cs="Times New Roman"/>
          <w:vertAlign w:val="superscript"/>
        </w:rPr>
        <w:endnoteReference w:id="76"/>
      </w:r>
      <w:r w:rsidRPr="00A07AFF">
        <w:rPr>
          <w:rFonts w:ascii="Century Schoolbook" w:eastAsia="Times New Roman" w:hAnsi="Century Schoolbook" w:cs="Times New Roman"/>
        </w:rPr>
        <w:t xml:space="preserve">  The court held that an insurer waives coverage defenses that do not form the basis of the claim denial, despite the reservation of rights language.</w:t>
      </w:r>
      <w:r w:rsidRPr="00A07AFF">
        <w:rPr>
          <w:rFonts w:ascii="Century Schoolbook" w:eastAsia="Times New Roman" w:hAnsi="Century Schoolbook" w:cs="Times New Roman"/>
          <w:vertAlign w:val="superscript"/>
        </w:rPr>
        <w:endnoteReference w:id="77"/>
      </w:r>
      <w:r w:rsidRPr="00A07AFF">
        <w:rPr>
          <w:rFonts w:ascii="Century Schoolbook" w:eastAsia="Times New Roman" w:hAnsi="Century Schoolbook" w:cs="Times New Roman"/>
        </w:rPr>
        <w:t xml:space="preserve">  According to the </w:t>
      </w:r>
      <w:r w:rsidRPr="00A07AFF">
        <w:rPr>
          <w:rFonts w:ascii="Century Schoolbook" w:eastAsia="Times New Roman" w:hAnsi="Century Schoolbook" w:cs="Times New Roman"/>
          <w:i/>
        </w:rPr>
        <w:t xml:space="preserve">Hoover </w:t>
      </w:r>
      <w:r w:rsidRPr="00A07AFF">
        <w:rPr>
          <w:rFonts w:ascii="Century Schoolbook" w:eastAsia="Times New Roman" w:hAnsi="Century Schoolbook" w:cs="Times New Roman"/>
        </w:rPr>
        <w:t>court, a carrier cannot “both deny a claim outright and attempt to reserve the right to assert a different defense in the future.”</w:t>
      </w:r>
      <w:r w:rsidRPr="00A07AFF">
        <w:rPr>
          <w:rFonts w:ascii="Century Schoolbook" w:eastAsia="Times New Roman" w:hAnsi="Century Schoolbook" w:cs="Times New Roman"/>
          <w:vertAlign w:val="superscript"/>
        </w:rPr>
        <w:endnoteReference w:id="78"/>
      </w:r>
      <w:r w:rsidRPr="00A07AFF">
        <w:rPr>
          <w:rFonts w:ascii="Century Schoolbook" w:eastAsia="Times New Roman" w:hAnsi="Century Schoolbook" w:cs="Times New Roman"/>
        </w:rPr>
        <w:t xml:space="preserve"> </w:t>
      </w:r>
    </w:p>
    <w:p w:rsidR="00E83C3B" w:rsidRPr="00A07AFF" w:rsidRDefault="00E83C3B"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Georgia’s federal courts have discussed, applied, and limited </w:t>
      </w:r>
      <w:r w:rsidRPr="00A07AFF">
        <w:rPr>
          <w:rFonts w:ascii="Century Schoolbook" w:eastAsia="Times New Roman" w:hAnsi="Century Schoolbook" w:cs="Times New Roman"/>
          <w:i/>
        </w:rPr>
        <w:t>Hoover’s</w:t>
      </w:r>
      <w:r w:rsidRPr="00A07AFF">
        <w:rPr>
          <w:rFonts w:ascii="Century Schoolbook" w:eastAsia="Times New Roman" w:hAnsi="Century Schoolbook" w:cs="Times New Roman"/>
        </w:rPr>
        <w:t xml:space="preserve"> holding in at least two decisions issued in the first quarter of 2013.  In these cases, Georgia’s federal district courts held that: (1) </w:t>
      </w:r>
      <w:r w:rsidRPr="00A07AFF">
        <w:rPr>
          <w:rFonts w:ascii="Century Schoolbook" w:eastAsia="Times New Roman" w:hAnsi="Century Schoolbook" w:cs="Times New Roman"/>
          <w:i/>
        </w:rPr>
        <w:t>Hoover’s</w:t>
      </w:r>
      <w:r w:rsidRPr="00A07AFF">
        <w:rPr>
          <w:rFonts w:ascii="Century Schoolbook" w:eastAsia="Times New Roman" w:hAnsi="Century Schoolbook" w:cs="Times New Roman"/>
        </w:rPr>
        <w:t xml:space="preserve"> holding still applies, and waiver still results as to all defenses not relied upon in the insurer’s declination of coverage, even where the insurer first obtains its insured’s agreement to a bilateral reservation of rights;</w:t>
      </w:r>
      <w:r w:rsidRPr="00A07AFF">
        <w:rPr>
          <w:rFonts w:ascii="Century Schoolbook" w:eastAsia="Times New Roman" w:hAnsi="Century Schoolbook" w:cs="Times New Roman"/>
          <w:vertAlign w:val="superscript"/>
        </w:rPr>
        <w:endnoteReference w:id="79"/>
      </w:r>
      <w:r w:rsidRPr="00A07AFF">
        <w:rPr>
          <w:rFonts w:ascii="Century Schoolbook" w:eastAsia="Times New Roman" w:hAnsi="Century Schoolbook" w:cs="Times New Roman"/>
        </w:rPr>
        <w:t xml:space="preserve"> and (2) </w:t>
      </w:r>
      <w:r w:rsidRPr="00A07AFF">
        <w:rPr>
          <w:rFonts w:ascii="Century Schoolbook" w:eastAsia="Times New Roman" w:hAnsi="Century Schoolbook" w:cs="Times New Roman"/>
          <w:i/>
        </w:rPr>
        <w:t>Hoover’s</w:t>
      </w:r>
      <w:r w:rsidRPr="00A07AFF">
        <w:rPr>
          <w:rFonts w:ascii="Century Schoolbook" w:eastAsia="Times New Roman" w:hAnsi="Century Schoolbook" w:cs="Times New Roman"/>
        </w:rPr>
        <w:t xml:space="preserve"> holding does not apply and no waiver of coverage defenses arises from a carrier’s failure to raise defenses in a declination, where the insurer’s policy obligates the insurer only to pay/indemnify its insured and not to defend it.</w:t>
      </w:r>
      <w:r w:rsidRPr="00A07AFF">
        <w:rPr>
          <w:rFonts w:ascii="Century Schoolbook" w:eastAsia="Times New Roman" w:hAnsi="Century Schoolbook" w:cs="Times New Roman"/>
          <w:vertAlign w:val="superscript"/>
        </w:rPr>
        <w:endnoteReference w:id="80"/>
      </w:r>
      <w:r w:rsidRPr="00A07AFF">
        <w:rPr>
          <w:rFonts w:ascii="Century Schoolbook" w:eastAsia="Times New Roman" w:hAnsi="Century Schoolbook" w:cs="Times New Roman"/>
        </w:rPr>
        <w:t xml:space="preserve">  </w:t>
      </w:r>
    </w:p>
    <w:p w:rsidR="0021088B" w:rsidRPr="00A07AFF" w:rsidRDefault="0021088B" w:rsidP="00A07AFF">
      <w:pPr>
        <w:spacing w:after="0" w:line="240" w:lineRule="auto"/>
        <w:ind w:firstLine="360"/>
        <w:jc w:val="both"/>
        <w:rPr>
          <w:rFonts w:ascii="Century Schoolbook" w:eastAsia="Times New Roman" w:hAnsi="Century Schoolbook" w:cs="Times New Roman"/>
          <w:i/>
        </w:rPr>
      </w:pPr>
    </w:p>
    <w:p w:rsidR="00E83C3B"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and its progeny set forth the minority rule across the country.  Most jurisdictions hold that no waiver or estoppel results from an insurer’s failure to assert all grounds for non-coverage within its declination of coverage.</w:t>
      </w:r>
      <w:r w:rsidRPr="00A07AFF">
        <w:rPr>
          <w:rFonts w:ascii="Century Schoolbook" w:eastAsia="Times New Roman" w:hAnsi="Century Schoolbook" w:cs="Times New Roman"/>
          <w:vertAlign w:val="superscript"/>
        </w:rPr>
        <w:endnoteReference w:id="81"/>
      </w:r>
      <w:r w:rsidRPr="00A07AFF">
        <w:rPr>
          <w:rFonts w:ascii="Century Schoolbook" w:eastAsia="Times New Roman" w:hAnsi="Century Schoolbook" w:cs="Times New Roman"/>
        </w:rPr>
        <w:t xml:space="preserve">  These majority courts hold that an insurer does not waive the right to assert coverage defenses so long as its declination states </w:t>
      </w:r>
      <w:r w:rsidRPr="00A07AFF">
        <w:rPr>
          <w:rFonts w:ascii="Century Schoolbook" w:eastAsia="Times New Roman" w:hAnsi="Century Schoolbook" w:cs="Times New Roman"/>
        </w:rPr>
        <w:lastRenderedPageBreak/>
        <w:t xml:space="preserve">that the carrier does not waive any coverage defenses and reserves the right to raise additional coverage defenses in the future.  No estoppel arises where the insured has not detrimentally relied upon the insurer’s basis for the declination of coverage.   </w:t>
      </w:r>
    </w:p>
    <w:p w:rsidR="00184A52"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 </w:t>
      </w:r>
    </w:p>
    <w:p w:rsidR="00A07AFF" w:rsidRP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left="540" w:hanging="540"/>
        <w:jc w:val="both"/>
        <w:rPr>
          <w:rFonts w:ascii="Century Schoolbook" w:eastAsia="Times New Roman" w:hAnsi="Century Schoolbook" w:cs="Times New Roman"/>
          <w:b/>
        </w:rPr>
      </w:pPr>
      <w:r w:rsidRPr="00A07AFF">
        <w:rPr>
          <w:rFonts w:ascii="Century Schoolbook" w:eastAsia="Times New Roman" w:hAnsi="Century Schoolbook" w:cs="Times New Roman"/>
          <w:b/>
        </w:rPr>
        <w:t>I.</w:t>
      </w:r>
      <w:r w:rsidRPr="00A07AFF">
        <w:rPr>
          <w:rFonts w:ascii="Century Schoolbook" w:eastAsia="Times New Roman" w:hAnsi="Century Schoolbook" w:cs="Times New Roman"/>
          <w:b/>
        </w:rPr>
        <w:tab/>
        <w:t xml:space="preserve">Georgia’s Recent Developments </w:t>
      </w:r>
    </w:p>
    <w:p w:rsidR="00184A52" w:rsidRPr="00A07AFF" w:rsidRDefault="00184A52" w:rsidP="00A07AFF">
      <w:pPr>
        <w:spacing w:after="0" w:line="240" w:lineRule="auto"/>
        <w:jc w:val="both"/>
        <w:rPr>
          <w:rFonts w:ascii="Century Schoolbook" w:eastAsia="Times New Roman" w:hAnsi="Century Schoolbook" w:cs="Times New Roman"/>
          <w:b/>
        </w:rPr>
      </w:pPr>
    </w:p>
    <w:p w:rsidR="00E83C3B" w:rsidRPr="00A07AFF" w:rsidRDefault="00E83C3B" w:rsidP="00A07AFF">
      <w:pPr>
        <w:spacing w:after="0" w:line="240" w:lineRule="auto"/>
        <w:jc w:val="center"/>
        <w:rPr>
          <w:rFonts w:ascii="Century Schoolbook" w:eastAsia="Times New Roman" w:hAnsi="Century Schoolbook" w:cs="Times New Roman"/>
          <w:b/>
        </w:rPr>
      </w:pPr>
      <w:r w:rsidRPr="00A07AFF">
        <w:rPr>
          <w:rFonts w:ascii="Century Schoolbook" w:eastAsia="Times New Roman" w:hAnsi="Century Schoolbook" w:cs="Times New Roman"/>
          <w:b/>
        </w:rPr>
        <w:t xml:space="preserve">A.  </w:t>
      </w:r>
      <w:r w:rsidR="00184A52" w:rsidRPr="00A07AFF">
        <w:rPr>
          <w:rFonts w:ascii="Century Schoolbook" w:eastAsia="Times New Roman" w:hAnsi="Century Schoolbook" w:cs="Times New Roman"/>
          <w:b/>
        </w:rPr>
        <w:t>An Insurer Waives All Coverage Defenses Not Listed</w:t>
      </w:r>
      <w:r w:rsidRPr="00A07AFF">
        <w:rPr>
          <w:rFonts w:ascii="Century Schoolbook" w:eastAsia="Times New Roman" w:hAnsi="Century Schoolbook" w:cs="Times New Roman"/>
          <w:b/>
        </w:rPr>
        <w:t xml:space="preserve"> in the </w:t>
      </w:r>
    </w:p>
    <w:p w:rsidR="00E83C3B" w:rsidRPr="00A07AFF" w:rsidRDefault="00E83C3B" w:rsidP="00A07AFF">
      <w:pPr>
        <w:spacing w:after="0" w:line="240" w:lineRule="auto"/>
        <w:jc w:val="center"/>
        <w:rPr>
          <w:rFonts w:ascii="Century Schoolbook" w:eastAsia="Times New Roman" w:hAnsi="Century Schoolbook" w:cs="Times New Roman"/>
          <w:b/>
        </w:rPr>
      </w:pPr>
      <w:r w:rsidRPr="00A07AFF">
        <w:rPr>
          <w:rFonts w:ascii="Century Schoolbook" w:eastAsia="Times New Roman" w:hAnsi="Century Schoolbook" w:cs="Times New Roman"/>
          <w:b/>
        </w:rPr>
        <w:t>Declination of Coverage</w:t>
      </w:r>
    </w:p>
    <w:p w:rsidR="00E83C3B" w:rsidRPr="00A07AFF" w:rsidRDefault="00E83C3B" w:rsidP="00A07AFF">
      <w:pPr>
        <w:spacing w:after="0" w:line="240" w:lineRule="auto"/>
        <w:jc w:val="center"/>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i/>
        </w:rPr>
        <w:t xml:space="preserve">Hoover v. Maxum Indemnity Co. </w:t>
      </w:r>
      <w:r w:rsidRPr="00A07AFF">
        <w:rPr>
          <w:rFonts w:ascii="Century Schoolbook" w:eastAsia="Times New Roman" w:hAnsi="Century Schoolbook" w:cs="Times New Roman"/>
        </w:rPr>
        <w:t>concerned a personal injury sustained by Plaintiff James Hoover on October 20, 2004, while working for Emergency Water Extraction Services, LLC (“EWES”).</w:t>
      </w:r>
      <w:r w:rsidRPr="00A07AFF">
        <w:rPr>
          <w:rFonts w:ascii="Century Schoolbook" w:eastAsia="Times New Roman" w:hAnsi="Century Schoolbook" w:cs="Times New Roman"/>
          <w:vertAlign w:val="superscript"/>
        </w:rPr>
        <w:endnoteReference w:id="82"/>
      </w:r>
      <w:r w:rsidRPr="00A07AFF">
        <w:rPr>
          <w:rFonts w:ascii="Century Schoolbook" w:eastAsia="Times New Roman" w:hAnsi="Century Schoolbook" w:cs="Times New Roman"/>
        </w:rPr>
        <w:t xml:space="preserve">  EWES was immediately aware of the accident and even visited Hoover</w:t>
      </w:r>
      <w:r w:rsidRPr="00A07AFF">
        <w:rPr>
          <w:rFonts w:ascii="Century Schoolbook" w:eastAsia="Times New Roman" w:hAnsi="Century Schoolbook" w:cs="Times New Roman"/>
          <w:i/>
        </w:rPr>
        <w:t xml:space="preserve"> </w:t>
      </w:r>
      <w:r w:rsidRPr="00A07AFF">
        <w:rPr>
          <w:rFonts w:ascii="Century Schoolbook" w:eastAsia="Times New Roman" w:hAnsi="Century Schoolbook" w:cs="Times New Roman"/>
        </w:rPr>
        <w:t>in the hospital; however, it did not provide notice of the incident to its commercial general liability insurer, Maxum Indemnity Company (“Maxum”), at that time.  Two years later, in September 2006, Hoover filed suit against EWES and other defendants.  EWES tendered the lawsuit to Maxum on October 19, 2006.</w:t>
      </w:r>
      <w:r w:rsidRPr="00A07AFF">
        <w:rPr>
          <w:rFonts w:ascii="Century Schoolbook" w:eastAsia="Times New Roman" w:hAnsi="Century Schoolbook" w:cs="Times New Roman"/>
          <w:vertAlign w:val="superscript"/>
        </w:rPr>
        <w:endnoteReference w:id="83"/>
      </w:r>
      <w:r w:rsidRPr="00A07AFF">
        <w:rPr>
          <w:rFonts w:ascii="Century Schoolbook" w:eastAsia="Times New Roman" w:hAnsi="Century Schoolbook" w:cs="Times New Roman"/>
        </w:rPr>
        <w:t xml:space="preserve">  Maxum disclaimed coverage to EWES on October 23, 2006, relying upon the policy’s Employer’s Liability Exclusion, and also reserved its right to deny coverage based on EWES’s failure to provide timely notice of the accident pursuant to the policy’s notice provision.</w:t>
      </w:r>
      <w:r w:rsidRPr="00A07AFF">
        <w:rPr>
          <w:rFonts w:ascii="Century Schoolbook" w:eastAsia="Times New Roman" w:hAnsi="Century Schoolbook" w:cs="Times New Roman"/>
          <w:vertAlign w:val="superscript"/>
        </w:rPr>
        <w:endnoteReference w:id="84"/>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Hoover obtained a $16.4 million judgment against EWES in the underlying tort case.  EWES then assigned to Hoover its claims against Maxum for breach of duty to defend and indemnify, and Hoover then filed suit.  Maxum was granted summary judgment by the trial court, which held that EWES had not provided timely notice under the </w:t>
      </w:r>
      <w:r w:rsidRPr="00A07AFF">
        <w:rPr>
          <w:rFonts w:ascii="Century Schoolbook" w:eastAsia="Times New Roman" w:hAnsi="Century Schoolbook" w:cs="Times New Roman"/>
        </w:rPr>
        <w:lastRenderedPageBreak/>
        <w:t>policy.  The trial court also granted Hoover’s motion for partial summary judgment, finding that Maxum had breached its duty to defend the underlying action.</w:t>
      </w:r>
      <w:r w:rsidRPr="00A07AFF">
        <w:rPr>
          <w:rFonts w:ascii="Century Schoolbook" w:eastAsia="Times New Roman" w:hAnsi="Century Schoolbook" w:cs="Times New Roman"/>
          <w:vertAlign w:val="superscript"/>
        </w:rPr>
        <w:endnoteReference w:id="85"/>
      </w:r>
      <w:r w:rsidRPr="00A07AFF">
        <w:rPr>
          <w:rFonts w:ascii="Century Schoolbook" w:eastAsia="Times New Roman" w:hAnsi="Century Schoolbook" w:cs="Times New Roman"/>
        </w:rPr>
        <w:t xml:space="preserve">  The court of appeals affirmed summary judgment for Maxum but reversed summary judgment for Hoover as to Maxum’s duty to defend.</w:t>
      </w:r>
      <w:r w:rsidRPr="00A07AFF">
        <w:rPr>
          <w:rFonts w:ascii="Century Schoolbook" w:eastAsia="Times New Roman" w:hAnsi="Century Schoolbook" w:cs="Times New Roman"/>
          <w:vertAlign w:val="superscript"/>
        </w:rPr>
        <w:endnoteReference w:id="86"/>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The Supreme Court of Georgia granted certiorari to consider: (1) whether or not Maxum had waived the right to assert its notice defense; and (2) whether or not timely notice was a prerequisite to Maxum’s obligation to defend EWES.  The supreme court sided with Hoover on both issues.  As to notice, the court found that Maxum had waived its right to assert this defense by failing to properly advise EWES that the defense could be a potential bar to coverage.</w:t>
      </w:r>
      <w:r w:rsidRPr="00A07AFF">
        <w:rPr>
          <w:rFonts w:ascii="Century Schoolbook" w:eastAsia="Times New Roman" w:hAnsi="Century Schoolbook" w:cs="Times New Roman"/>
          <w:vertAlign w:val="superscript"/>
        </w:rPr>
        <w:endnoteReference w:id="87"/>
      </w:r>
      <w:r w:rsidRPr="00A07AFF">
        <w:rPr>
          <w:rFonts w:ascii="Century Schoolbook" w:eastAsia="Times New Roman" w:hAnsi="Century Schoolbook" w:cs="Times New Roman"/>
        </w:rPr>
        <w:t xml:space="preserve">  As to the duty to defend, the court held that timely notice was not a prerequisite to Maxum’s duty to defend, because Maxum had waived this defense.</w:t>
      </w:r>
      <w:r w:rsidRPr="00A07AFF">
        <w:rPr>
          <w:rFonts w:ascii="Century Schoolbook" w:eastAsia="Times New Roman" w:hAnsi="Century Schoolbook" w:cs="Times New Roman"/>
          <w:vertAlign w:val="superscript"/>
        </w:rPr>
        <w:endnoteReference w:id="88"/>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In so doing, the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court recognized an insurer’s three options when it receives a lawsuit against its insured, emphasizing that an insurer may: (1) defend a claim, thereby waiving its policy defenses; (2) “deny coverage and refuse to defend, leaving policy defenses open for future litigation”; or (3) defend under a reservation of rights.</w:t>
      </w:r>
      <w:r w:rsidRPr="00A07AFF">
        <w:rPr>
          <w:rFonts w:ascii="Century Schoolbook" w:eastAsia="Times New Roman" w:hAnsi="Century Schoolbook" w:cs="Times New Roman"/>
          <w:vertAlign w:val="superscript"/>
        </w:rPr>
        <w:endnoteReference w:id="89"/>
      </w:r>
      <w:r w:rsidRPr="00A07AFF">
        <w:rPr>
          <w:rFonts w:ascii="Century Schoolbook" w:eastAsia="Times New Roman" w:hAnsi="Century Schoolbook" w:cs="Times New Roman"/>
        </w:rPr>
        <w:t xml:space="preserve">  The court noted that a reservation of rights allows an insurer to undertake a defense where the validity of coverage is in question, while preserving the right to ultimately deny coverage if it is determined that none is owed under the policy.</w:t>
      </w:r>
      <w:r w:rsidRPr="00A07AFF">
        <w:rPr>
          <w:rFonts w:ascii="Century Schoolbook" w:eastAsia="Times New Roman" w:hAnsi="Century Schoolbook" w:cs="Times New Roman"/>
          <w:vertAlign w:val="superscript"/>
        </w:rPr>
        <w:endnoteReference w:id="90"/>
      </w:r>
      <w:r w:rsidRPr="00A07AFF">
        <w:rPr>
          <w:rFonts w:ascii="Century Schoolbook" w:eastAsia="Times New Roman" w:hAnsi="Century Schoolbook" w:cs="Times New Roman"/>
        </w:rPr>
        <w:t xml:space="preserve">  This is considered the “safe” course of action when questions regarding coverage defenses exist.</w:t>
      </w:r>
      <w:r w:rsidRPr="00A07AFF">
        <w:rPr>
          <w:rFonts w:ascii="Century Schoolbook" w:eastAsia="Times New Roman" w:hAnsi="Century Schoolbook" w:cs="Times New Roman"/>
          <w:vertAlign w:val="superscript"/>
        </w:rPr>
        <w:endnoteReference w:id="91"/>
      </w:r>
      <w:r w:rsidRPr="00A07AFF">
        <w:rPr>
          <w:rFonts w:ascii="Century Schoolbook" w:eastAsia="Times New Roman" w:hAnsi="Century Schoolbook" w:cs="Times New Roman"/>
        </w:rPr>
        <w:t xml:space="preserve">  An insurer, however, may not both deny a claim and attempt to reserve its rights to assert a different defense.</w:t>
      </w:r>
      <w:r w:rsidRPr="00A07AFF">
        <w:rPr>
          <w:rFonts w:ascii="Century Schoolbook" w:eastAsia="Times New Roman" w:hAnsi="Century Schoolbook" w:cs="Times New Roman"/>
          <w:vertAlign w:val="superscript"/>
        </w:rPr>
        <w:endnoteReference w:id="92"/>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In the words of the supreme court:</w:t>
      </w:r>
    </w:p>
    <w:p w:rsidR="00A07AFF" w:rsidRDefault="00A07AFF" w:rsidP="00A07AFF">
      <w:pPr>
        <w:spacing w:after="0" w:line="240" w:lineRule="auto"/>
        <w:ind w:left="720" w:right="720"/>
        <w:jc w:val="both"/>
        <w:rPr>
          <w:rFonts w:ascii="Century Schoolbook" w:eastAsia="Times New Roman" w:hAnsi="Century Schoolbook" w:cs="Times New Roman"/>
        </w:rPr>
      </w:pPr>
    </w:p>
    <w:p w:rsidR="00184A52" w:rsidRPr="00A07AFF" w:rsidRDefault="00184A52" w:rsidP="00A07AFF">
      <w:pPr>
        <w:spacing w:after="0" w:line="240" w:lineRule="auto"/>
        <w:ind w:left="720" w:right="72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A reservation of rights is a term of art in insurance vernacular and is designed to allow an insurer to provide a defense to its insured while still preserving the option of litigating and ultimately denying coverage.  ‘At a minimum, the reservation of rights must fairly inform the insured that, </w:t>
      </w:r>
      <w:r w:rsidRPr="00A07AFF">
        <w:rPr>
          <w:rFonts w:ascii="Century Schoolbook" w:eastAsia="Times New Roman" w:hAnsi="Century Schoolbook" w:cs="Times New Roman"/>
          <w:i/>
        </w:rPr>
        <w:t>notwithstanding [the insurer’s] defense of the action</w:t>
      </w:r>
      <w:r w:rsidRPr="00A07AFF">
        <w:rPr>
          <w:rFonts w:ascii="Century Schoolbook" w:eastAsia="Times New Roman" w:hAnsi="Century Schoolbook" w:cs="Times New Roman"/>
        </w:rPr>
        <w:t>, it disclaims liability and does not waive the defenses available to the insured.’  Thus, a reservation of rights is only available to an insurer who undertakes a defense while questions remain about the validity of coverage.</w:t>
      </w:r>
      <w:r w:rsidRPr="00A07AFF">
        <w:rPr>
          <w:rFonts w:ascii="Century Schoolbook" w:eastAsia="Times New Roman" w:hAnsi="Century Schoolbook" w:cs="Times New Roman"/>
          <w:vertAlign w:val="superscript"/>
        </w:rPr>
        <w:endnoteReference w:id="93"/>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Thus, the supreme court held that the court of appeals had erred in finding that Maxum could deny coverage based on one coverage defense and still preserve additional coverage defenses by reserving its right to do so in the disclaimer letter.</w:t>
      </w:r>
      <w:r w:rsidRPr="00A07AFF">
        <w:rPr>
          <w:rFonts w:ascii="Century Schoolbook" w:eastAsia="Times New Roman" w:hAnsi="Century Schoolbook" w:cs="Times New Roman"/>
          <w:vertAlign w:val="superscript"/>
        </w:rPr>
        <w:endnoteReference w:id="94"/>
      </w:r>
      <w:r w:rsidRPr="00A07AFF">
        <w:rPr>
          <w:rFonts w:ascii="Century Schoolbook" w:eastAsia="Times New Roman" w:hAnsi="Century Schoolbook" w:cs="Times New Roman"/>
        </w:rPr>
        <w:t xml:space="preserve">  The supreme court noted that a reservation of rights is appropriate only where the insurer is choosing to </w:t>
      </w:r>
      <w:r w:rsidRPr="00A07AFF">
        <w:rPr>
          <w:rFonts w:ascii="Century Schoolbook" w:eastAsia="Times New Roman" w:hAnsi="Century Schoolbook" w:cs="Times New Roman"/>
          <w:u w:val="single"/>
        </w:rPr>
        <w:t>defend</w:t>
      </w:r>
      <w:r w:rsidRPr="00A07AFF">
        <w:rPr>
          <w:rFonts w:ascii="Century Schoolbook" w:eastAsia="Times New Roman" w:hAnsi="Century Schoolbook" w:cs="Times New Roman"/>
        </w:rPr>
        <w:t>, not where an insurer is disclaiming outright.</w:t>
      </w:r>
      <w:r w:rsidRPr="00A07AFF">
        <w:rPr>
          <w:rFonts w:ascii="Century Schoolbook" w:eastAsia="Times New Roman" w:hAnsi="Century Schoolbook" w:cs="Times New Roman"/>
          <w:vertAlign w:val="superscript"/>
        </w:rPr>
        <w:endnoteReference w:id="95"/>
      </w:r>
      <w:r w:rsidRPr="00A07AFF">
        <w:rPr>
          <w:rFonts w:ascii="Century Schoolbook" w:eastAsia="Times New Roman" w:hAnsi="Century Schoolbook" w:cs="Times New Roman"/>
        </w:rPr>
        <w:t xml:space="preserve">  Again, where an insurer is unsure of its rights under the policy, the safe course of action is to defend the case under a reservation of rights and pursue a declaratory judgment action.</w:t>
      </w:r>
      <w:r w:rsidRPr="00A07AFF">
        <w:rPr>
          <w:rFonts w:ascii="Century Schoolbook" w:eastAsia="Times New Roman" w:hAnsi="Century Schoolbook" w:cs="Times New Roman"/>
          <w:vertAlign w:val="superscript"/>
        </w:rPr>
        <w:endnoteReference w:id="96"/>
      </w:r>
      <w:r w:rsidRPr="00A07AFF">
        <w:rPr>
          <w:rFonts w:ascii="Century Schoolbook" w:eastAsia="Times New Roman" w:hAnsi="Century Schoolbook" w:cs="Times New Roman"/>
        </w:rPr>
        <w:t xml:space="preserve">  A disclaimer, where an insurer chooses not to defend, cannot also include a reservation of rights for other potential defenses.</w:t>
      </w:r>
      <w:r w:rsidRPr="00A07AFF">
        <w:rPr>
          <w:rFonts w:ascii="Century Schoolbook" w:eastAsia="Times New Roman" w:hAnsi="Century Schoolbook" w:cs="Times New Roman"/>
          <w:vertAlign w:val="superscript"/>
        </w:rPr>
        <w:endnoteReference w:id="97"/>
      </w:r>
      <w:r w:rsidRPr="00A07AFF">
        <w:rPr>
          <w:rFonts w:ascii="Century Schoolbook" w:eastAsia="Times New Roman" w:hAnsi="Century Schoolbook" w:cs="Times New Roman"/>
        </w:rPr>
        <w:t xml:space="preserve">  This is because a disclaimer denies coverage outright; once a denial </w:t>
      </w:r>
      <w:r w:rsidRPr="00A07AFF">
        <w:rPr>
          <w:rFonts w:ascii="Century Schoolbook" w:eastAsia="Times New Roman" w:hAnsi="Century Schoolbook" w:cs="Times New Roman"/>
        </w:rPr>
        <w:lastRenderedPageBreak/>
        <w:t>occurs, there is no need to reserve rights to deny on other grounds, because a proper denial indicates that no coverage exists, such that the carrier has no further duty under the policy.</w:t>
      </w:r>
      <w:r w:rsidRPr="00A07AFF">
        <w:rPr>
          <w:rFonts w:ascii="Century Schoolbook" w:eastAsia="Times New Roman" w:hAnsi="Century Schoolbook" w:cs="Times New Roman"/>
          <w:vertAlign w:val="superscript"/>
        </w:rPr>
        <w:endnoteReference w:id="98"/>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E83C3B" w:rsidP="00A07AFF">
      <w:pPr>
        <w:spacing w:after="0" w:line="240" w:lineRule="auto"/>
        <w:ind w:firstLine="360"/>
        <w:jc w:val="both"/>
        <w:rPr>
          <w:rFonts w:ascii="Century Schoolbook" w:eastAsia="Times New Roman" w:hAnsi="Century Schoolbook" w:cs="Times New Roman"/>
          <w:vertAlign w:val="subscript"/>
        </w:rPr>
      </w:pPr>
      <w:r w:rsidRPr="00A07AFF">
        <w:rPr>
          <w:rFonts w:ascii="Century Schoolbook" w:eastAsia="Times New Roman" w:hAnsi="Century Schoolbook" w:cs="Times New Roman"/>
        </w:rPr>
        <w:t>T</w:t>
      </w:r>
      <w:r w:rsidR="00184A52" w:rsidRPr="00A07AFF">
        <w:rPr>
          <w:rFonts w:ascii="Century Schoolbook" w:eastAsia="Times New Roman" w:hAnsi="Century Schoolbook" w:cs="Times New Roman"/>
        </w:rPr>
        <w:t xml:space="preserve">he </w:t>
      </w:r>
      <w:r w:rsidR="00184A52" w:rsidRPr="00A07AFF">
        <w:rPr>
          <w:rFonts w:ascii="Century Schoolbook" w:eastAsia="Times New Roman" w:hAnsi="Century Schoolbook" w:cs="Times New Roman"/>
          <w:i/>
        </w:rPr>
        <w:t>Hoover</w:t>
      </w:r>
      <w:r w:rsidR="00184A52" w:rsidRPr="00A07AFF">
        <w:rPr>
          <w:rFonts w:ascii="Century Schoolbook" w:eastAsia="Times New Roman" w:hAnsi="Century Schoolbook" w:cs="Times New Roman"/>
        </w:rPr>
        <w:t xml:space="preserve"> court also stated that “Maxum’s denial letter purporting to reserve its rights to later assert certain defenses was </w:t>
      </w:r>
      <w:r w:rsidR="00184A52" w:rsidRPr="00A07AFF">
        <w:rPr>
          <w:rFonts w:ascii="Century Schoolbook" w:eastAsia="Times New Roman" w:hAnsi="Century Schoolbook" w:cs="Times New Roman"/>
          <w:u w:val="single"/>
        </w:rPr>
        <w:t>not</w:t>
      </w:r>
      <w:r w:rsidR="00184A52" w:rsidRPr="00A07AFF">
        <w:rPr>
          <w:rFonts w:ascii="Century Schoolbook" w:eastAsia="Times New Roman" w:hAnsi="Century Schoolbook" w:cs="Times New Roman"/>
        </w:rPr>
        <w:t xml:space="preserve"> a reservation of rights in the sense that term is used in the insurance industry.”</w:t>
      </w:r>
      <w:r w:rsidR="00184A52" w:rsidRPr="00A07AFF">
        <w:rPr>
          <w:rFonts w:ascii="Century Schoolbook" w:eastAsia="Times New Roman" w:hAnsi="Century Schoolbook" w:cs="Times New Roman"/>
          <w:vertAlign w:val="superscript"/>
        </w:rPr>
        <w:endnoteReference w:id="99"/>
      </w:r>
      <w:r w:rsidR="00184A52" w:rsidRPr="00A07AFF">
        <w:rPr>
          <w:rFonts w:ascii="Century Schoolbook" w:eastAsia="Times New Roman" w:hAnsi="Century Schoolbook" w:cs="Times New Roman"/>
        </w:rPr>
        <w:t xml:space="preserve">  The court disagreed with the dissent’s claim that a reservation of rights within a denial letter is a standard and acceptable means for the insurer to reserve its rights determining that this is a misstatement of the law.</w:t>
      </w:r>
      <w:r w:rsidR="00184A52" w:rsidRPr="00A07AFF">
        <w:rPr>
          <w:rFonts w:ascii="Century Schoolbook" w:eastAsia="Times New Roman" w:hAnsi="Century Schoolbook" w:cs="Times New Roman"/>
          <w:vertAlign w:val="superscript"/>
        </w:rPr>
        <w:endnoteReference w:id="100"/>
      </w:r>
      <w:r w:rsidR="00184A52" w:rsidRPr="00A07AFF">
        <w:rPr>
          <w:rFonts w:ascii="Century Schoolbook" w:eastAsia="Times New Roman" w:hAnsi="Century Schoolbook" w:cs="Times New Roman"/>
        </w:rPr>
        <w:t xml:space="preserve">  Rather, the majority asserted that under Georgia’s seminal reservation of rights case, </w:t>
      </w:r>
      <w:r w:rsidR="00184A52" w:rsidRPr="00A07AFF">
        <w:rPr>
          <w:rFonts w:ascii="Century Schoolbook" w:eastAsia="Times New Roman" w:hAnsi="Century Schoolbook" w:cs="Times New Roman"/>
          <w:i/>
        </w:rPr>
        <w:t>Richmond</w:t>
      </w:r>
      <w:r w:rsidR="00184A52" w:rsidRPr="00A07AFF">
        <w:rPr>
          <w:rFonts w:ascii="Century Schoolbook" w:eastAsia="Times New Roman" w:hAnsi="Century Schoolbook" w:cs="Times New Roman"/>
        </w:rPr>
        <w:t>,</w:t>
      </w:r>
      <w:r w:rsidR="00184A52" w:rsidRPr="00A07AFF">
        <w:rPr>
          <w:rFonts w:ascii="Century Schoolbook" w:eastAsia="Times New Roman" w:hAnsi="Century Schoolbook" w:cs="Times New Roman"/>
          <w:vertAlign w:val="superscript"/>
        </w:rPr>
        <w:endnoteReference w:id="101"/>
      </w:r>
      <w:r w:rsidR="00184A52" w:rsidRPr="00A07AFF">
        <w:rPr>
          <w:rFonts w:ascii="Century Schoolbook" w:eastAsia="Times New Roman" w:hAnsi="Century Schoolbook" w:cs="Times New Roman"/>
        </w:rPr>
        <w:t xml:space="preserve"> “the standard and acceptable procedure for an insurer to determine its rights is to </w:t>
      </w:r>
      <w:r w:rsidR="00184A52" w:rsidRPr="00A07AFF">
        <w:rPr>
          <w:rFonts w:ascii="Century Schoolbook" w:eastAsia="Times New Roman" w:hAnsi="Century Schoolbook" w:cs="Times New Roman"/>
          <w:i/>
        </w:rPr>
        <w:t>agree to defend</w:t>
      </w:r>
      <w:r w:rsidR="00184A52" w:rsidRPr="00A07AFF">
        <w:rPr>
          <w:rFonts w:ascii="Century Schoolbook" w:eastAsia="Times New Roman" w:hAnsi="Century Schoolbook" w:cs="Times New Roman"/>
        </w:rPr>
        <w:t xml:space="preserve"> under a reservation of rights and then file a declaratory judgment action.”</w:t>
      </w:r>
      <w:r w:rsidR="00184A52" w:rsidRPr="00A07AFF">
        <w:rPr>
          <w:rFonts w:ascii="Century Schoolbook" w:eastAsia="Times New Roman" w:hAnsi="Century Schoolbook" w:cs="Times New Roman"/>
          <w:vertAlign w:val="superscript"/>
        </w:rPr>
        <w:endnoteReference w:id="102"/>
      </w:r>
      <w:r w:rsidR="00184A52" w:rsidRPr="00A07AFF">
        <w:rPr>
          <w:rFonts w:ascii="Century Schoolbook" w:eastAsia="Times New Roman" w:hAnsi="Century Schoolbook" w:cs="Times New Roman"/>
        </w:rPr>
        <w:t xml:space="preserve">  Moreover, the court held that a reservation of rights does not permit an insurer who has denied coverage to continually investigate a claim and subsequently raise additional coverage defenses.</w:t>
      </w:r>
      <w:r w:rsidR="00184A52" w:rsidRPr="00A07AFF">
        <w:rPr>
          <w:rFonts w:ascii="Century Schoolbook" w:eastAsia="Times New Roman" w:hAnsi="Century Schoolbook" w:cs="Times New Roman"/>
          <w:vertAlign w:val="superscript"/>
        </w:rPr>
        <w:endnoteReference w:id="103"/>
      </w:r>
      <w:r w:rsidR="00184A52" w:rsidRPr="00A07AFF">
        <w:rPr>
          <w:rFonts w:ascii="Century Schoolbook" w:eastAsia="Times New Roman" w:hAnsi="Century Schoolbook" w:cs="Times New Roman"/>
        </w:rPr>
        <w:t xml:space="preserve">  Instead, the reservation of right’s purpose is to protect both the insured and the insurer by allowing the latter who is uncertain of its coverage defenses to defend the insured while reserving its rights to ultimately deny coverage following its investigations, or to file a declaratory judgment action concerning its coverage obligations.</w:t>
      </w:r>
      <w:r w:rsidR="00184A52" w:rsidRPr="00A07AFF">
        <w:rPr>
          <w:rFonts w:ascii="Century Schoolbook" w:eastAsia="Times New Roman" w:hAnsi="Century Schoolbook" w:cs="Times New Roman"/>
          <w:vertAlign w:val="superscript"/>
        </w:rPr>
        <w:endnoteReference w:id="104"/>
      </w:r>
      <w:r w:rsidR="00184A52"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Under these principles, the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court determined that Maxum’s reservation of the rights to deny coverage under the late notice provision was invalid.  The fact that Maxum had not cited the notice provision in a declaratory judgment coverage action filed after claim denial (which was dismissed), and </w:t>
      </w:r>
      <w:r w:rsidRPr="00A07AFF">
        <w:rPr>
          <w:rFonts w:ascii="Century Schoolbook" w:eastAsia="Times New Roman" w:hAnsi="Century Schoolbook" w:cs="Times New Roman"/>
        </w:rPr>
        <w:lastRenderedPageBreak/>
        <w:t xml:space="preserve">similarly failed to raise it in its summary judgment action filed in the underlying tort action, was also noted by the court.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One Georgia Supreme Court justice dissented from the majority’s opinion, asserting that it was a misstatement of law which created a new rule contrary to established Georgia precedent and to the majority rule.</w:t>
      </w:r>
      <w:r w:rsidRPr="00A07AFF">
        <w:rPr>
          <w:rFonts w:ascii="Century Schoolbook" w:eastAsia="Times New Roman" w:hAnsi="Century Schoolbook" w:cs="Times New Roman"/>
          <w:vertAlign w:val="superscript"/>
        </w:rPr>
        <w:endnoteReference w:id="105"/>
      </w:r>
      <w:r w:rsidRPr="00A07AFF">
        <w:rPr>
          <w:rFonts w:ascii="Century Schoolbook" w:eastAsia="Times New Roman" w:hAnsi="Century Schoolbook" w:cs="Times New Roman"/>
        </w:rPr>
        <w:t xml:space="preserve">  The dissent noted that at least seven other jurisdictions hold that an insurer does not waive a coverage defense simply because it was not contained in the insurer’s declination of coverage letter.</w:t>
      </w:r>
      <w:r w:rsidRPr="00A07AFF">
        <w:rPr>
          <w:rFonts w:ascii="Century Schoolbook" w:eastAsia="Times New Roman" w:hAnsi="Century Schoolbook" w:cs="Times New Roman"/>
          <w:vertAlign w:val="superscript"/>
        </w:rPr>
        <w:endnoteReference w:id="106"/>
      </w:r>
      <w:r w:rsidRPr="00A07AFF">
        <w:rPr>
          <w:rFonts w:ascii="Century Schoolbook" w:eastAsia="Times New Roman" w:hAnsi="Century Schoolbook" w:cs="Times New Roman"/>
        </w:rPr>
        <w:t xml:space="preserve">  In fact, one California court addressing the issue held that “of the 33 sister states to consider the issue, 32 agree” that “[a]n insurer does not impliedly waive coverage defenses it fails to mention when it denies a claim.”</w:t>
      </w:r>
      <w:r w:rsidRPr="00A07AFF">
        <w:rPr>
          <w:rFonts w:ascii="Century Schoolbook" w:eastAsia="Times New Roman" w:hAnsi="Century Schoolbook" w:cs="Times New Roman"/>
          <w:vertAlign w:val="superscript"/>
        </w:rPr>
        <w:endnoteReference w:id="107"/>
      </w:r>
      <w:r w:rsidRPr="00A07AFF">
        <w:rPr>
          <w:rFonts w:ascii="Century Schoolbook" w:eastAsia="Times New Roman" w:hAnsi="Century Schoolbook" w:cs="Times New Roman"/>
        </w:rPr>
        <w:t xml:space="preserve">     </w:t>
      </w:r>
    </w:p>
    <w:p w:rsidR="00A07AFF" w:rsidRDefault="00A07AFF" w:rsidP="00A07AFF">
      <w:pPr>
        <w:spacing w:after="0" w:line="240" w:lineRule="auto"/>
        <w:jc w:val="center"/>
        <w:rPr>
          <w:rFonts w:ascii="Century Schoolbook" w:eastAsia="Times New Roman" w:hAnsi="Century Schoolbook" w:cs="Times New Roman"/>
          <w:b/>
        </w:rPr>
      </w:pPr>
    </w:p>
    <w:p w:rsidR="00184A52" w:rsidRPr="00A07AFF" w:rsidRDefault="00184A52" w:rsidP="00A07AFF">
      <w:pPr>
        <w:spacing w:after="0" w:line="240" w:lineRule="auto"/>
        <w:jc w:val="center"/>
        <w:rPr>
          <w:rFonts w:ascii="Century Schoolbook" w:eastAsia="Times New Roman" w:hAnsi="Century Schoolbook" w:cs="Times New Roman"/>
          <w:b/>
        </w:rPr>
      </w:pPr>
      <w:r w:rsidRPr="001722DB">
        <w:rPr>
          <w:rFonts w:ascii="Century Schoolbook" w:eastAsia="Times New Roman" w:hAnsi="Century Schoolbook" w:cs="Times New Roman"/>
          <w:b/>
        </w:rPr>
        <w:t>B.  An Insurer Is Limited to the Grounds Set Forth in Its Declination of Coverage, Even if It First Obtained a B</w:t>
      </w:r>
      <w:r w:rsidR="00341BCB" w:rsidRPr="001722DB">
        <w:rPr>
          <w:rFonts w:ascii="Century Schoolbook" w:eastAsia="Times New Roman" w:hAnsi="Century Schoolbook" w:cs="Times New Roman"/>
          <w:b/>
        </w:rPr>
        <w:t>i-Lateral Reservation of Rights</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On January 25, 2013, the United States District Court for the Northern District of Georgia, in </w:t>
      </w:r>
      <w:r w:rsidRPr="00A07AFF">
        <w:rPr>
          <w:rFonts w:ascii="Century Schoolbook" w:eastAsia="Times New Roman" w:hAnsi="Century Schoolbook" w:cs="Times New Roman"/>
          <w:i/>
        </w:rPr>
        <w:t>Moon v. Cincinnati Insurance Co.</w:t>
      </w:r>
      <w:r w:rsidRPr="00A07AFF">
        <w:rPr>
          <w:rFonts w:ascii="Century Schoolbook" w:eastAsia="Times New Roman" w:hAnsi="Century Schoolbook" w:cs="Times New Roman"/>
        </w:rPr>
        <w:t>, addressed whether an insurer who initially bi-laterally reserves its right to deny coverage and then subsequently denies coverage waives all defenses to coverage not relied upon in the declination.</w:t>
      </w:r>
      <w:r w:rsidRPr="00A07AFF">
        <w:rPr>
          <w:rFonts w:ascii="Century Schoolbook" w:eastAsia="Times New Roman" w:hAnsi="Century Schoolbook" w:cs="Times New Roman"/>
          <w:vertAlign w:val="superscript"/>
        </w:rPr>
        <w:endnoteReference w:id="108"/>
      </w:r>
      <w:r w:rsidRPr="00A07AFF">
        <w:rPr>
          <w:rFonts w:ascii="Century Schoolbook" w:eastAsia="Times New Roman" w:hAnsi="Century Schoolbook" w:cs="Times New Roman"/>
        </w:rPr>
        <w:t xml:space="preserve">  In </w:t>
      </w:r>
      <w:r w:rsidRPr="00A07AFF">
        <w:rPr>
          <w:rFonts w:ascii="Century Schoolbook" w:eastAsia="Times New Roman" w:hAnsi="Century Schoolbook" w:cs="Times New Roman"/>
          <w:i/>
        </w:rPr>
        <w:t>Moon</w:t>
      </w:r>
      <w:r w:rsidRPr="00A07AFF">
        <w:rPr>
          <w:rFonts w:ascii="Century Schoolbook" w:eastAsia="Times New Roman" w:hAnsi="Century Schoolbook" w:cs="Times New Roman"/>
        </w:rPr>
        <w:t>, Cincinnati Insurance Company (“Cincinnati”) had issued a property insurance policy to Terry Moon, the owner of a rental property in which Shawn and Tanya Moon resided.  Tanya Moon was babysitting several children on March 19, 2009, at the rental property, when a two-year-old child drowned in the swimming pool.  The child’s parents and estate filed a lawsuit against the Moons as a result.</w:t>
      </w:r>
      <w:r w:rsidRPr="00A07AFF">
        <w:rPr>
          <w:rFonts w:ascii="Century Schoolbook" w:eastAsia="Times New Roman" w:hAnsi="Century Schoolbook" w:cs="Times New Roman"/>
          <w:vertAlign w:val="superscript"/>
        </w:rPr>
        <w:endnoteReference w:id="109"/>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lastRenderedPageBreak/>
        <w:t>The policy insuring the rental property provided coverage for both the named insured and “any person while acting as [the named insured’s] real estate manager.”</w:t>
      </w:r>
      <w:r w:rsidRPr="00A07AFF">
        <w:rPr>
          <w:rFonts w:ascii="Century Schoolbook" w:eastAsia="Times New Roman" w:hAnsi="Century Schoolbook" w:cs="Times New Roman"/>
          <w:vertAlign w:val="superscript"/>
        </w:rPr>
        <w:endnoteReference w:id="110"/>
      </w:r>
      <w:r w:rsidRPr="00A07AFF">
        <w:rPr>
          <w:rFonts w:ascii="Century Schoolbook" w:eastAsia="Times New Roman" w:hAnsi="Century Schoolbook" w:cs="Times New Roman"/>
        </w:rPr>
        <w:t xml:space="preserve">  Cincinnati originally defended Shawn and Tanya Moon under a bilateral reservation of rights letter, which they signed.  Cincinnati subsequently denied coverage, contending that Shawn and Tanya Moon were not insureds through their relationship with Terry Moon, the property’s owner.</w:t>
      </w:r>
      <w:r w:rsidRPr="00A07AFF">
        <w:rPr>
          <w:rFonts w:ascii="Century Schoolbook" w:eastAsia="Times New Roman" w:hAnsi="Century Schoolbook" w:cs="Times New Roman"/>
          <w:vertAlign w:val="superscript"/>
        </w:rPr>
        <w:endnoteReference w:id="111"/>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The trial of the underlying lawsuit resulted in a total judgment of $9,850,000 of which $956,335.61 was prejudgment interest.  The jury apportioned fault among the defendants and found Tanya Moon to be 50 percent at fault, Shawn Moon to be 28 percent at fault, and Terry Moon to be 22 percent at fault.  Subsequent to the entry of judgment, Shawn and Tanya Moon filed a declaratory judgment action against Cincinnati, claiming that Cincinnati’s coverage denial was in bad faith and that Cincinnati had breached its insurance contract.  The Moons sought to recover punitive damages and attorneys’ fees.</w:t>
      </w:r>
      <w:r w:rsidRPr="00A07AFF">
        <w:rPr>
          <w:rFonts w:ascii="Century Schoolbook" w:eastAsia="Times New Roman" w:hAnsi="Century Schoolbook" w:cs="Times New Roman"/>
          <w:vertAlign w:val="superscript"/>
        </w:rPr>
        <w:endnoteReference w:id="112"/>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The Moons filed a motion for summary judgment, asserting that: (1) Cincinnati had waived all coverage defenses not contained within its declination of coverage letter, and (2) Cincinnati owed the duty to defend Shawn and Tanya Moon, due to the wording of the underlying lawsuit’s Complaint.  Cincinnati claimed it did not waive any coverage defenses, because all defenses were sufficiently reserved in its bilateral reservation of rights agreement with the Moons.  Cincinnati further asserted that it had no duty to defend Shawn or Tanya Moon, because they were not the “real estate managers” of the named insured, </w:t>
      </w:r>
      <w:r w:rsidRPr="00A07AFF">
        <w:rPr>
          <w:rFonts w:ascii="Century Schoolbook" w:eastAsia="Times New Roman" w:hAnsi="Century Schoolbook" w:cs="Times New Roman"/>
        </w:rPr>
        <w:lastRenderedPageBreak/>
        <w:t>and there was no indication to the contrary in the underlying complaint.</w:t>
      </w:r>
      <w:r w:rsidRPr="00A07AFF">
        <w:rPr>
          <w:rFonts w:ascii="Century Schoolbook" w:eastAsia="Times New Roman" w:hAnsi="Century Schoolbook" w:cs="Times New Roman"/>
          <w:vertAlign w:val="superscript"/>
        </w:rPr>
        <w:endnoteReference w:id="113"/>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Relying upon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the northern district concluded that Cincinnati was limited to the single reason upon which it had denied coverage and could not rely upon the additional grounds which were reserved in its initial reservation of rights letter.</w:t>
      </w:r>
      <w:r w:rsidRPr="00A07AFF">
        <w:rPr>
          <w:rFonts w:ascii="Century Schoolbook" w:eastAsia="Times New Roman" w:hAnsi="Century Schoolbook" w:cs="Times New Roman"/>
          <w:vertAlign w:val="superscript"/>
        </w:rPr>
        <w:endnoteReference w:id="114"/>
      </w:r>
      <w:r w:rsidRPr="00A07AFF">
        <w:rPr>
          <w:rFonts w:ascii="Century Schoolbook" w:eastAsia="Times New Roman" w:hAnsi="Century Schoolbook" w:cs="Times New Roman"/>
        </w:rPr>
        <w:t xml:space="preserve">  Cincinnati argued that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was inapplicable because Cincinnati had first obtained the residents’ consent to the defense and non-waiver agreement through the bilateral reservation of rights letter which stated</w:t>
      </w:r>
      <w:r w:rsidRPr="00A07AFF">
        <w:rPr>
          <w:rFonts w:ascii="Century Schoolbook" w:eastAsia="Times New Roman" w:hAnsi="Century Schoolbook" w:cs="Times New Roman"/>
          <w:vertAlign w:val="superscript"/>
        </w:rPr>
        <w:endnoteReference w:id="115"/>
      </w:r>
      <w:r w:rsidRPr="00A07AFF">
        <w:rPr>
          <w:rFonts w:ascii="Century Schoolbook" w:eastAsia="Times New Roman" w:hAnsi="Century Schoolbook" w:cs="Times New Roman"/>
        </w:rPr>
        <w:t xml:space="preserve">: </w:t>
      </w:r>
    </w:p>
    <w:p w:rsidR="00A07AFF" w:rsidRP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left="720" w:right="72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[Cincinnati will] proceed to conduct an investigation into all matters surrounding the allegations of the said Complaint and may undertake the defense of [the Moons] to all allegations of the said Complaint, without prejudice to the rights of the Company, if in fact it has such rights, to later contest any assertion that the insurance coverage provided by the said policies is applicable to the claims made by the [plaintiffs in the underlying lawsuit], to deny liability under the policies with respect to the claims made by the Plaintiffs or to refuse to pay any judgment . . . it is further understood and agreed that no action taken by the Company . . . shall be construed as a waiver by the Company of any terms or conditions of the said policies of insurance or of any rights which the </w:t>
      </w:r>
      <w:r w:rsidRPr="00A07AFF">
        <w:rPr>
          <w:rFonts w:ascii="Century Schoolbook" w:eastAsia="Times New Roman" w:hAnsi="Century Schoolbook" w:cs="Times New Roman"/>
        </w:rPr>
        <w:lastRenderedPageBreak/>
        <w:t>Company may had to deny liability or obligation to [Plaintiffs] under the said policies.</w:t>
      </w:r>
      <w:r w:rsidRPr="00A07AFF">
        <w:rPr>
          <w:rFonts w:ascii="Century Schoolbook" w:eastAsia="Times New Roman" w:hAnsi="Century Schoolbook" w:cs="Times New Roman"/>
          <w:vertAlign w:val="superscript"/>
        </w:rPr>
        <w:endnoteReference w:id="116"/>
      </w:r>
      <w:r w:rsidRPr="00A07AFF">
        <w:rPr>
          <w:rFonts w:ascii="Century Schoolbook" w:eastAsia="Times New Roman" w:hAnsi="Century Schoolbook" w:cs="Times New Roman"/>
        </w:rPr>
        <w:t xml:space="preserve">  </w:t>
      </w:r>
    </w:p>
    <w:p w:rsidR="00A07AFF" w:rsidRDefault="00A07AFF" w:rsidP="00A07AFF">
      <w:pPr>
        <w:spacing w:after="0" w:line="240" w:lineRule="auto"/>
        <w:jc w:val="both"/>
        <w:rPr>
          <w:rFonts w:ascii="Century Schoolbook" w:eastAsia="Times New Roman" w:hAnsi="Century Schoolbook" w:cs="Times New Roman"/>
        </w:rPr>
      </w:pPr>
    </w:p>
    <w:p w:rsidR="00184A52" w:rsidRPr="00A07AFF" w:rsidRDefault="00184A52" w:rsidP="00A07AFF">
      <w:pPr>
        <w:spacing w:after="0" w:line="240" w:lineRule="auto"/>
        <w:jc w:val="both"/>
        <w:rPr>
          <w:rFonts w:ascii="Century Schoolbook" w:eastAsia="Times New Roman" w:hAnsi="Century Schoolbook" w:cs="Times New Roman"/>
        </w:rPr>
      </w:pPr>
      <w:r w:rsidRPr="00A07AFF">
        <w:rPr>
          <w:rFonts w:ascii="Century Schoolbook" w:eastAsia="Times New Roman" w:hAnsi="Century Schoolbook" w:cs="Times New Roman"/>
        </w:rPr>
        <w:t>The court agreed that the residents’ acquiescence to this language established that Cincinnati did not waive its right to deny coverage when it initially agreed to defend.</w:t>
      </w:r>
      <w:r w:rsidRPr="00A07AFF">
        <w:rPr>
          <w:rFonts w:ascii="Century Schoolbook" w:eastAsia="Times New Roman" w:hAnsi="Century Schoolbook" w:cs="Times New Roman"/>
          <w:vertAlign w:val="superscript"/>
        </w:rPr>
        <w:endnoteReference w:id="117"/>
      </w:r>
      <w:r w:rsidRPr="00A07AFF">
        <w:rPr>
          <w:rFonts w:ascii="Century Schoolbook" w:eastAsia="Times New Roman" w:hAnsi="Century Schoolbook" w:cs="Times New Roman"/>
        </w:rPr>
        <w:t xml:space="preserve">  In fact, the court found that these reservations of rights were equivalent to those discussed in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which stated that a reservation of rights “is designed to allow an insurer to provide a defense to its insured while still preserving the option of litigating and ultimately denying coverage.”</w:t>
      </w:r>
      <w:r w:rsidRPr="00A07AFF">
        <w:rPr>
          <w:rFonts w:ascii="Century Schoolbook" w:eastAsia="Times New Roman" w:hAnsi="Century Schoolbook" w:cs="Times New Roman"/>
          <w:vertAlign w:val="superscript"/>
        </w:rPr>
        <w:endnoteReference w:id="118"/>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However, the </w:t>
      </w:r>
      <w:r w:rsidRPr="00A07AFF">
        <w:rPr>
          <w:rFonts w:ascii="Century Schoolbook" w:eastAsia="Times New Roman" w:hAnsi="Century Schoolbook" w:cs="Times New Roman"/>
          <w:i/>
        </w:rPr>
        <w:t>Moon</w:t>
      </w:r>
      <w:r w:rsidRPr="00A07AFF">
        <w:rPr>
          <w:rFonts w:ascii="Century Schoolbook" w:eastAsia="Times New Roman" w:hAnsi="Century Schoolbook" w:cs="Times New Roman"/>
        </w:rPr>
        <w:t xml:space="preserve"> court then held that once Cincinnati had denied coverage and refused to defend, Cincinnati’s denial fell within the purview and restrictions of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w:t>
      </w:r>
      <w:r w:rsidRPr="00A07AFF">
        <w:rPr>
          <w:rFonts w:ascii="Century Schoolbook" w:eastAsia="Times New Roman" w:hAnsi="Century Schoolbook" w:cs="Times New Roman"/>
          <w:vertAlign w:val="superscript"/>
        </w:rPr>
        <w:endnoteReference w:id="119"/>
      </w:r>
      <w:r w:rsidRPr="00A07AFF">
        <w:rPr>
          <w:rFonts w:ascii="Century Schoolbook" w:eastAsia="Times New Roman" w:hAnsi="Century Schoolbook" w:cs="Times New Roman"/>
        </w:rPr>
        <w:t xml:space="preserve">  The </w:t>
      </w:r>
      <w:r w:rsidRPr="00A07AFF">
        <w:rPr>
          <w:rFonts w:ascii="Century Schoolbook" w:eastAsia="Times New Roman" w:hAnsi="Century Schoolbook" w:cs="Times New Roman"/>
          <w:i/>
        </w:rPr>
        <w:t>Moon</w:t>
      </w:r>
      <w:r w:rsidRPr="00A07AFF">
        <w:rPr>
          <w:rFonts w:ascii="Century Schoolbook" w:eastAsia="Times New Roman" w:hAnsi="Century Schoolbook" w:cs="Times New Roman"/>
        </w:rPr>
        <w:t xml:space="preserve"> court noted that Cincinnati had the option to continue to reserve its right to deny coverage and file a declaratory judgment action seeking a determination of its rights under the policy.  Instead, Cincinnati chose to deny coverage outright.</w:t>
      </w:r>
      <w:r w:rsidRPr="00A07AFF">
        <w:rPr>
          <w:rFonts w:ascii="Century Schoolbook" w:eastAsia="Times New Roman" w:hAnsi="Century Schoolbook" w:cs="Times New Roman"/>
          <w:vertAlign w:val="superscript"/>
        </w:rPr>
        <w:endnoteReference w:id="120"/>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“Thus, the reservation of rights was extinguished when Cincinnati denied coverage because a reservation ‘does not exist so that an insurer who has </w:t>
      </w:r>
      <w:r w:rsidRPr="00A07AFF">
        <w:rPr>
          <w:rFonts w:ascii="Century Schoolbook" w:eastAsia="Times New Roman" w:hAnsi="Century Schoolbook" w:cs="Times New Roman"/>
          <w:i/>
        </w:rPr>
        <w:t>denied coverage</w:t>
      </w:r>
      <w:r w:rsidRPr="00A07AFF">
        <w:rPr>
          <w:rFonts w:ascii="Century Schoolbook" w:eastAsia="Times New Roman" w:hAnsi="Century Schoolbook" w:cs="Times New Roman"/>
        </w:rPr>
        <w:t xml:space="preserve"> may continue to investigate to come up with additional reasons on which the denial could be based.’”</w:t>
      </w:r>
      <w:r w:rsidRPr="00A07AFF">
        <w:rPr>
          <w:rFonts w:ascii="Century Schoolbook" w:eastAsia="Times New Roman" w:hAnsi="Century Schoolbook" w:cs="Times New Roman"/>
          <w:vertAlign w:val="superscript"/>
        </w:rPr>
        <w:endnoteReference w:id="121"/>
      </w:r>
      <w:r w:rsidRPr="00A07AFF">
        <w:rPr>
          <w:rFonts w:ascii="Century Schoolbook" w:eastAsia="Times New Roman" w:hAnsi="Century Schoolbook" w:cs="Times New Roman"/>
        </w:rPr>
        <w:t xml:space="preserve">  Therefore, Cincinnati was not permitted to deny coverage on certain grounds and reserve its right to deny coverage on others.  Rather, Cincinnati was limited to the grounds of non-coverage that it had relied upon in its declination of coverage.</w:t>
      </w:r>
      <w:r w:rsidRPr="00A07AFF">
        <w:rPr>
          <w:rFonts w:ascii="Century Schoolbook" w:eastAsia="Times New Roman" w:hAnsi="Century Schoolbook" w:cs="Times New Roman"/>
          <w:vertAlign w:val="superscript"/>
        </w:rPr>
        <w:endnoteReference w:id="122"/>
      </w:r>
      <w:r w:rsidRPr="00A07AFF">
        <w:rPr>
          <w:rFonts w:ascii="Century Schoolbook" w:eastAsia="Times New Roman" w:hAnsi="Century Schoolbook" w:cs="Times New Roman"/>
        </w:rPr>
        <w:t xml:space="preserve">  </w:t>
      </w:r>
    </w:p>
    <w:p w:rsidR="00A07AFF" w:rsidRDefault="00A07AFF" w:rsidP="00A07AFF">
      <w:pPr>
        <w:spacing w:after="0" w:line="240" w:lineRule="auto"/>
        <w:jc w:val="center"/>
        <w:rPr>
          <w:rFonts w:ascii="Century Schoolbook" w:eastAsia="Times New Roman" w:hAnsi="Century Schoolbook" w:cs="Times New Roman"/>
          <w:b/>
        </w:rPr>
      </w:pPr>
    </w:p>
    <w:p w:rsidR="00D64F42" w:rsidRDefault="00D64F42" w:rsidP="00A07AFF">
      <w:pPr>
        <w:spacing w:after="0" w:line="240" w:lineRule="auto"/>
        <w:jc w:val="center"/>
        <w:rPr>
          <w:rFonts w:ascii="Century Schoolbook" w:eastAsia="Times New Roman" w:hAnsi="Century Schoolbook" w:cs="Times New Roman"/>
          <w:b/>
        </w:rPr>
      </w:pPr>
    </w:p>
    <w:p w:rsidR="00D64F42" w:rsidRDefault="00D64F42" w:rsidP="00A07AFF">
      <w:pPr>
        <w:spacing w:after="0" w:line="240" w:lineRule="auto"/>
        <w:jc w:val="center"/>
        <w:rPr>
          <w:rFonts w:ascii="Century Schoolbook" w:eastAsia="Times New Roman" w:hAnsi="Century Schoolbook" w:cs="Times New Roman"/>
          <w:b/>
        </w:rPr>
      </w:pPr>
    </w:p>
    <w:p w:rsidR="00D64F42" w:rsidRDefault="00D64F42" w:rsidP="00A07AFF">
      <w:pPr>
        <w:spacing w:after="0" w:line="240" w:lineRule="auto"/>
        <w:jc w:val="center"/>
        <w:rPr>
          <w:rFonts w:ascii="Century Schoolbook" w:eastAsia="Times New Roman" w:hAnsi="Century Schoolbook" w:cs="Times New Roman"/>
          <w:b/>
        </w:rPr>
      </w:pPr>
    </w:p>
    <w:p w:rsidR="00341BCB" w:rsidRPr="00A07AFF" w:rsidRDefault="00184A52" w:rsidP="00A07AFF">
      <w:pPr>
        <w:spacing w:after="0" w:line="240" w:lineRule="auto"/>
        <w:jc w:val="center"/>
        <w:rPr>
          <w:rFonts w:ascii="Century Schoolbook" w:eastAsia="Times New Roman" w:hAnsi="Century Schoolbook" w:cs="Times New Roman"/>
          <w:b/>
        </w:rPr>
      </w:pPr>
      <w:r w:rsidRPr="00A07AFF">
        <w:rPr>
          <w:rFonts w:ascii="Century Schoolbook" w:eastAsia="Times New Roman" w:hAnsi="Century Schoolbook" w:cs="Times New Roman"/>
          <w:b/>
        </w:rPr>
        <w:lastRenderedPageBreak/>
        <w:t xml:space="preserve">C.  Hoover’s and Moon’s Limitations </w:t>
      </w:r>
    </w:p>
    <w:p w:rsidR="00341BCB" w:rsidRPr="00A07AFF" w:rsidRDefault="00184A52" w:rsidP="00A07AFF">
      <w:pPr>
        <w:spacing w:after="0" w:line="240" w:lineRule="auto"/>
        <w:jc w:val="center"/>
        <w:rPr>
          <w:rFonts w:ascii="Century Schoolbook" w:eastAsia="Times New Roman" w:hAnsi="Century Schoolbook" w:cs="Times New Roman"/>
          <w:b/>
        </w:rPr>
      </w:pPr>
      <w:r w:rsidRPr="00A07AFF">
        <w:rPr>
          <w:rFonts w:ascii="Century Schoolbook" w:eastAsia="Times New Roman" w:hAnsi="Century Schoolbook" w:cs="Times New Roman"/>
          <w:b/>
        </w:rPr>
        <w:t>Apply Only to the Duty To Defend,</w:t>
      </w:r>
    </w:p>
    <w:p w:rsidR="00184A52" w:rsidRPr="00A07AFF" w:rsidRDefault="00184A52" w:rsidP="00A07AFF">
      <w:pPr>
        <w:spacing w:after="0" w:line="240" w:lineRule="auto"/>
        <w:jc w:val="center"/>
        <w:rPr>
          <w:rFonts w:ascii="Century Schoolbook" w:eastAsia="Times New Roman" w:hAnsi="Century Schoolbook" w:cs="Times New Roman"/>
          <w:b/>
        </w:rPr>
      </w:pPr>
      <w:r w:rsidRPr="00A07AFF">
        <w:rPr>
          <w:rFonts w:ascii="Century Schoolbook" w:eastAsia="Times New Roman" w:hAnsi="Century Schoolbook" w:cs="Times New Roman"/>
          <w:b/>
        </w:rPr>
        <w:t>Not to the Duty To Indemnify</w:t>
      </w:r>
    </w:p>
    <w:p w:rsidR="00341BCB" w:rsidRPr="00A07AFF" w:rsidRDefault="00341BCB" w:rsidP="00A07AFF">
      <w:pPr>
        <w:spacing w:after="0" w:line="240" w:lineRule="auto"/>
        <w:jc w:val="center"/>
        <w:rPr>
          <w:rFonts w:ascii="Century Schoolbook" w:eastAsia="Times New Roman" w:hAnsi="Century Schoolbook" w:cs="Times New Roman"/>
          <w:b/>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On March 29, 2013, the United States District Court for the Middle District of Georgia, in </w:t>
      </w:r>
      <w:r w:rsidRPr="00A07AFF">
        <w:rPr>
          <w:rFonts w:ascii="Century Schoolbook" w:eastAsia="Times New Roman" w:hAnsi="Century Schoolbook" w:cs="Times New Roman"/>
          <w:i/>
        </w:rPr>
        <w:t>Bank of Camilla v. St. Paul Mercury Insurance Co.</w:t>
      </w:r>
      <w:r w:rsidRPr="00A07AFF">
        <w:rPr>
          <w:rFonts w:ascii="Century Schoolbook" w:eastAsia="Times New Roman" w:hAnsi="Century Schoolbook" w:cs="Times New Roman"/>
        </w:rPr>
        <w:t>, held that an insurer did not waive coverage defenses that it had failed to list in its declination of coverage letter to the insured, where the policy at issue contained only an indemnity obligation and did not include a duty to defend.</w:t>
      </w:r>
      <w:r w:rsidRPr="00A07AFF">
        <w:rPr>
          <w:rFonts w:ascii="Century Schoolbook" w:eastAsia="Times New Roman" w:hAnsi="Century Schoolbook" w:cs="Times New Roman"/>
          <w:vertAlign w:val="superscript"/>
        </w:rPr>
        <w:endnoteReference w:id="123"/>
      </w:r>
      <w:r w:rsidRPr="00A07AFF">
        <w:rPr>
          <w:rFonts w:ascii="Century Schoolbook" w:eastAsia="Times New Roman" w:hAnsi="Century Schoolbook" w:cs="Times New Roman"/>
        </w:rPr>
        <w:t xml:space="preserve">  In </w:t>
      </w:r>
      <w:r w:rsidRPr="00A07AFF">
        <w:rPr>
          <w:rFonts w:ascii="Century Schoolbook" w:eastAsia="Times New Roman" w:hAnsi="Century Schoolbook" w:cs="Times New Roman"/>
          <w:i/>
        </w:rPr>
        <w:t>Bank of Camilla</w:t>
      </w:r>
      <w:r w:rsidRPr="00A07AFF">
        <w:rPr>
          <w:rFonts w:ascii="Century Schoolbook" w:eastAsia="Times New Roman" w:hAnsi="Century Schoolbook" w:cs="Times New Roman"/>
        </w:rPr>
        <w:t>, St. Paul Mercury Insurance Company (“St. Paul”) issued a SelectOne for Community Banks policy providing various coverages to Bank of Camilla, including Management Liability, Employment Practices Liability, Fiduciary Liability, and Bankers Professional Liability.</w:t>
      </w:r>
      <w:r w:rsidRPr="00A07AFF">
        <w:rPr>
          <w:rFonts w:ascii="Century Schoolbook" w:eastAsia="Times New Roman" w:hAnsi="Century Schoolbook" w:cs="Times New Roman"/>
          <w:vertAlign w:val="superscript"/>
        </w:rPr>
        <w:endnoteReference w:id="124"/>
      </w:r>
      <w:r w:rsidRPr="00A07AFF">
        <w:rPr>
          <w:rFonts w:ascii="Century Schoolbook" w:eastAsia="Times New Roman" w:hAnsi="Century Schoolbook" w:cs="Times New Roman"/>
        </w:rPr>
        <w:t xml:space="preserve">  None of these coverages required St. Paul to defend Bank of Camilla.</w:t>
      </w:r>
      <w:r w:rsidRPr="00A07AFF">
        <w:rPr>
          <w:rFonts w:ascii="Century Schoolbook" w:eastAsia="Times New Roman" w:hAnsi="Century Schoolbook" w:cs="Times New Roman"/>
          <w:vertAlign w:val="superscript"/>
        </w:rPr>
        <w:endnoteReference w:id="125"/>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Upon being sued, Bank of Camilla sent a letter to St. Paul demanding payment under its policy.</w:t>
      </w:r>
      <w:r w:rsidRPr="00A07AFF">
        <w:rPr>
          <w:rFonts w:ascii="Century Schoolbook" w:eastAsia="Times New Roman" w:hAnsi="Century Schoolbook" w:cs="Times New Roman"/>
          <w:vertAlign w:val="superscript"/>
        </w:rPr>
        <w:endnoteReference w:id="126"/>
      </w:r>
      <w:r w:rsidRPr="00A07AFF">
        <w:rPr>
          <w:rFonts w:ascii="Century Schoolbook" w:eastAsia="Times New Roman" w:hAnsi="Century Schoolbook" w:cs="Times New Roman"/>
        </w:rPr>
        <w:t xml:space="preserve">  St. Paul refused and issued a declination of coverage letter.  Bank of Camilla settled the underlying lawsuit for $750,000 and sought reimbursement from St. Paul for the amounts which had been expended in the settlement.</w:t>
      </w:r>
      <w:r w:rsidRPr="00A07AFF">
        <w:rPr>
          <w:rFonts w:ascii="Century Schoolbook" w:eastAsia="Times New Roman" w:hAnsi="Century Schoolbook" w:cs="Times New Roman"/>
          <w:vertAlign w:val="superscript"/>
        </w:rPr>
        <w:endnoteReference w:id="127"/>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 In the later insurance litigation, St. Paul raised coverage defenses that it had failed to raise in its declination of coverage to Bank of Camilla.</w:t>
      </w:r>
      <w:r w:rsidRPr="00A07AFF">
        <w:rPr>
          <w:rFonts w:ascii="Century Schoolbook" w:eastAsia="Times New Roman" w:hAnsi="Century Schoolbook" w:cs="Times New Roman"/>
          <w:vertAlign w:val="superscript"/>
        </w:rPr>
        <w:endnoteReference w:id="128"/>
      </w:r>
      <w:r w:rsidRPr="00A07AFF">
        <w:rPr>
          <w:rFonts w:ascii="Century Schoolbook" w:eastAsia="Times New Roman" w:hAnsi="Century Schoolbook" w:cs="Times New Roman"/>
        </w:rPr>
        <w:t xml:space="preserve">  Bank of Camilla, relying upon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argued that St. Paul had waived the right to rely on the coverage defenses which were not stated in its declination of coverage.</w:t>
      </w:r>
      <w:r w:rsidRPr="00A07AFF">
        <w:rPr>
          <w:rFonts w:ascii="Century Schoolbook" w:eastAsia="Times New Roman" w:hAnsi="Century Schoolbook" w:cs="Times New Roman"/>
          <w:vertAlign w:val="superscript"/>
        </w:rPr>
        <w:endnoteReference w:id="129"/>
      </w:r>
      <w:r w:rsidRPr="00A07AFF">
        <w:rPr>
          <w:rFonts w:ascii="Century Schoolbook" w:eastAsia="Times New Roman" w:hAnsi="Century Schoolbook" w:cs="Times New Roman"/>
        </w:rPr>
        <w:t xml:space="preserve">  St. Paul argued that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did not apply because: “(1) the policy in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involved an insurer’s duty to defend rather than simply cover costs, (2) the court in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held that an insurer waived a defense to </w:t>
      </w:r>
      <w:r w:rsidRPr="00A07AFF">
        <w:rPr>
          <w:rFonts w:ascii="Century Schoolbook" w:eastAsia="Times New Roman" w:hAnsi="Century Schoolbook" w:cs="Times New Roman"/>
        </w:rPr>
        <w:lastRenderedPageBreak/>
        <w:t xml:space="preserve">coverage, not that the insurer waived the right show the claim was never covered, and (3) [St. Paul] did not knowingly and intentionally waive any defenses, unlike the insurer in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w:t>
      </w:r>
      <w:r w:rsidRPr="00A07AFF">
        <w:rPr>
          <w:rFonts w:ascii="Century Schoolbook" w:eastAsia="Times New Roman" w:hAnsi="Century Schoolbook" w:cs="Times New Roman"/>
          <w:vertAlign w:val="superscript"/>
        </w:rPr>
        <w:endnoteReference w:id="130"/>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The Middle District of Georgia disagreed with Bank of Camilla’s arguments and found in favor of St. Paul.  The court first discussed the general landscape of Georgia reservation of rights law generally, stating:</w:t>
      </w:r>
    </w:p>
    <w:p w:rsidR="00A07AFF" w:rsidRDefault="00A07AFF" w:rsidP="00A07AFF">
      <w:pPr>
        <w:spacing w:after="0" w:line="240" w:lineRule="auto"/>
        <w:ind w:left="720" w:right="720"/>
        <w:jc w:val="both"/>
        <w:rPr>
          <w:rFonts w:ascii="Century Schoolbook" w:eastAsia="Times New Roman" w:hAnsi="Century Schoolbook" w:cs="Times New Roman"/>
        </w:rPr>
      </w:pPr>
    </w:p>
    <w:p w:rsidR="00184A52" w:rsidRPr="00A07AFF" w:rsidRDefault="00184A52" w:rsidP="00A07AFF">
      <w:pPr>
        <w:spacing w:after="0" w:line="240" w:lineRule="auto"/>
        <w:ind w:left="720" w:right="72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When presented with a demand to defend, the company can either deny the demand or undertake the defense, with the resulting consequences.  “By refusing to defend, the company loses all opportunity to contest the negligence of the insured or the injured person's right to recover, and exposes itself to a charge of and penalty for breach of contract.  By defending, it incurs considerable expense and may waive the claim of immunity.” </w:t>
      </w:r>
      <w:r w:rsidRPr="00A07AFF">
        <w:rPr>
          <w:rFonts w:ascii="Century Schoolbook" w:eastAsia="Times New Roman" w:hAnsi="Century Schoolbook" w:cs="Times New Roman"/>
          <w:i/>
        </w:rPr>
        <w:t>LaSalle Nat. Ins. Co. v. Popham</w:t>
      </w:r>
      <w:r w:rsidRPr="00A07AFF">
        <w:rPr>
          <w:rFonts w:ascii="Century Schoolbook" w:eastAsia="Times New Roman" w:hAnsi="Century Schoolbook" w:cs="Times New Roman"/>
        </w:rPr>
        <w:t>, 125 Ga.App. 724, 188 S.E.2d 870</w:t>
      </w:r>
      <w:r w:rsidR="00341BCB" w:rsidRPr="00A07AFF">
        <w:rPr>
          <w:rFonts w:ascii="Century Schoolbook" w:eastAsia="Times New Roman" w:hAnsi="Century Schoolbook" w:cs="Times New Roman"/>
        </w:rPr>
        <w:t xml:space="preserve"> </w:t>
      </w:r>
      <w:r w:rsidRPr="00A07AFF">
        <w:rPr>
          <w:rFonts w:ascii="Century Schoolbook" w:eastAsia="Times New Roman" w:hAnsi="Century Schoolbook" w:cs="Times New Roman"/>
        </w:rPr>
        <w:t xml:space="preserve">(Ga.Ct.App.1972).  Accordingly, the law provides a procedural remedy to the insurer who is facing this choice.  “A proper and safe course of action for an insurer in this position is to enter upon a defense under a reservation of rights and then proceed to seek a declaratory judgment in its favor.”  </w:t>
      </w:r>
      <w:r w:rsidRPr="00A07AFF">
        <w:rPr>
          <w:rFonts w:ascii="Century Schoolbook" w:eastAsia="Times New Roman" w:hAnsi="Century Schoolbook" w:cs="Times New Roman"/>
          <w:i/>
        </w:rPr>
        <w:t>Richmond v. Ga. Farm Bureau Mut. Ins. Co.</w:t>
      </w:r>
      <w:r w:rsidRPr="00A07AFF">
        <w:rPr>
          <w:rFonts w:ascii="Century Schoolbook" w:eastAsia="Times New Roman" w:hAnsi="Century Schoolbook" w:cs="Times New Roman"/>
        </w:rPr>
        <w:t xml:space="preserve">, 140 </w:t>
      </w:r>
      <w:r w:rsidRPr="00A07AFF">
        <w:rPr>
          <w:rFonts w:ascii="Century Schoolbook" w:eastAsia="Times New Roman" w:hAnsi="Century Schoolbook" w:cs="Times New Roman"/>
        </w:rPr>
        <w:lastRenderedPageBreak/>
        <w:t>Ga.App. 215, 231 S.E.2d 245 (Ga.Ct.App.1976).</w:t>
      </w:r>
      <w:r w:rsidRPr="00A07AFF">
        <w:rPr>
          <w:rFonts w:ascii="Century Schoolbook" w:eastAsia="Times New Roman" w:hAnsi="Century Schoolbook" w:cs="Times New Roman"/>
          <w:vertAlign w:val="superscript"/>
        </w:rPr>
        <w:endnoteReference w:id="131"/>
      </w:r>
    </w:p>
    <w:p w:rsidR="00A07AFF" w:rsidRDefault="00A07AFF" w:rsidP="00A07AFF">
      <w:pPr>
        <w:spacing w:after="0" w:line="240" w:lineRule="auto"/>
        <w:jc w:val="both"/>
        <w:rPr>
          <w:rFonts w:ascii="Century Schoolbook" w:eastAsia="Times New Roman" w:hAnsi="Century Schoolbook" w:cs="Times New Roman"/>
        </w:rPr>
      </w:pPr>
    </w:p>
    <w:p w:rsidR="00184A52" w:rsidRPr="00A07AFF" w:rsidRDefault="00184A52" w:rsidP="00A07AFF">
      <w:pPr>
        <w:spacing w:after="0" w:line="240" w:lineRule="auto"/>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The court then specifically noted that the </w:t>
      </w:r>
      <w:r w:rsidRPr="00A07AFF">
        <w:rPr>
          <w:rFonts w:ascii="Century Schoolbook" w:eastAsia="Times New Roman" w:hAnsi="Century Schoolbook" w:cs="Times New Roman"/>
          <w:i/>
        </w:rPr>
        <w:t xml:space="preserve">Hoover </w:t>
      </w:r>
      <w:r w:rsidRPr="00A07AFF">
        <w:rPr>
          <w:rFonts w:ascii="Century Schoolbook" w:eastAsia="Times New Roman" w:hAnsi="Century Schoolbook" w:cs="Times New Roman"/>
        </w:rPr>
        <w:t>court’s decision merely clarified the landscape of Georgia’s reservation of rights law.</w:t>
      </w:r>
      <w:r w:rsidRPr="00A07AFF">
        <w:rPr>
          <w:rFonts w:ascii="Century Schoolbook" w:eastAsia="Times New Roman" w:hAnsi="Century Schoolbook" w:cs="Times New Roman"/>
          <w:vertAlign w:val="superscript"/>
        </w:rPr>
        <w:endnoteReference w:id="132"/>
      </w:r>
      <w:r w:rsidRPr="00A07AFF">
        <w:rPr>
          <w:rFonts w:ascii="Century Schoolbook" w:eastAsia="Times New Roman" w:hAnsi="Century Schoolbook" w:cs="Times New Roman"/>
        </w:rPr>
        <w:t xml:space="preserve">  Thus, </w:t>
      </w:r>
      <w:r w:rsidRPr="00A07AFF">
        <w:rPr>
          <w:rFonts w:ascii="Century Schoolbook" w:eastAsia="Times New Roman" w:hAnsi="Century Schoolbook" w:cs="Times New Roman"/>
          <w:i/>
        </w:rPr>
        <w:t xml:space="preserve">Hoover </w:t>
      </w:r>
      <w:r w:rsidRPr="00A07AFF">
        <w:rPr>
          <w:rFonts w:ascii="Century Schoolbook" w:eastAsia="Times New Roman" w:hAnsi="Century Schoolbook" w:cs="Times New Roman"/>
        </w:rPr>
        <w:t xml:space="preserve">held only that “an insurer could not both deny a claim </w:t>
      </w:r>
      <w:r w:rsidRPr="00A07AFF">
        <w:rPr>
          <w:rFonts w:ascii="Century Schoolbook" w:eastAsia="Times New Roman" w:hAnsi="Century Schoolbook" w:cs="Times New Roman"/>
          <w:u w:val="single"/>
        </w:rPr>
        <w:t>for defense</w:t>
      </w:r>
      <w:r w:rsidRPr="00A07AFF">
        <w:rPr>
          <w:rFonts w:ascii="Century Schoolbook" w:eastAsia="Times New Roman" w:hAnsi="Century Schoolbook" w:cs="Times New Roman"/>
        </w:rPr>
        <w:t xml:space="preserve"> and attempt to reserve the right to assert a different defense in the future.”</w:t>
      </w:r>
      <w:r w:rsidRPr="00A07AFF">
        <w:rPr>
          <w:rFonts w:ascii="Century Schoolbook" w:eastAsia="Times New Roman" w:hAnsi="Century Schoolbook" w:cs="Times New Roman"/>
          <w:vertAlign w:val="superscript"/>
        </w:rPr>
        <w:endnoteReference w:id="133"/>
      </w:r>
      <w:r w:rsidRPr="00A07AFF">
        <w:rPr>
          <w:rFonts w:ascii="Century Schoolbook" w:eastAsia="Times New Roman" w:hAnsi="Century Schoolbook" w:cs="Times New Roman"/>
          <w:i/>
        </w:rPr>
        <w:t xml:space="preserve">  </w:t>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341BCB"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The district court then relied upon the distinction between an insurer’s duty to defend and its duty to indemnify, stating that an insurer’s refusal to defend an insured does not affect its right to refuse to indemnify.</w:t>
      </w:r>
      <w:r w:rsidRPr="00A07AFF">
        <w:rPr>
          <w:rFonts w:ascii="Century Schoolbook" w:eastAsia="Times New Roman" w:hAnsi="Century Schoolbook" w:cs="Times New Roman"/>
          <w:vertAlign w:val="superscript"/>
        </w:rPr>
        <w:endnoteReference w:id="134"/>
      </w:r>
      <w:r w:rsidRPr="00A07AFF">
        <w:rPr>
          <w:rFonts w:ascii="Century Schoolbook" w:eastAsia="Times New Roman" w:hAnsi="Century Schoolbook" w:cs="Times New Roman"/>
        </w:rPr>
        <w:t xml:space="preserve">  As a result, because St. Paul’s obligations to Bank of Camilla involved only a duty to indemnify or pay costs and not a duty to defend, St. Paul’s “alleged failure to assert all eight defenses at the time of denial does not prevent it from raising those rights at a later time.”</w:t>
      </w:r>
      <w:r w:rsidRPr="00A07AFF">
        <w:rPr>
          <w:rFonts w:ascii="Century Schoolbook" w:eastAsia="Times New Roman" w:hAnsi="Century Schoolbook" w:cs="Times New Roman"/>
          <w:vertAlign w:val="superscript"/>
        </w:rPr>
        <w:endnoteReference w:id="135"/>
      </w:r>
      <w:r w:rsidRPr="00A07AFF">
        <w:rPr>
          <w:rFonts w:ascii="Century Schoolbook" w:eastAsia="Times New Roman" w:hAnsi="Century Schoolbook" w:cs="Times New Roman"/>
        </w:rPr>
        <w:t xml:space="preserve"> </w:t>
      </w:r>
    </w:p>
    <w:p w:rsidR="00A07AFF" w:rsidRDefault="00A07AFF" w:rsidP="00A07AFF">
      <w:pPr>
        <w:spacing w:after="0" w:line="240" w:lineRule="auto"/>
        <w:ind w:left="540" w:hanging="540"/>
        <w:jc w:val="both"/>
        <w:rPr>
          <w:rFonts w:ascii="Century Schoolbook" w:eastAsia="Times New Roman" w:hAnsi="Century Schoolbook" w:cs="Times New Roman"/>
          <w:b/>
        </w:rPr>
      </w:pPr>
    </w:p>
    <w:p w:rsidR="00A07AFF" w:rsidRDefault="00A07AFF" w:rsidP="00A07AFF">
      <w:pPr>
        <w:spacing w:after="0" w:line="240" w:lineRule="auto"/>
        <w:ind w:left="540" w:hanging="540"/>
        <w:jc w:val="both"/>
        <w:rPr>
          <w:rFonts w:ascii="Century Schoolbook" w:eastAsia="Times New Roman" w:hAnsi="Century Schoolbook" w:cs="Times New Roman"/>
          <w:b/>
        </w:rPr>
      </w:pPr>
    </w:p>
    <w:p w:rsidR="00184A52" w:rsidRPr="00A07AFF" w:rsidRDefault="00184A52" w:rsidP="00A07AFF">
      <w:pPr>
        <w:spacing w:after="0" w:line="240" w:lineRule="auto"/>
        <w:ind w:left="540" w:hanging="540"/>
        <w:jc w:val="both"/>
        <w:rPr>
          <w:rFonts w:ascii="Century Schoolbook" w:eastAsia="Times New Roman" w:hAnsi="Century Schoolbook" w:cs="Times New Roman"/>
        </w:rPr>
      </w:pPr>
      <w:r w:rsidRPr="00A07AFF">
        <w:rPr>
          <w:rFonts w:ascii="Century Schoolbook" w:eastAsia="Times New Roman" w:hAnsi="Century Schoolbook" w:cs="Times New Roman"/>
          <w:b/>
        </w:rPr>
        <w:t>II.</w:t>
      </w:r>
      <w:r w:rsidRPr="00A07AFF">
        <w:rPr>
          <w:rFonts w:ascii="Century Schoolbook" w:eastAsia="Times New Roman" w:hAnsi="Century Schoolbook" w:cs="Times New Roman"/>
          <w:b/>
        </w:rPr>
        <w:tab/>
        <w:t>Possible Implications of Hoover</w:t>
      </w:r>
      <w:r w:rsidRPr="00A07AFF">
        <w:rPr>
          <w:rFonts w:ascii="Century Schoolbook" w:eastAsia="Times New Roman" w:hAnsi="Century Schoolbook" w:cs="Times New Roman"/>
          <w:b/>
          <w:i/>
        </w:rPr>
        <w:t xml:space="preserve"> </w:t>
      </w:r>
      <w:r w:rsidRPr="00A07AFF">
        <w:rPr>
          <w:rFonts w:ascii="Century Schoolbook" w:eastAsia="Times New Roman" w:hAnsi="Century Schoolbook" w:cs="Times New Roman"/>
          <w:b/>
        </w:rPr>
        <w:t xml:space="preserve">and Its Progeny for Insurers.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Prior to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w:t>
      </w:r>
      <w:r w:rsidRPr="00A07AFF">
        <w:rPr>
          <w:rFonts w:ascii="Century Schoolbook" w:eastAsia="Times New Roman" w:hAnsi="Century Schoolbook" w:cs="Times New Roman"/>
          <w:i/>
        </w:rPr>
        <w:t xml:space="preserve"> </w:t>
      </w:r>
      <w:r w:rsidRPr="00A07AFF">
        <w:rPr>
          <w:rFonts w:ascii="Century Schoolbook" w:eastAsia="Times New Roman" w:hAnsi="Century Schoolbook" w:cs="Times New Roman"/>
        </w:rPr>
        <w:t xml:space="preserve">insurers have commonly issued coverage disclaimers based on the strongest coverage defense(s) existing at the time of the disclaimer, while reserving its right to assert additional defenses to the extent they might later become apparent.  </w:t>
      </w:r>
      <w:r w:rsidRPr="00A07AFF">
        <w:rPr>
          <w:rFonts w:ascii="Century Schoolbook" w:eastAsia="Times New Roman" w:hAnsi="Century Schoolbook" w:cs="Times New Roman"/>
          <w:i/>
        </w:rPr>
        <w:t>Hoover</w:t>
      </w:r>
      <w:r w:rsidRPr="00A07AFF">
        <w:rPr>
          <w:rFonts w:ascii="Century Schoolbook" w:eastAsia="Times New Roman" w:hAnsi="Century Schoolbook" w:cs="Times New Roman"/>
        </w:rPr>
        <w:t xml:space="preserve"> holds that this course of action is improper and will not preserve the reserved defenses.  </w:t>
      </w:r>
      <w:r w:rsidRPr="00A07AFF">
        <w:rPr>
          <w:rFonts w:ascii="Century Schoolbook" w:eastAsia="Times New Roman" w:hAnsi="Century Schoolbook" w:cs="Times New Roman"/>
          <w:i/>
        </w:rPr>
        <w:t>Moon</w:t>
      </w:r>
      <w:r w:rsidRPr="00A07AFF">
        <w:rPr>
          <w:rFonts w:ascii="Century Schoolbook" w:eastAsia="Times New Roman" w:hAnsi="Century Schoolbook" w:cs="Times New Roman"/>
        </w:rPr>
        <w:t xml:space="preserve"> holds that an insurer cannot preserve its reserved defenses even where the insurer first enters into a bilateral reservation of rights agreement with the insured. In order to protect its interests when issuing a disclaimer, a carrier must now disclaim on each and every coverage defense that it </w:t>
      </w:r>
      <w:r w:rsidRPr="00A07AFF">
        <w:rPr>
          <w:rFonts w:ascii="Century Schoolbook" w:eastAsia="Times New Roman" w:hAnsi="Century Schoolbook" w:cs="Times New Roman"/>
        </w:rPr>
        <w:lastRenderedPageBreak/>
        <w:t xml:space="preserve">may have.  </w:t>
      </w:r>
      <w:r w:rsidRPr="00A07AFF">
        <w:rPr>
          <w:rFonts w:ascii="Century Schoolbook" w:eastAsia="Times New Roman" w:hAnsi="Century Schoolbook" w:cs="Times New Roman"/>
          <w:i/>
        </w:rPr>
        <w:t xml:space="preserve">Hoover </w:t>
      </w:r>
      <w:r w:rsidRPr="00A07AFF">
        <w:rPr>
          <w:rFonts w:ascii="Century Schoolbook" w:eastAsia="Times New Roman" w:hAnsi="Century Schoolbook" w:cs="Times New Roman"/>
        </w:rPr>
        <w:t xml:space="preserve">thus requires carriers to carefully consider the bases of any denial and assert only those which provide “reasonable grounds to deny coverage,” lest the insured allege bad faith.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 xml:space="preserve">Fortunately, the court in </w:t>
      </w:r>
      <w:r w:rsidRPr="00A07AFF">
        <w:rPr>
          <w:rFonts w:ascii="Century Schoolbook" w:eastAsia="Times New Roman" w:hAnsi="Century Schoolbook" w:cs="Times New Roman"/>
          <w:i/>
        </w:rPr>
        <w:t>Bank of Camilla</w:t>
      </w:r>
      <w:r w:rsidRPr="00A07AFF">
        <w:rPr>
          <w:rFonts w:ascii="Century Schoolbook" w:eastAsia="Times New Roman" w:hAnsi="Century Schoolbook" w:cs="Times New Roman"/>
        </w:rPr>
        <w:t xml:space="preserve"> clarified that insurers which have only indemnity obligations under their policies will not be bound by </w:t>
      </w:r>
      <w:r w:rsidRPr="00A07AFF">
        <w:rPr>
          <w:rFonts w:ascii="Century Schoolbook" w:eastAsia="Times New Roman" w:hAnsi="Century Schoolbook" w:cs="Times New Roman"/>
          <w:i/>
        </w:rPr>
        <w:t>Hoover’s</w:t>
      </w:r>
      <w:r w:rsidRPr="00A07AFF">
        <w:rPr>
          <w:rFonts w:ascii="Century Schoolbook" w:eastAsia="Times New Roman" w:hAnsi="Century Schoolbook" w:cs="Times New Roman"/>
        </w:rPr>
        <w:t xml:space="preserve"> waiver.  Thus, insurers providing such policies as first-party property policies still will be permitted to deny coverage for a claim upon specific grounds while also reserving the right to deny coverage on other grounds.   </w:t>
      </w:r>
    </w:p>
    <w:p w:rsidR="00A07AFF" w:rsidRDefault="00A07AFF" w:rsidP="00A07AFF">
      <w:pPr>
        <w:spacing w:after="0" w:line="240" w:lineRule="auto"/>
        <w:ind w:firstLine="360"/>
        <w:jc w:val="both"/>
        <w:rPr>
          <w:rFonts w:ascii="Century Schoolbook" w:eastAsia="Times New Roman" w:hAnsi="Century Schoolbook" w:cs="Times New Roman"/>
          <w:i/>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i/>
        </w:rPr>
        <w:t xml:space="preserve">Hoover </w:t>
      </w:r>
      <w:r w:rsidRPr="00A07AFF">
        <w:rPr>
          <w:rFonts w:ascii="Century Schoolbook" w:eastAsia="Times New Roman" w:hAnsi="Century Schoolbook" w:cs="Times New Roman"/>
        </w:rPr>
        <w:t xml:space="preserve">and </w:t>
      </w:r>
      <w:r w:rsidRPr="00A07AFF">
        <w:rPr>
          <w:rFonts w:ascii="Century Schoolbook" w:eastAsia="Times New Roman" w:hAnsi="Century Schoolbook" w:cs="Times New Roman"/>
          <w:i/>
        </w:rPr>
        <w:t>Moon</w:t>
      </w:r>
      <w:r w:rsidRPr="00A07AFF">
        <w:rPr>
          <w:rFonts w:ascii="Century Schoolbook" w:eastAsia="Times New Roman" w:hAnsi="Century Schoolbook" w:cs="Times New Roman"/>
        </w:rPr>
        <w:t xml:space="preserve"> do not impact the carrier’s right to defend its insured under a reservation of rights while simultaneously filing a declaratory judgment action to challenge coverage.  In that instance, the reservation of rights letter need not “‘list each and every basis for contesting coverage in the reservation of rights letter before the company [can] raise such in the declaratory judgment action,’” provided that the reservation preserves the right to assert other grounds and reasons for non-coverage in the future.</w:t>
      </w:r>
      <w:r w:rsidRPr="00A07AFF">
        <w:rPr>
          <w:rFonts w:ascii="Century Schoolbook" w:eastAsia="Times New Roman" w:hAnsi="Century Schoolbook" w:cs="Times New Roman"/>
          <w:vertAlign w:val="superscript"/>
        </w:rPr>
        <w:endnoteReference w:id="136"/>
      </w:r>
      <w:r w:rsidRPr="00A07AFF">
        <w:rPr>
          <w:rFonts w:ascii="Century Schoolbook" w:eastAsia="Times New Roman" w:hAnsi="Century Schoolbook" w:cs="Times New Roman"/>
        </w:rPr>
        <w:t xml:space="preserve">    </w:t>
      </w:r>
    </w:p>
    <w:p w:rsidR="00A07AFF" w:rsidRDefault="00A07AFF" w:rsidP="00A07AFF">
      <w:pPr>
        <w:spacing w:after="0" w:line="240" w:lineRule="auto"/>
        <w:ind w:firstLine="360"/>
        <w:jc w:val="both"/>
        <w:rPr>
          <w:rFonts w:ascii="Century Schoolbook" w:eastAsia="Times New Roman" w:hAnsi="Century Schoolbook" w:cs="Times New Roman"/>
        </w:rPr>
      </w:pPr>
    </w:p>
    <w:p w:rsidR="00184A52" w:rsidRPr="00A07AFF" w:rsidRDefault="00184A52" w:rsidP="00A07AFF">
      <w:pPr>
        <w:spacing w:after="0" w:line="240" w:lineRule="auto"/>
        <w:ind w:firstLine="360"/>
        <w:jc w:val="both"/>
        <w:rPr>
          <w:rFonts w:ascii="Century Schoolbook" w:eastAsia="Times New Roman" w:hAnsi="Century Schoolbook" w:cs="Times New Roman"/>
        </w:rPr>
      </w:pPr>
      <w:r w:rsidRPr="00A07AFF">
        <w:rPr>
          <w:rFonts w:ascii="Century Schoolbook" w:eastAsia="Times New Roman" w:hAnsi="Century Schoolbook" w:cs="Times New Roman"/>
        </w:rPr>
        <w:t>However, caution should be noted that an insurer may, in certain circumstances, waive its right to assert coverage defenses which are not contained within its reservation of rights letter when, at the time that the reservation of rights is made, the insurer is aware of non-covered claims but does not raise its coverage defenses to them.</w:t>
      </w:r>
      <w:r w:rsidRPr="00A07AFF">
        <w:rPr>
          <w:rFonts w:ascii="Century Schoolbook" w:eastAsia="Times New Roman" w:hAnsi="Century Schoolbook" w:cs="Times New Roman"/>
          <w:vertAlign w:val="superscript"/>
        </w:rPr>
        <w:endnoteReference w:id="137"/>
      </w:r>
      <w:r w:rsidRPr="00A07AFF">
        <w:rPr>
          <w:rFonts w:ascii="Century Schoolbook" w:eastAsia="Times New Roman" w:hAnsi="Century Schoolbook" w:cs="Times New Roman"/>
        </w:rPr>
        <w:t xml:space="preserve">  This occurs even if the insurer includes boilerplate language in its reservation of rights letter, stating the insurer does not waive any coverage defense not specifically contained in the reservation of rights letter.</w:t>
      </w:r>
      <w:r w:rsidRPr="00A07AFF">
        <w:rPr>
          <w:rFonts w:ascii="Century Schoolbook" w:eastAsia="Times New Roman" w:hAnsi="Century Schoolbook" w:cs="Times New Roman"/>
          <w:vertAlign w:val="superscript"/>
        </w:rPr>
        <w:endnoteReference w:id="138"/>
      </w:r>
      <w:r w:rsidRPr="00A07AFF">
        <w:rPr>
          <w:rFonts w:ascii="Century Schoolbook" w:eastAsia="Times New Roman" w:hAnsi="Century Schoolbook" w:cs="Times New Roman"/>
        </w:rPr>
        <w:t xml:space="preserve"> </w:t>
      </w:r>
    </w:p>
    <w:p w:rsidR="00184A52" w:rsidRPr="00A07AFF" w:rsidRDefault="00184A52" w:rsidP="00A07AFF">
      <w:pPr>
        <w:spacing w:after="0" w:line="240" w:lineRule="auto"/>
        <w:ind w:left="540" w:hanging="540"/>
        <w:jc w:val="both"/>
        <w:rPr>
          <w:rFonts w:ascii="Century Schoolbook" w:hAnsi="Century Schoolbook"/>
          <w:b/>
        </w:rPr>
      </w:pPr>
      <w:r w:rsidRPr="00A07AFF">
        <w:rPr>
          <w:rFonts w:ascii="Century Schoolbook" w:hAnsi="Century Schoolbook"/>
          <w:b/>
        </w:rPr>
        <w:lastRenderedPageBreak/>
        <w:t>III.</w:t>
      </w:r>
      <w:r w:rsidRPr="00A07AFF">
        <w:rPr>
          <w:rFonts w:ascii="Century Schoolbook" w:hAnsi="Century Schoolbook"/>
          <w:b/>
        </w:rPr>
        <w:tab/>
        <w:t>A Minority of Other States Agree with Hoover and Its Progeny.</w:t>
      </w:r>
    </w:p>
    <w:p w:rsidR="00A07AFF" w:rsidRDefault="00A07AFF" w:rsidP="00A07AFF">
      <w:pPr>
        <w:spacing w:after="0" w:line="240" w:lineRule="auto"/>
        <w:ind w:firstLine="360"/>
        <w:jc w:val="both"/>
        <w:rPr>
          <w:rFonts w:ascii="Century Schoolbook" w:hAnsi="Century Schoolbook"/>
          <w:i/>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i/>
        </w:rPr>
        <w:t>Hoover</w:t>
      </w:r>
      <w:r w:rsidRPr="00A07AFF">
        <w:rPr>
          <w:rFonts w:ascii="Century Schoolbook" w:hAnsi="Century Schoolbook"/>
        </w:rPr>
        <w:t xml:space="preserve"> and its progeny reflect the minority rule across the country.  The majority of states hold that no waiver or estoppel results from an insurer’s failure to assert all grounds of non-coverage in its declination, where the insurer reserved the right to rely on additional coverage defenses, and the insured suffered no detrimental reliance or prejudice as a result.</w:t>
      </w:r>
      <w:r w:rsidRPr="00A07AFF">
        <w:rPr>
          <w:rFonts w:ascii="Century Schoolbook" w:hAnsi="Century Schoolbook"/>
          <w:vertAlign w:val="superscript"/>
        </w:rPr>
        <w:endnoteReference w:id="139"/>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The United States District Court for the District of Nevada has explained the reasoning of this approach.</w:t>
      </w:r>
      <w:r w:rsidRPr="00A07AFF">
        <w:rPr>
          <w:rFonts w:ascii="Century Schoolbook" w:hAnsi="Century Schoolbook"/>
          <w:vertAlign w:val="superscript"/>
        </w:rPr>
        <w:endnoteReference w:id="140"/>
      </w:r>
      <w:r w:rsidRPr="00A07AFF">
        <w:rPr>
          <w:rFonts w:ascii="Century Schoolbook" w:hAnsi="Century Schoolbook"/>
        </w:rPr>
        <w:t xml:space="preserve">  Estoppel does not occur, because the insured has not detrimentally relied upon the insurer’s basis for the declination.  Where an insurer denies coverage, the insured has relied on the insurer’s denial.</w:t>
      </w:r>
      <w:r w:rsidRPr="00A07AFF">
        <w:rPr>
          <w:rFonts w:ascii="Century Schoolbook" w:hAnsi="Century Schoolbook"/>
          <w:vertAlign w:val="superscript"/>
        </w:rPr>
        <w:endnoteReference w:id="141"/>
      </w:r>
      <w:r w:rsidRPr="00A07AFF">
        <w:rPr>
          <w:rFonts w:ascii="Century Schoolbook" w:hAnsi="Century Schoolbook"/>
        </w:rPr>
        <w:t xml:space="preserve">  Thus, “[s]hould [an insurer] assert a new basis for declination of coverage, [the insured] is still left in the same position, namely with no coverage.”</w:t>
      </w:r>
      <w:r w:rsidRPr="00A07AFF">
        <w:rPr>
          <w:rFonts w:ascii="Century Schoolbook" w:hAnsi="Century Schoolbook"/>
          <w:vertAlign w:val="superscript"/>
        </w:rPr>
        <w:endnoteReference w:id="142"/>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 xml:space="preserve">A minority of states hold that an insurer who fails to assert all grounds for non-coverage in its declination of coverage is estopped from later asserting those coverage defenses.  These courts, however, do not follow </w:t>
      </w:r>
      <w:r w:rsidRPr="00A07AFF">
        <w:rPr>
          <w:rFonts w:ascii="Century Schoolbook" w:hAnsi="Century Schoolbook"/>
          <w:i/>
        </w:rPr>
        <w:t>Hoover</w:t>
      </w:r>
      <w:r w:rsidRPr="00A07AFF">
        <w:rPr>
          <w:rFonts w:ascii="Century Schoolbook" w:hAnsi="Century Schoolbook"/>
        </w:rPr>
        <w:t xml:space="preserve"> in preventing an insurer from disclaiming coverage under a specific policy provision while reserving the right to do so under others. Rather, these courts allow the insurer to still reserve the right to assert additional coverage defenses so long as such reservation is explicitly stated within the declination of coverage.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Michigan courts hold that an insurer is estopped from raising coverage defenses which were not raised within its declination of coverage letter.</w:t>
      </w:r>
      <w:r w:rsidRPr="00A07AFF">
        <w:rPr>
          <w:rFonts w:ascii="Century Schoolbook" w:hAnsi="Century Schoolbook"/>
          <w:vertAlign w:val="superscript"/>
        </w:rPr>
        <w:endnoteReference w:id="143"/>
      </w:r>
      <w:r w:rsidRPr="00A07AFF">
        <w:rPr>
          <w:rFonts w:ascii="Century Schoolbook" w:hAnsi="Century Schoolbook"/>
        </w:rPr>
        <w:t xml:space="preserve">  Michigan courts note that “‘once an insurance </w:t>
      </w:r>
      <w:r w:rsidRPr="00A07AFF">
        <w:rPr>
          <w:rFonts w:ascii="Century Schoolbook" w:hAnsi="Century Schoolbook"/>
        </w:rPr>
        <w:lastRenderedPageBreak/>
        <w:t>company has denied coverage to an insured and stated its defenses, the company has waived or is estopped from raising new defenses.’”</w:t>
      </w:r>
      <w:r w:rsidRPr="00A07AFF">
        <w:rPr>
          <w:rFonts w:ascii="Century Schoolbook" w:hAnsi="Century Schoolbook"/>
          <w:vertAlign w:val="superscript"/>
        </w:rPr>
        <w:endnoteReference w:id="144"/>
      </w:r>
      <w:r w:rsidRPr="00A07AFF">
        <w:rPr>
          <w:rFonts w:ascii="Century Schoolbook" w:hAnsi="Century Schoolbook"/>
        </w:rPr>
        <w:t xml:space="preserve">  A waiver of such defenses will occur where the insurer is aware, at the time of the issuance of its declination of coverage, of facts to support a particular coverage defense but fails to assert it within its declination.</w:t>
      </w:r>
      <w:r w:rsidRPr="00A07AFF">
        <w:rPr>
          <w:rFonts w:ascii="Century Schoolbook" w:hAnsi="Century Schoolbook"/>
          <w:vertAlign w:val="superscript"/>
        </w:rPr>
        <w:endnoteReference w:id="145"/>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Vermont courts find estoppel when an insurer issues a declination of coverage specifically listing coverage defenses but fails to reserve the right to raise other coverage defenses.</w:t>
      </w:r>
      <w:r w:rsidRPr="00A07AFF">
        <w:rPr>
          <w:rFonts w:ascii="Century Schoolbook" w:hAnsi="Century Schoolbook"/>
          <w:vertAlign w:val="superscript"/>
        </w:rPr>
        <w:endnoteReference w:id="146"/>
      </w:r>
      <w:r w:rsidRPr="00A07AFF">
        <w:rPr>
          <w:rFonts w:ascii="Century Schoolbook" w:hAnsi="Century Schoolbook"/>
        </w:rPr>
        <w:t xml:space="preserve">  Estoppel results even where the insured was not misled to his prejudice.</w:t>
      </w:r>
      <w:r w:rsidRPr="00A07AFF">
        <w:rPr>
          <w:rFonts w:ascii="Century Schoolbook" w:hAnsi="Century Schoolbook"/>
          <w:vertAlign w:val="superscript"/>
        </w:rPr>
        <w:endnoteReference w:id="147"/>
      </w:r>
      <w:r w:rsidRPr="00A07AFF">
        <w:rPr>
          <w:rFonts w:ascii="Century Schoolbook" w:hAnsi="Century Schoolbook"/>
        </w:rPr>
        <w:t xml:space="preserve">  Vermont holds:</w:t>
      </w:r>
    </w:p>
    <w:p w:rsidR="00A07AFF" w:rsidRDefault="00A07AFF" w:rsidP="00A07AFF">
      <w:pPr>
        <w:spacing w:after="0" w:line="240" w:lineRule="auto"/>
        <w:ind w:left="720" w:right="720"/>
        <w:jc w:val="both"/>
        <w:rPr>
          <w:rFonts w:ascii="Century Schoolbook" w:hAnsi="Century Schoolbook"/>
        </w:rPr>
      </w:pPr>
    </w:p>
    <w:p w:rsidR="00184A52" w:rsidRPr="00A07AFF" w:rsidRDefault="00184A52" w:rsidP="00A07AFF">
      <w:pPr>
        <w:spacing w:after="0" w:line="240" w:lineRule="auto"/>
        <w:ind w:left="720" w:right="720"/>
        <w:jc w:val="both"/>
        <w:rPr>
          <w:rFonts w:ascii="Century Schoolbook" w:hAnsi="Century Schoolbook"/>
        </w:rPr>
      </w:pPr>
      <w:r w:rsidRPr="00A07AFF">
        <w:rPr>
          <w:rFonts w:ascii="Century Schoolbook" w:hAnsi="Century Schoolbook"/>
        </w:rPr>
        <w:t xml:space="preserve">[W]hen one defense is specified by an insurer as its reason for refusing to pay a loss, all others are waived. . . .  </w:t>
      </w:r>
      <w:r w:rsidRPr="00A07AFF">
        <w:rPr>
          <w:rFonts w:ascii="Century Schoolbook" w:eastAsia="Times New Roman" w:hAnsi="Century Schoolbook" w:cs="Times New Roman"/>
        </w:rPr>
        <w:t>Considerations of public policy require that [the insurer] shall deal with his individual customer[, the insured,] with entire frankness. He may refuse to pay and say nothing as to the basis of his refusal. In that case, all defenses to an action on the policy are available to him. He may refuse to pay on a particular ground reserving the right to defend on other grounds, with the same result. But, when he deliberately puts his refusal to pay on a specified ground, and says no more, he should not be allowed to ‘mend his hold’ by asserting other defenses after the insured has taken him at his word and is attempting to enforce his liability.</w:t>
      </w:r>
      <w:r w:rsidRPr="00A07AFF">
        <w:rPr>
          <w:rFonts w:ascii="Century Schoolbook" w:hAnsi="Century Schoolbook"/>
          <w:vertAlign w:val="superscript"/>
        </w:rPr>
        <w:endnoteReference w:id="148"/>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Vermont courts, however, appear to use the words “waiver” and “estoppel” interchangeably, despite their different meanings.</w:t>
      </w:r>
      <w:r w:rsidRPr="00A07AFF">
        <w:rPr>
          <w:rFonts w:ascii="Century Schoolbook" w:hAnsi="Century Schoolbook"/>
          <w:vertAlign w:val="superscript"/>
        </w:rPr>
        <w:endnoteReference w:id="149"/>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New York courts, with little commentary, also preclude an insurer from asserting grounds for non-coverage not raised in its declination of coverage.</w:t>
      </w:r>
      <w:r w:rsidRPr="00A07AFF">
        <w:rPr>
          <w:rFonts w:ascii="Century Schoolbook" w:hAnsi="Century Schoolbook"/>
          <w:vertAlign w:val="superscript"/>
        </w:rPr>
        <w:endnoteReference w:id="150"/>
      </w:r>
      <w:r w:rsidRPr="00A07AFF">
        <w:rPr>
          <w:rFonts w:ascii="Century Schoolbook" w:hAnsi="Century Schoolbook"/>
        </w:rPr>
        <w:t xml:space="preserve">  New York courts base this decision upon an estoppel theory and the duty it imposes upon an insurer to provide timely notice of a declination of coverage to its insured.</w:t>
      </w:r>
      <w:r w:rsidRPr="00A07AFF">
        <w:rPr>
          <w:rFonts w:ascii="Century Schoolbook" w:hAnsi="Century Schoolbook"/>
          <w:vertAlign w:val="superscript"/>
        </w:rPr>
        <w:endnoteReference w:id="151"/>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West Virginia courts likewise have held that an insurer is estopped from asserting coverage defenses which were absent from its declination of coverage if the insured can prove that it detrimentally relied upon the insurer’s failure to raise those coverage defenses.</w:t>
      </w:r>
      <w:r w:rsidRPr="00A07AFF">
        <w:rPr>
          <w:rFonts w:ascii="Century Schoolbook" w:hAnsi="Century Schoolbook"/>
          <w:vertAlign w:val="superscript"/>
        </w:rPr>
        <w:endnoteReference w:id="152"/>
      </w:r>
      <w:r w:rsidRPr="00A07AFF">
        <w:rPr>
          <w:rFonts w:ascii="Century Schoolbook" w:hAnsi="Century Schoolbook"/>
        </w:rPr>
        <w:t xml:space="preserve">  To satisfy detrimental reliance, the insured must prove “that she/he was induced to act or to refrain from acting to her/his detriment because of her/his reasonable reliance on the previously stated grounds for declination.”</w:t>
      </w:r>
      <w:r w:rsidRPr="00A07AFF">
        <w:rPr>
          <w:rFonts w:ascii="Century Schoolbook" w:hAnsi="Century Schoolbook"/>
          <w:vertAlign w:val="superscript"/>
        </w:rPr>
        <w:endnoteReference w:id="153"/>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California courts hold that no waiver results from an insurer’s failure to assert all coverage defenses in its declination of coverage letter, absent clear and convincing evidence to suggest that the carrier intended not to raise additional defenses.</w:t>
      </w:r>
      <w:r w:rsidRPr="00A07AFF">
        <w:rPr>
          <w:rFonts w:ascii="Century Schoolbook" w:hAnsi="Century Schoolbook"/>
          <w:vertAlign w:val="superscript"/>
        </w:rPr>
        <w:endnoteReference w:id="154"/>
      </w:r>
      <w:r w:rsidRPr="00A07AFF">
        <w:rPr>
          <w:rFonts w:ascii="Century Schoolbook" w:hAnsi="Century Schoolbook"/>
        </w:rPr>
        <w:t xml:space="preserve">  California courts do recognize, however, that estoppel (as opposed to waiver) may arise where an insurer fails to delineate all of its coverage defenses in its declination of coverage letter, where the insured can prove detrimental reliance.</w:t>
      </w:r>
      <w:r w:rsidRPr="00A07AFF">
        <w:rPr>
          <w:rFonts w:ascii="Century Schoolbook" w:hAnsi="Century Schoolbook"/>
          <w:vertAlign w:val="superscript"/>
        </w:rPr>
        <w:endnoteReference w:id="155"/>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 xml:space="preserve">Notably, these minority jurisdictions use an estoppel theory to preclude an insurer from raising coverage defenses </w:t>
      </w:r>
      <w:r w:rsidRPr="00A07AFF">
        <w:rPr>
          <w:rFonts w:ascii="Century Schoolbook" w:hAnsi="Century Schoolbook"/>
        </w:rPr>
        <w:lastRenderedPageBreak/>
        <w:t>which were not contained in the insurer’s reservation of rights letter.  They do not often raise waiver. This is due to the difference between waiver and estoppel law.  Waiver generally is defined as the voluntary relinquishment or abandonment of a known legal right or advantage and may be either express or implied.</w:t>
      </w:r>
      <w:r w:rsidRPr="00A07AFF">
        <w:rPr>
          <w:rFonts w:ascii="Century Schoolbook" w:hAnsi="Century Schoolbook"/>
          <w:vertAlign w:val="superscript"/>
        </w:rPr>
        <w:endnoteReference w:id="156"/>
      </w:r>
      <w:r w:rsidRPr="00A07AFF">
        <w:rPr>
          <w:rFonts w:ascii="Century Schoolbook" w:hAnsi="Century Schoolbook"/>
        </w:rPr>
        <w:t xml:space="preserve">  Estoppel, however, is typically found when one acts in good-faith reliance upon a misleading representation of another, and an injury or detrimental change in position results.</w:t>
      </w:r>
      <w:r w:rsidRPr="00A07AFF">
        <w:rPr>
          <w:rFonts w:ascii="Century Schoolbook" w:hAnsi="Century Schoolbook"/>
          <w:vertAlign w:val="superscript"/>
        </w:rPr>
        <w:endnoteReference w:id="157"/>
      </w:r>
      <w:r w:rsidRPr="00A07AFF">
        <w:rPr>
          <w:rFonts w:ascii="Century Schoolbook" w:hAnsi="Century Schoolbook"/>
        </w:rPr>
        <w:t xml:space="preserve">  </w:t>
      </w:r>
    </w:p>
    <w:p w:rsidR="00A07AFF" w:rsidRDefault="00A07AFF" w:rsidP="00A07AFF">
      <w:pPr>
        <w:spacing w:after="0" w:line="240" w:lineRule="auto"/>
        <w:ind w:firstLine="360"/>
        <w:jc w:val="both"/>
        <w:rPr>
          <w:rFonts w:ascii="Century Schoolbook" w:hAnsi="Century Schoolbook"/>
        </w:rPr>
      </w:pPr>
    </w:p>
    <w:p w:rsidR="00184A52" w:rsidRPr="00A07AFF" w:rsidRDefault="00184A52" w:rsidP="00A07AFF">
      <w:pPr>
        <w:spacing w:after="0" w:line="240" w:lineRule="auto"/>
        <w:ind w:firstLine="360"/>
        <w:jc w:val="both"/>
        <w:rPr>
          <w:rFonts w:ascii="Century Schoolbook" w:hAnsi="Century Schoolbook"/>
        </w:rPr>
      </w:pPr>
      <w:r w:rsidRPr="00A07AFF">
        <w:rPr>
          <w:rFonts w:ascii="Century Schoolbook" w:hAnsi="Century Schoolbook"/>
        </w:rPr>
        <w:t xml:space="preserve">Most of the minority jurisdictions do not find waiver from an insurer’s failure to include defenses in its declination of coverage letter, so long as the insurer asserted at least a general reservation of rights to assert additional coverage defenses in the future.  This is because the insurer still has made known to the insured its intention to raise additional coverage defenses.  Georgia, under </w:t>
      </w:r>
      <w:r w:rsidRPr="00A07AFF">
        <w:rPr>
          <w:rFonts w:ascii="Century Schoolbook" w:hAnsi="Century Schoolbook"/>
          <w:i/>
        </w:rPr>
        <w:t>Hoover</w:t>
      </w:r>
      <w:r w:rsidRPr="00A07AFF">
        <w:rPr>
          <w:rFonts w:ascii="Century Schoolbook" w:hAnsi="Century Schoolbook"/>
        </w:rPr>
        <w:t xml:space="preserve">, precludes such a result.  A minority of courts do, however, find estoppel where the insurer fails to assert all grounds for non-coverage in its declination of coverage if the insured can prove that it detrimentally relied upon the insurer’s failure to assert those coverage defenses.  </w:t>
      </w:r>
    </w:p>
    <w:p w:rsidR="00A07AFF" w:rsidRDefault="00A07AFF" w:rsidP="00A07AFF">
      <w:pPr>
        <w:spacing w:after="0" w:line="240" w:lineRule="auto"/>
        <w:ind w:firstLine="360"/>
        <w:jc w:val="both"/>
        <w:rPr>
          <w:rFonts w:ascii="Century Schoolbook" w:hAnsi="Century Schoolbook"/>
        </w:rPr>
      </w:pPr>
    </w:p>
    <w:p w:rsidR="005A61E8" w:rsidRDefault="00184A52" w:rsidP="005A61E8">
      <w:pPr>
        <w:spacing w:after="0" w:line="240" w:lineRule="auto"/>
        <w:ind w:firstLine="360"/>
        <w:jc w:val="both"/>
        <w:rPr>
          <w:rFonts w:ascii="Century Schoolbook" w:hAnsi="Century Schoolbook"/>
        </w:rPr>
      </w:pPr>
      <w:r w:rsidRPr="00A07AFF">
        <w:rPr>
          <w:rFonts w:ascii="Century Schoolbook" w:hAnsi="Century Schoolbook"/>
        </w:rPr>
        <w:t>Georgia courts also hold that waiver is the “intentional relinquishment of a known right.”</w:t>
      </w:r>
      <w:r w:rsidRPr="00A07AFF">
        <w:rPr>
          <w:rFonts w:ascii="Century Schoolbook" w:hAnsi="Century Schoolbook"/>
          <w:vertAlign w:val="superscript"/>
        </w:rPr>
        <w:endnoteReference w:id="158"/>
      </w:r>
      <w:r w:rsidRPr="00A07AFF">
        <w:rPr>
          <w:rFonts w:ascii="Century Schoolbook" w:hAnsi="Century Schoolbook"/>
        </w:rPr>
        <w:t xml:space="preserve">  Waiver, under Georgia law, may be express or may be implied based upon one’s actions, conduct, or course of dealing.</w:t>
      </w:r>
      <w:r w:rsidRPr="00A07AFF">
        <w:rPr>
          <w:rFonts w:ascii="Century Schoolbook" w:hAnsi="Century Schoolbook"/>
          <w:vertAlign w:val="superscript"/>
        </w:rPr>
        <w:endnoteReference w:id="159"/>
      </w:r>
      <w:r w:rsidRPr="00A07AFF">
        <w:rPr>
          <w:rFonts w:ascii="Century Schoolbook" w:hAnsi="Century Schoolbook"/>
        </w:rPr>
        <w:t xml:space="preserve">  Georgia courts, like the others referenced above, hold that the primary basis for estoppel is “[d]etrimental reliance which causes a substantial change in position.”</w:t>
      </w:r>
      <w:r w:rsidRPr="00A07AFF">
        <w:rPr>
          <w:rFonts w:ascii="Century Schoolbook" w:hAnsi="Century Schoolbook"/>
          <w:vertAlign w:val="superscript"/>
        </w:rPr>
        <w:endnoteReference w:id="160"/>
      </w:r>
      <w:r w:rsidRPr="00A07AFF">
        <w:rPr>
          <w:rFonts w:ascii="Century Schoolbook" w:hAnsi="Century Schoolbook"/>
        </w:rPr>
        <w:t xml:space="preserve">  While the Georgia Supreme Court in </w:t>
      </w:r>
      <w:r w:rsidRPr="00A07AFF">
        <w:rPr>
          <w:rFonts w:ascii="Century Schoolbook" w:hAnsi="Century Schoolbook"/>
          <w:i/>
        </w:rPr>
        <w:t>Hoover</w:t>
      </w:r>
      <w:r w:rsidRPr="00A07AFF">
        <w:rPr>
          <w:rFonts w:ascii="Century Schoolbook" w:hAnsi="Century Schoolbook"/>
        </w:rPr>
        <w:t xml:space="preserve"> does not explicitly state that its ruling is premised upon a waiver theory, it clearly was.  By relying upon waiver rather than </w:t>
      </w:r>
      <w:r w:rsidRPr="00A07AFF">
        <w:rPr>
          <w:rFonts w:ascii="Century Schoolbook" w:hAnsi="Century Schoolbook"/>
        </w:rPr>
        <w:lastRenderedPageBreak/>
        <w:t xml:space="preserve">estoppel for its result, </w:t>
      </w:r>
      <w:r w:rsidRPr="00A07AFF">
        <w:rPr>
          <w:rFonts w:ascii="Century Schoolbook" w:hAnsi="Century Schoolbook"/>
          <w:i/>
        </w:rPr>
        <w:t>Hoover</w:t>
      </w:r>
      <w:r w:rsidRPr="00A07AFF">
        <w:rPr>
          <w:rFonts w:ascii="Century Schoolbook" w:hAnsi="Century Schoolbook"/>
        </w:rPr>
        <w:t xml:space="preserve"> is somewhat unique among the minority jurisdictions.  Thus, the Georgia Supreme Court’s decision in </w:t>
      </w:r>
      <w:r w:rsidRPr="00A07AFF">
        <w:rPr>
          <w:rFonts w:ascii="Century Schoolbook" w:hAnsi="Century Schoolbook"/>
          <w:i/>
        </w:rPr>
        <w:t>Hoover</w:t>
      </w:r>
      <w:r w:rsidRPr="00A07AFF">
        <w:rPr>
          <w:rFonts w:ascii="Century Schoolbook" w:hAnsi="Century Schoolbook"/>
        </w:rPr>
        <w:t xml:space="preserve"> is an even further anomaly</w:t>
      </w:r>
      <w:r w:rsidR="00153A04" w:rsidRPr="00A07AFF">
        <w:rPr>
          <w:rFonts w:ascii="Century Schoolbook" w:hAnsi="Century Schoolbook"/>
        </w:rPr>
        <w:t>.</w:t>
      </w:r>
    </w:p>
    <w:p w:rsidR="005A61E8" w:rsidRDefault="005A61E8" w:rsidP="005A61E8">
      <w:pPr>
        <w:spacing w:after="0" w:line="240" w:lineRule="auto"/>
        <w:jc w:val="both"/>
        <w:rPr>
          <w:rFonts w:ascii="Century Schoolbook" w:hAnsi="Century Schoolbook"/>
        </w:rPr>
      </w:pPr>
    </w:p>
    <w:p w:rsidR="005A61E8" w:rsidRPr="005A61E8" w:rsidRDefault="005A61E8" w:rsidP="005A61E8">
      <w:pPr>
        <w:spacing w:after="0" w:line="240" w:lineRule="auto"/>
        <w:jc w:val="center"/>
        <w:rPr>
          <w:rFonts w:ascii="Century Schoolbook" w:hAnsi="Century Schoolbook"/>
          <w:b/>
          <w:u w:val="single"/>
        </w:rPr>
      </w:pPr>
      <w:r w:rsidRPr="005A61E8">
        <w:rPr>
          <w:rFonts w:ascii="Century Schoolbook" w:hAnsi="Century Schoolbook"/>
          <w:b/>
          <w:u w:val="single"/>
        </w:rPr>
        <w:t>End Notes</w:t>
      </w:r>
    </w:p>
    <w:p w:rsidR="005A61E8" w:rsidRDefault="005A61E8" w:rsidP="005A61E8">
      <w:pPr>
        <w:spacing w:after="0" w:line="240" w:lineRule="auto"/>
        <w:jc w:val="both"/>
        <w:rPr>
          <w:rFonts w:ascii="Century Schoolbook" w:hAnsi="Century Schoolbook"/>
        </w:rPr>
      </w:pPr>
    </w:p>
    <w:p w:rsidR="005A61E8" w:rsidRPr="005A61E8" w:rsidRDefault="005A61E8" w:rsidP="005A61E8">
      <w:pPr>
        <w:spacing w:after="0" w:line="240" w:lineRule="auto"/>
        <w:jc w:val="both"/>
        <w:rPr>
          <w:rFonts w:ascii="Century Schoolbook" w:hAnsi="Century Schoolbook"/>
        </w:rPr>
        <w:sectPr w:rsidR="005A61E8" w:rsidRPr="005A61E8" w:rsidSect="00153A04">
          <w:endnotePr>
            <w:numFmt w:val="decimal"/>
            <w:numRestart w:val="eachSect"/>
          </w:endnotePr>
          <w:type w:val="continuous"/>
          <w:pgSz w:w="12240" w:h="15840"/>
          <w:pgMar w:top="1440" w:right="1440" w:bottom="1440" w:left="1440" w:header="720" w:footer="720" w:gutter="0"/>
          <w:cols w:num="2" w:space="720"/>
          <w:docGrid w:linePitch="360"/>
        </w:sectPr>
      </w:pPr>
    </w:p>
    <w:p w:rsidR="00092694" w:rsidRPr="00092694" w:rsidRDefault="00092694" w:rsidP="00470DD1">
      <w:pPr>
        <w:pStyle w:val="GDLA"/>
        <w:outlineLvl w:val="0"/>
      </w:pPr>
      <w:bookmarkStart w:id="13" w:name="_Toc356227232"/>
      <w:r w:rsidRPr="00092694">
        <w:lastRenderedPageBreak/>
        <w:t>Treating Physicians as Causati</w:t>
      </w:r>
      <w:r w:rsidR="00470DD1">
        <w:t>on Experts</w:t>
      </w:r>
      <w:r w:rsidR="00C815FF">
        <w:t xml:space="preserve">: </w:t>
      </w:r>
      <w:r w:rsidRPr="00092694">
        <w:t>Identification Requirements for Treating Physicians under the Federal Rules of Civil Procedure</w:t>
      </w:r>
      <w:bookmarkEnd w:id="13"/>
    </w:p>
    <w:p w:rsidR="00092694" w:rsidRPr="00092694" w:rsidRDefault="00092694" w:rsidP="00092694">
      <w:pPr>
        <w:spacing w:after="0" w:line="240" w:lineRule="auto"/>
        <w:rPr>
          <w:rFonts w:ascii="Century Schoolbook" w:eastAsia="Times New Roman" w:hAnsi="Century Schoolbook" w:cs="Times New Roman"/>
          <w:sz w:val="19"/>
          <w:szCs w:val="19"/>
        </w:rPr>
      </w:pPr>
    </w:p>
    <w:p w:rsidR="00092694" w:rsidRDefault="00092694" w:rsidP="00470DD1">
      <w:pPr>
        <w:pStyle w:val="Author"/>
        <w:outlineLvl w:val="1"/>
      </w:pPr>
      <w:bookmarkStart w:id="14" w:name="_Toc356227233"/>
      <w:r w:rsidRPr="00092694">
        <w:t>By Brian Duva and Richard Bruno</w:t>
      </w:r>
      <w:bookmarkEnd w:id="14"/>
    </w:p>
    <w:p w:rsidR="001D23EC" w:rsidRDefault="001D23EC" w:rsidP="001D23EC">
      <w:pPr>
        <w:pStyle w:val="Author"/>
        <w:jc w:val="left"/>
        <w:outlineLvl w:val="1"/>
      </w:pPr>
    </w:p>
    <w:p w:rsidR="001D23EC" w:rsidRPr="00092694" w:rsidRDefault="001D23EC" w:rsidP="001D23EC">
      <w:pPr>
        <w:pStyle w:val="Author"/>
        <w:jc w:val="left"/>
        <w:outlineLvl w:val="1"/>
      </w:pPr>
    </w:p>
    <w:p w:rsidR="00092694" w:rsidRPr="00092694" w:rsidRDefault="00092694" w:rsidP="00092694">
      <w:pPr>
        <w:spacing w:after="0" w:line="240" w:lineRule="auto"/>
        <w:rPr>
          <w:rFonts w:ascii="Century Schoolbook" w:eastAsia="Times New Roman" w:hAnsi="Century Schoolbook" w:cs="Times New Roman"/>
          <w:sz w:val="19"/>
          <w:szCs w:val="19"/>
        </w:rPr>
        <w:sectPr w:rsidR="00092694" w:rsidRPr="00092694" w:rsidSect="00092694">
          <w:endnotePr>
            <w:numFmt w:val="decimal"/>
          </w:endnotePr>
          <w:pgSz w:w="12240" w:h="15840"/>
          <w:pgMar w:top="1440" w:right="1800" w:bottom="1440" w:left="1800" w:header="720" w:footer="720" w:gutter="0"/>
          <w:cols w:space="720"/>
          <w:docGrid w:linePitch="360"/>
        </w:sectPr>
      </w:pPr>
    </w:p>
    <w:p w:rsidR="00F875F1" w:rsidRDefault="00F875F1" w:rsidP="009F2D27">
      <w:pPr>
        <w:pBdr>
          <w:top w:val="single" w:sz="4" w:space="1" w:color="auto"/>
          <w:left w:val="single" w:sz="4" w:space="4" w:color="auto"/>
          <w:bottom w:val="single" w:sz="4" w:space="1" w:color="auto"/>
          <w:right w:val="single" w:sz="4" w:space="4" w:color="auto"/>
        </w:pBdr>
        <w:shd w:val="clear" w:color="auto" w:fill="81BAC5"/>
        <w:spacing w:after="0" w:line="240" w:lineRule="auto"/>
        <w:jc w:val="center"/>
        <w:rPr>
          <w:rFonts w:ascii="Century Schoolbook" w:eastAsia="Times New Roman" w:hAnsi="Century Schoolbook" w:cs="Times New Roman"/>
          <w:b/>
        </w:rPr>
      </w:pPr>
    </w:p>
    <w:p w:rsidR="00F875F1" w:rsidRDefault="00F875F1" w:rsidP="009F2D27">
      <w:pPr>
        <w:pBdr>
          <w:top w:val="single" w:sz="4" w:space="1" w:color="auto"/>
          <w:left w:val="single" w:sz="4" w:space="4" w:color="auto"/>
          <w:bottom w:val="single" w:sz="4" w:space="1" w:color="auto"/>
          <w:right w:val="single" w:sz="4" w:space="4" w:color="auto"/>
        </w:pBdr>
        <w:shd w:val="clear" w:color="auto" w:fill="81BAC5"/>
        <w:spacing w:after="0" w:line="240" w:lineRule="auto"/>
        <w:jc w:val="center"/>
        <w:rPr>
          <w:rFonts w:ascii="Century Schoolbook" w:eastAsia="Times New Roman" w:hAnsi="Century Schoolbook" w:cs="Times New Roman"/>
          <w:b/>
        </w:rPr>
      </w:pPr>
    </w:p>
    <w:p w:rsidR="009F2D27" w:rsidRDefault="009F2D27" w:rsidP="009F2D27">
      <w:pPr>
        <w:pBdr>
          <w:top w:val="single" w:sz="4" w:space="1" w:color="auto"/>
          <w:left w:val="single" w:sz="4" w:space="4" w:color="auto"/>
          <w:bottom w:val="single" w:sz="4" w:space="1" w:color="auto"/>
          <w:right w:val="single" w:sz="4" w:space="4" w:color="auto"/>
        </w:pBdr>
        <w:shd w:val="clear" w:color="auto" w:fill="81BAC5"/>
        <w:spacing w:after="0" w:line="240" w:lineRule="auto"/>
        <w:jc w:val="center"/>
        <w:rPr>
          <w:rFonts w:ascii="Century Schoolbook" w:eastAsia="Times New Roman" w:hAnsi="Century Schoolbook" w:cs="Times New Roman"/>
          <w:b/>
        </w:rPr>
      </w:pPr>
      <w:r>
        <w:rPr>
          <w:noProof/>
        </w:rPr>
        <w:drawing>
          <wp:inline distT="0" distB="0" distL="0" distR="0" wp14:anchorId="799BDECD" wp14:editId="6BBF5B00">
            <wp:extent cx="847725" cy="1180524"/>
            <wp:effectExtent l="76200" t="76200" r="123825" b="133985"/>
            <wp:docPr id="449" name="Picture 449" descr="C:\Users\AR\AppData\Local\Microsoft\Windows\Temporary Internet Files\Content.Word\B Duva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ppData\Local\Microsoft\Windows\Temporary Internet Files\Content.Word\B Duva Headsho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7427" cy="1180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entury Schoolbook" w:eastAsia="Times New Roman" w:hAnsi="Century Schoolbook" w:cs="Times New Roman"/>
          <w:b/>
        </w:rPr>
        <w:tab/>
      </w:r>
      <w:r>
        <w:rPr>
          <w:noProof/>
        </w:rPr>
        <w:drawing>
          <wp:inline distT="0" distB="0" distL="0" distR="0" wp14:anchorId="27130ADC" wp14:editId="20945724">
            <wp:extent cx="926102" cy="1171575"/>
            <wp:effectExtent l="76200" t="76200" r="140970" b="123825"/>
            <wp:docPr id="450" name="Picture 450" descr="C:\Users\AR\AppData\Local\Microsoft\Windows\Temporary Internet Files\Content.Word\R Bruno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ppData\Local\Microsoft\Windows\Temporary Internet Files\Content.Word\R Bruno Headsho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5689" cy="1183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2694" w:rsidRDefault="00092694" w:rsidP="00092EA6">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5A61E8">
        <w:rPr>
          <w:rFonts w:ascii="Century Schoolbook" w:eastAsia="Times New Roman" w:hAnsi="Century Schoolbook" w:cs="Times New Roman"/>
          <w:b/>
        </w:rPr>
        <w:t>Brian Duva</w:t>
      </w:r>
      <w:r w:rsidRPr="004B1B48">
        <w:rPr>
          <w:rFonts w:ascii="Century Schoolbook" w:eastAsia="Times New Roman" w:hAnsi="Century Schoolbook" w:cs="Times New Roman"/>
        </w:rPr>
        <w:t xml:space="preserve"> is an equity partner at Mozley, Finlayson &amp; Loggins LLP and defends businesses and insurers against claims involving alleged wrongful death and catastrophic injury.  </w:t>
      </w:r>
      <w:r w:rsidRPr="005A61E8">
        <w:rPr>
          <w:rFonts w:ascii="Century Schoolbook" w:eastAsia="Times New Roman" w:hAnsi="Century Schoolbook" w:cs="Times New Roman"/>
          <w:b/>
        </w:rPr>
        <w:t>Richard Bruno</w:t>
      </w:r>
      <w:r w:rsidRPr="004B1B48">
        <w:rPr>
          <w:rFonts w:ascii="Century Schoolbook" w:eastAsia="Times New Roman" w:hAnsi="Century Schoolbook" w:cs="Times New Roman"/>
        </w:rPr>
        <w:t xml:space="preserve"> is an associate attorney at Mozley, Finlayson &amp; Loggins LLP.</w:t>
      </w:r>
    </w:p>
    <w:p w:rsidR="00F875F1" w:rsidRDefault="00F875F1" w:rsidP="00092EA6">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F875F1" w:rsidRPr="004B1B48" w:rsidRDefault="00F875F1" w:rsidP="00092EA6">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092694" w:rsidRDefault="00092694" w:rsidP="00092694">
      <w:pPr>
        <w:spacing w:after="0" w:line="240" w:lineRule="auto"/>
        <w:rPr>
          <w:rFonts w:ascii="Century Schoolbook" w:eastAsia="Times New Roman" w:hAnsi="Century Schoolbook" w:cs="Times New Roman"/>
        </w:rPr>
      </w:pPr>
    </w:p>
    <w:p w:rsidR="004B1B48" w:rsidRDefault="004B1B48" w:rsidP="00092694">
      <w:pPr>
        <w:spacing w:after="0" w:line="240" w:lineRule="auto"/>
        <w:rPr>
          <w:rFonts w:ascii="Century Schoolbook" w:eastAsia="Times New Roman" w:hAnsi="Century Schoolbook" w:cs="Times New Roman"/>
        </w:rPr>
      </w:pPr>
    </w:p>
    <w:p w:rsidR="00F875F1" w:rsidRPr="004B1B48" w:rsidRDefault="00F875F1" w:rsidP="00092694">
      <w:pPr>
        <w:spacing w:after="0" w:line="240" w:lineRule="auto"/>
        <w:rPr>
          <w:rFonts w:ascii="Century Schoolbook" w:eastAsia="Times New Roman" w:hAnsi="Century Schoolbook" w:cs="Times New Roman"/>
        </w:rPr>
      </w:pPr>
    </w:p>
    <w:p w:rsidR="00092694" w:rsidRPr="004B1B48" w:rsidRDefault="00092694" w:rsidP="00092694">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I.</w:t>
      </w:r>
      <w:r w:rsidRPr="004B1B48">
        <w:rPr>
          <w:rFonts w:ascii="Century Schoolbook" w:eastAsia="Times New Roman" w:hAnsi="Century Schoolbook" w:cs="Times New Roman"/>
          <w:b/>
        </w:rPr>
        <w:tab/>
        <w:t>Introduction</w:t>
      </w:r>
    </w:p>
    <w:p w:rsidR="00092694" w:rsidRPr="004B1B48" w:rsidRDefault="00092694" w:rsidP="00092694">
      <w:pPr>
        <w:spacing w:after="0" w:line="240" w:lineRule="auto"/>
        <w:rPr>
          <w:rFonts w:ascii="Century Schoolbook" w:eastAsia="Times New Roman" w:hAnsi="Century Schoolbook" w:cs="Times New Roman"/>
          <w:b/>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For defense counsel in a tractor-trailer case, the issue of medical causation often can be the only disputed issue in the case.  In those instances, the testimony of the plaintiff’s treating physician takes center stage.  Many times, the plaintiff’s lawyer uses the treating physician as a retained litigation expert but fails to follow the reporting rules applicable to such experts.  The federal courts have dealt with this situation over the years and have </w:t>
      </w:r>
      <w:r w:rsidRPr="004B1B48">
        <w:rPr>
          <w:rFonts w:ascii="Century Schoolbook" w:eastAsia="Times New Roman" w:hAnsi="Century Schoolbook" w:cs="Times New Roman"/>
        </w:rPr>
        <w:lastRenderedPageBreak/>
        <w:t>termed treating physicians as so-called “hybrid experts,” because they often are not “retained” in the classic sense but do provide highly technical and specialized e</w:t>
      </w:r>
      <w:bookmarkStart w:id="15" w:name="_GoBack"/>
      <w:bookmarkEnd w:id="15"/>
      <w:r w:rsidRPr="004B1B48">
        <w:rPr>
          <w:rFonts w:ascii="Century Schoolbook" w:eastAsia="Times New Roman" w:hAnsi="Century Schoolbook" w:cs="Times New Roman"/>
        </w:rPr>
        <w:t xml:space="preserve">xpert testimony.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This leads to the question of how a defense lawyer should deal with a treating physician who is not necessarily being paid by the plaintiff’s attorney but nevertheless is working as an expert for the plaintiff.</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The Federal Rules of Civil Procedure have different requirements for (1) a treating physician who intends merely to describe the plaintiff’s injuries and then recount the treatment given, and (2) those who intend to offer opinions on causation based at least in part on facts and circumstances learned by the physician outside of the medical treatment rendered to the patient.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In this second scenario, defense counsel can utilize the Federal Rules of Civil Procedure to their advantage.  This article will explain the difference between Fed. R. Civ. P. 26(a)(2)(B) and 26(a)(2)(C) as they pertain to how plaintiff’s counsel intends to use a treating physician to prove causation of the injuries and what a defense lawyer can do to ensure proper reporting by the so-called treating physician “expert.”</w:t>
      </w:r>
    </w:p>
    <w:p w:rsidR="00092694"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  </w:t>
      </w:r>
    </w:p>
    <w:p w:rsidR="00236836" w:rsidRDefault="00236836" w:rsidP="00092694">
      <w:pPr>
        <w:spacing w:after="0" w:line="240" w:lineRule="auto"/>
        <w:ind w:firstLine="360"/>
        <w:jc w:val="both"/>
        <w:rPr>
          <w:rFonts w:ascii="Century Schoolbook" w:eastAsia="Times New Roman" w:hAnsi="Century Schoolbook" w:cs="Times New Roman"/>
        </w:rPr>
      </w:pPr>
    </w:p>
    <w:p w:rsidR="004B1B48" w:rsidRPr="004B1B48" w:rsidRDefault="004B1B48" w:rsidP="00092694">
      <w:pPr>
        <w:spacing w:after="0" w:line="240" w:lineRule="auto"/>
        <w:ind w:firstLine="360"/>
        <w:jc w:val="both"/>
        <w:rPr>
          <w:rFonts w:ascii="Century Schoolbook" w:eastAsia="Times New Roman" w:hAnsi="Century Schoolbook" w:cs="Times New Roman"/>
        </w:rPr>
      </w:pPr>
    </w:p>
    <w:p w:rsidR="00092694" w:rsidRPr="004B1B48" w:rsidRDefault="00092694" w:rsidP="00092694">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II.</w:t>
      </w:r>
      <w:r w:rsidRPr="004B1B48">
        <w:rPr>
          <w:rFonts w:ascii="Century Schoolbook" w:eastAsia="Times New Roman" w:hAnsi="Century Schoolbook" w:cs="Times New Roman"/>
          <w:b/>
        </w:rPr>
        <w:tab/>
        <w:t>Development of the Law – Expert Report Requirements</w:t>
      </w:r>
    </w:p>
    <w:p w:rsidR="00092694" w:rsidRPr="004B1B48" w:rsidRDefault="00092694" w:rsidP="00092694">
      <w:pPr>
        <w:spacing w:after="0" w:line="240" w:lineRule="auto"/>
        <w:rPr>
          <w:rFonts w:ascii="Century Schoolbook" w:eastAsia="Times New Roman" w:hAnsi="Century Schoolbook" w:cs="Times New Roman"/>
          <w:b/>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In 2010, the federal rules were amended to delineate the difference between those experts retained specifically for litigation and all other experts.  This is an important distinction, because Fed. R. Civ. P. 26(a)(2)(B) requires witnesses who have been retained specifically for purposes of litigation to satisfy the stringent report and record-keeping requirements of that rule: </w:t>
      </w:r>
    </w:p>
    <w:p w:rsidR="00092694" w:rsidRPr="004B1B48" w:rsidRDefault="00092694" w:rsidP="00092694">
      <w:pPr>
        <w:spacing w:after="0" w:line="240" w:lineRule="auto"/>
        <w:ind w:firstLine="360"/>
        <w:jc w:val="both"/>
        <w:rPr>
          <w:rFonts w:ascii="Century Schoolbook" w:eastAsia="Times New Roman" w:hAnsi="Century Schoolbook" w:cs="Times New Roman"/>
        </w:rPr>
      </w:pPr>
    </w:p>
    <w:p w:rsidR="00092694" w:rsidRPr="004B1B48" w:rsidRDefault="00092694" w:rsidP="00753298">
      <w:pPr>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(B) </w:t>
      </w:r>
      <w:r w:rsidRPr="004B1B48">
        <w:rPr>
          <w:rFonts w:ascii="Century Schoolbook" w:eastAsia="Times New Roman" w:hAnsi="Century Schoolbook" w:cs="Times New Roman"/>
          <w:u w:val="single"/>
        </w:rPr>
        <w:t>Witnesses Who Must Provide a Written Report</w:t>
      </w:r>
      <w:r w:rsidRPr="004B1B48">
        <w:rPr>
          <w:rFonts w:ascii="Century Schoolbook" w:eastAsia="Times New Roman" w:hAnsi="Century Schoolbook" w:cs="Times New Roman"/>
        </w:rPr>
        <w:t>. Unless otherwise stipulated or ordered by the court, this disclosure must be accompanied by a written report--prepared and signed by the witness--if the witness is one retained or specially employed to provide expert testimony in the case or one whose duties as the party's employee regularly involve giving expert testimony. The report must contain:</w:t>
      </w:r>
    </w:p>
    <w:p w:rsidR="00092694" w:rsidRPr="004B1B48" w:rsidRDefault="00092694" w:rsidP="00092694">
      <w:pPr>
        <w:spacing w:after="0" w:line="240" w:lineRule="auto"/>
        <w:ind w:left="360" w:right="720"/>
        <w:jc w:val="both"/>
        <w:rPr>
          <w:rFonts w:ascii="Century Schoolbook" w:eastAsia="Times New Roman" w:hAnsi="Century Schoolbook" w:cs="Times New Roman"/>
        </w:rPr>
      </w:pPr>
    </w:p>
    <w:p w:rsidR="00092694" w:rsidRPr="004B1B48" w:rsidRDefault="00092694" w:rsidP="00753298">
      <w:pPr>
        <w:spacing w:after="0" w:line="240" w:lineRule="auto"/>
        <w:ind w:left="1080" w:right="1080"/>
        <w:jc w:val="both"/>
        <w:rPr>
          <w:rFonts w:ascii="Century Schoolbook" w:eastAsia="Times New Roman" w:hAnsi="Century Schoolbook" w:cs="Times New Roman"/>
        </w:rPr>
      </w:pPr>
      <w:r w:rsidRPr="004B1B48">
        <w:rPr>
          <w:rFonts w:ascii="Century Schoolbook" w:eastAsia="Times New Roman" w:hAnsi="Century Schoolbook" w:cs="Times New Roman"/>
        </w:rPr>
        <w:t>(i)  a complete statement of all opinions the witness will express and the basis and reasons for them;</w:t>
      </w:r>
    </w:p>
    <w:p w:rsidR="00092694" w:rsidRPr="004B1B48" w:rsidRDefault="00092694" w:rsidP="00092694">
      <w:pPr>
        <w:spacing w:after="0" w:line="240" w:lineRule="auto"/>
        <w:ind w:left="1080" w:right="72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(ii)  the facts or data considered by the </w:t>
      </w:r>
      <w:r w:rsidRPr="004B1B48">
        <w:rPr>
          <w:rFonts w:ascii="Century Schoolbook" w:eastAsia="Times New Roman" w:hAnsi="Century Schoolbook" w:cs="Times New Roman"/>
        </w:rPr>
        <w:lastRenderedPageBreak/>
        <w:t>witness in forming them;</w:t>
      </w:r>
    </w:p>
    <w:p w:rsidR="00092694" w:rsidRPr="004B1B48" w:rsidRDefault="00092694" w:rsidP="00092694">
      <w:pPr>
        <w:spacing w:after="0" w:line="240" w:lineRule="auto"/>
        <w:ind w:left="1080" w:right="720"/>
        <w:jc w:val="both"/>
        <w:rPr>
          <w:rFonts w:ascii="Century Schoolbook" w:eastAsia="Times New Roman" w:hAnsi="Century Schoolbook" w:cs="Times New Roman"/>
        </w:rPr>
      </w:pPr>
      <w:r w:rsidRPr="004B1B48">
        <w:rPr>
          <w:rFonts w:ascii="Century Schoolbook" w:eastAsia="Times New Roman" w:hAnsi="Century Schoolbook" w:cs="Times New Roman"/>
        </w:rPr>
        <w:t>(iii)  any exhibits that will be used to summarize or support them;</w:t>
      </w:r>
    </w:p>
    <w:p w:rsidR="00092694" w:rsidRPr="004B1B48" w:rsidRDefault="00092694" w:rsidP="00092694">
      <w:pPr>
        <w:spacing w:after="0" w:line="240" w:lineRule="auto"/>
        <w:ind w:left="1080" w:right="720"/>
        <w:jc w:val="both"/>
        <w:rPr>
          <w:rFonts w:ascii="Century Schoolbook" w:eastAsia="Times New Roman" w:hAnsi="Century Schoolbook" w:cs="Times New Roman"/>
        </w:rPr>
      </w:pPr>
      <w:r w:rsidRPr="004B1B48">
        <w:rPr>
          <w:rFonts w:ascii="Century Schoolbook" w:eastAsia="Times New Roman" w:hAnsi="Century Schoolbook" w:cs="Times New Roman"/>
        </w:rPr>
        <w:t>(iv)  the witness's qualifications, including a list of all publications authored in the previous 10 years;</w:t>
      </w:r>
    </w:p>
    <w:p w:rsidR="00092694" w:rsidRPr="004B1B48" w:rsidRDefault="00092694" w:rsidP="00092694">
      <w:pPr>
        <w:spacing w:after="0" w:line="240" w:lineRule="auto"/>
        <w:ind w:left="1080" w:right="720"/>
        <w:jc w:val="both"/>
        <w:rPr>
          <w:rFonts w:ascii="Century Schoolbook" w:eastAsia="Times New Roman" w:hAnsi="Century Schoolbook" w:cs="Times New Roman"/>
        </w:rPr>
      </w:pPr>
      <w:r w:rsidRPr="004B1B48">
        <w:rPr>
          <w:rFonts w:ascii="Century Schoolbook" w:eastAsia="Times New Roman" w:hAnsi="Century Schoolbook" w:cs="Times New Roman"/>
        </w:rPr>
        <w:t>(v)  a list of all other cases in which, during the previous 4 years, the witness testified as an expert at trial or by deposition; and</w:t>
      </w:r>
    </w:p>
    <w:p w:rsidR="00092694" w:rsidRPr="004B1B48" w:rsidRDefault="00092694" w:rsidP="00092694">
      <w:pPr>
        <w:spacing w:after="0" w:line="240" w:lineRule="auto"/>
        <w:ind w:left="1080" w:right="720"/>
        <w:jc w:val="both"/>
        <w:rPr>
          <w:rFonts w:ascii="Century Schoolbook" w:eastAsia="Times New Roman" w:hAnsi="Century Schoolbook" w:cs="Times New Roman"/>
        </w:rPr>
      </w:pPr>
      <w:r w:rsidRPr="004B1B48">
        <w:rPr>
          <w:rFonts w:ascii="Century Schoolbook" w:eastAsia="Times New Roman" w:hAnsi="Century Schoolbook" w:cs="Times New Roman"/>
        </w:rPr>
        <w:t>(vi)  a statement of the compensation to be paid for the study and testimony in the case.</w:t>
      </w:r>
      <w:r w:rsidRPr="004B1B48">
        <w:rPr>
          <w:rFonts w:ascii="Century Schoolbook" w:eastAsia="Times New Roman" w:hAnsi="Century Schoolbook" w:cs="Times New Roman"/>
          <w:vertAlign w:val="superscript"/>
        </w:rPr>
        <w:endnoteReference w:id="161"/>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Complying with subsections (i) through (vi) entails a significant amount of work, record keeping, and document compilation, so that counsel opposing the expert is assured access to the expert witness’ relevant testimonial history.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To eliminate the rigors of complying with the reporting and record keeping requirements of Fed. R. Civ. P. 26(a)(2)(B) in certain circumstances, Fed. R. Civ. P. 26(a)(2)(C) was introduced in 2010.  This section does not require any written reporting or record keeping and is intended to apply to “non-retained” or “non-litigation” experts.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Fed. R. Civ. P. 26(a)(2)(C) states:</w:t>
      </w:r>
    </w:p>
    <w:p w:rsidR="00092694" w:rsidRPr="004B1B48" w:rsidRDefault="00092694" w:rsidP="00092694">
      <w:pPr>
        <w:spacing w:after="0" w:line="240" w:lineRule="auto"/>
        <w:ind w:left="1080" w:right="720"/>
        <w:jc w:val="both"/>
        <w:rPr>
          <w:rFonts w:ascii="Century Schoolbook" w:eastAsia="Times New Roman" w:hAnsi="Century Schoolbook" w:cs="Times New Roman"/>
        </w:rPr>
      </w:pPr>
    </w:p>
    <w:p w:rsidR="00092694" w:rsidRPr="004B1B48" w:rsidRDefault="00092694" w:rsidP="00753298">
      <w:pPr>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rPr>
        <w:lastRenderedPageBreak/>
        <w:t xml:space="preserve">C)  </w:t>
      </w:r>
      <w:r w:rsidRPr="004B1B48">
        <w:rPr>
          <w:rFonts w:ascii="Century Schoolbook" w:eastAsia="Times New Roman" w:hAnsi="Century Schoolbook" w:cs="Times New Roman"/>
          <w:u w:val="single"/>
        </w:rPr>
        <w:t>Witnesses Who Do Not Provide a Written Report</w:t>
      </w:r>
      <w:r w:rsidRPr="004B1B48">
        <w:rPr>
          <w:rFonts w:ascii="Century Schoolbook" w:eastAsia="Times New Roman" w:hAnsi="Century Schoolbook" w:cs="Times New Roman"/>
        </w:rPr>
        <w:t>. Unless otherwise stipulated or ordered by the court, if the witness is not required to provide a written report, this disclosure must state:</w:t>
      </w:r>
    </w:p>
    <w:p w:rsidR="00092694" w:rsidRPr="004B1B48" w:rsidRDefault="00092694" w:rsidP="00092694">
      <w:pPr>
        <w:spacing w:after="0" w:line="240" w:lineRule="auto"/>
        <w:ind w:left="720" w:right="720"/>
        <w:jc w:val="both"/>
        <w:rPr>
          <w:rFonts w:ascii="Century Schoolbook" w:eastAsia="Times New Roman" w:hAnsi="Century Schoolbook" w:cs="Times New Roman"/>
        </w:rPr>
      </w:pPr>
    </w:p>
    <w:p w:rsidR="00092694" w:rsidRPr="004B1B48" w:rsidRDefault="00092694" w:rsidP="00753298">
      <w:pPr>
        <w:spacing w:after="0" w:line="240" w:lineRule="auto"/>
        <w:ind w:left="1080" w:right="1080"/>
        <w:jc w:val="both"/>
        <w:rPr>
          <w:rFonts w:ascii="Century Schoolbook" w:eastAsia="Times New Roman" w:hAnsi="Century Schoolbook" w:cs="Times New Roman"/>
        </w:rPr>
      </w:pPr>
      <w:r w:rsidRPr="004B1B48">
        <w:rPr>
          <w:rFonts w:ascii="Century Schoolbook" w:eastAsia="Times New Roman" w:hAnsi="Century Schoolbook" w:cs="Times New Roman"/>
        </w:rPr>
        <w:t>(i)  the subject matter on which the witness is expected to present evidence under Federal Rule of Evidence 702, 703, or 705; and</w:t>
      </w:r>
    </w:p>
    <w:p w:rsidR="00092694" w:rsidRPr="004B1B48" w:rsidRDefault="00092694" w:rsidP="001D23EC">
      <w:pPr>
        <w:spacing w:after="0" w:line="240" w:lineRule="auto"/>
        <w:ind w:left="1080" w:right="1080"/>
        <w:jc w:val="both"/>
        <w:rPr>
          <w:rFonts w:ascii="Century Schoolbook" w:eastAsia="Times New Roman" w:hAnsi="Century Schoolbook" w:cs="Times New Roman"/>
        </w:rPr>
      </w:pPr>
      <w:r w:rsidRPr="004B1B48">
        <w:rPr>
          <w:rFonts w:ascii="Century Schoolbook" w:eastAsia="Times New Roman" w:hAnsi="Century Schoolbook" w:cs="Times New Roman"/>
        </w:rPr>
        <w:t>(ii)  a summary of the facts and opinions to which the witness is expected to testify.</w:t>
      </w:r>
      <w:r w:rsidRPr="004B1B48">
        <w:rPr>
          <w:rFonts w:ascii="Century Schoolbook" w:eastAsia="Times New Roman" w:hAnsi="Century Schoolbook" w:cs="Times New Roman"/>
          <w:vertAlign w:val="superscript"/>
        </w:rPr>
        <w:endnoteReference w:id="162"/>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Committee Notes state that the reason for this section’s lower standard is to shield non-retained experts from the burdens of producing an onerous report.</w:t>
      </w:r>
      <w:r w:rsidRPr="004B1B48">
        <w:rPr>
          <w:rFonts w:ascii="Century Schoolbook" w:eastAsia="Times New Roman" w:hAnsi="Century Schoolbook" w:cs="Times New Roman"/>
          <w:vertAlign w:val="superscript"/>
        </w:rPr>
        <w:endnoteReference w:id="163"/>
      </w:r>
      <w:r w:rsidRPr="004B1B48">
        <w:rPr>
          <w:rFonts w:ascii="Century Schoolbook" w:eastAsia="Times New Roman" w:hAnsi="Century Schoolbook" w:cs="Times New Roman"/>
        </w:rPr>
        <w:t xml:space="preserve">  The notes reference treating physicians and other health care professionals as the most common examples of non-retained experts.</w:t>
      </w:r>
      <w:r w:rsidRPr="004B1B48">
        <w:rPr>
          <w:rFonts w:ascii="Century Schoolbook" w:eastAsia="Times New Roman" w:hAnsi="Century Schoolbook" w:cs="Times New Roman"/>
          <w:vertAlign w:val="superscript"/>
        </w:rPr>
        <w:endnoteReference w:id="164"/>
      </w:r>
      <w:r w:rsidRPr="004B1B48">
        <w:rPr>
          <w:rFonts w:ascii="Century Schoolbook" w:eastAsia="Times New Roman" w:hAnsi="Century Schoolbook" w:cs="Times New Roman"/>
        </w:rPr>
        <w:t xml:space="preserve">  </w:t>
      </w:r>
    </w:p>
    <w:p w:rsidR="00092694" w:rsidRDefault="00092694" w:rsidP="00092694">
      <w:pPr>
        <w:spacing w:after="0" w:line="240" w:lineRule="auto"/>
        <w:ind w:firstLine="360"/>
        <w:jc w:val="both"/>
        <w:rPr>
          <w:rFonts w:ascii="Century Schoolbook" w:eastAsia="Times New Roman" w:hAnsi="Century Schoolbook" w:cs="Times New Roman"/>
        </w:rPr>
      </w:pPr>
    </w:p>
    <w:p w:rsidR="004B1B48" w:rsidRPr="004B1B48" w:rsidRDefault="004B1B48" w:rsidP="00092694">
      <w:pPr>
        <w:spacing w:after="0" w:line="240" w:lineRule="auto"/>
        <w:ind w:firstLine="360"/>
        <w:jc w:val="both"/>
        <w:rPr>
          <w:rFonts w:ascii="Century Schoolbook" w:eastAsia="Times New Roman" w:hAnsi="Century Schoolbook" w:cs="Times New Roman"/>
        </w:rPr>
      </w:pPr>
    </w:p>
    <w:p w:rsidR="00092694" w:rsidRPr="004B1B48" w:rsidRDefault="00092694" w:rsidP="00092694">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III.</w:t>
      </w:r>
      <w:r w:rsidRPr="004B1B48">
        <w:rPr>
          <w:rFonts w:ascii="Century Schoolbook" w:eastAsia="Times New Roman" w:hAnsi="Century Schoolbook" w:cs="Times New Roman"/>
          <w:b/>
        </w:rPr>
        <w:tab/>
        <w:t>Defense Lawyer Must Demand Reports from Treating Physicians Involved in Answering Hypothetical Questions</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Although the 2010 Amendments provide more clarity to the retained/non-retained expert dichotomy, the simple fact that a </w:t>
      </w:r>
      <w:r w:rsidRPr="004B1B48">
        <w:rPr>
          <w:rFonts w:ascii="Century Schoolbook" w:eastAsia="Times New Roman" w:hAnsi="Century Schoolbook" w:cs="Times New Roman"/>
        </w:rPr>
        <w:lastRenderedPageBreak/>
        <w:t>treating physician testifies as an expert does not create an absolute shield for doctors from the requirements of Fed. R. Civ. P. 26(a)(2)(B).  In fact, the term “treating physician” holds no legal significance whatsoever as a term of art.</w:t>
      </w:r>
      <w:r w:rsidRPr="004B1B48">
        <w:rPr>
          <w:rFonts w:ascii="Century Schoolbook" w:eastAsia="Times New Roman" w:hAnsi="Century Schoolbook" w:cs="Times New Roman"/>
          <w:vertAlign w:val="superscript"/>
        </w:rPr>
        <w:endnoteReference w:id="165"/>
      </w:r>
      <w:r w:rsidRPr="004B1B48">
        <w:rPr>
          <w:rFonts w:ascii="Century Schoolbook" w:eastAsia="Times New Roman" w:hAnsi="Century Schoolbook" w:cs="Times New Roman"/>
        </w:rPr>
        <w:t xml:space="preserve">  Instead, the breakdown between who must submit a report versus a summary has everything to do with the type of testimony the expert intends to provide.  This is where defense counsel defending a disputed injury claim must be ready, so that the defendant has the full benefit of the reporting and record keeping requirements of 26(a)(2)(B).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In order to avoid the requirement of producing a full 26(a)(2)(B) expert report, a treating physician must testify only with regard to opinions “formed and based upon observations made during the course of treatment.”</w:t>
      </w:r>
      <w:r w:rsidRPr="004B1B48">
        <w:rPr>
          <w:rFonts w:ascii="Century Schoolbook" w:eastAsia="Times New Roman" w:hAnsi="Century Schoolbook" w:cs="Times New Roman"/>
          <w:vertAlign w:val="superscript"/>
        </w:rPr>
        <w:endnoteReference w:id="166"/>
      </w:r>
      <w:r w:rsidRPr="004B1B48">
        <w:rPr>
          <w:rFonts w:ascii="Century Schoolbook" w:eastAsia="Times New Roman" w:hAnsi="Century Schoolbook" w:cs="Times New Roman"/>
        </w:rPr>
        <w:t xml:space="preserve">  Once a physician’s testimony exceeds opinions “formed and based upon observations made during the course of treatment,” his or her opinions trigger the requirements of 26(a)(2)(B).</w:t>
      </w:r>
      <w:r w:rsidRPr="004B1B48">
        <w:rPr>
          <w:rFonts w:ascii="Century Schoolbook" w:eastAsia="Times New Roman" w:hAnsi="Century Schoolbook" w:cs="Times New Roman"/>
          <w:vertAlign w:val="superscript"/>
        </w:rPr>
        <w:endnoteReference w:id="167"/>
      </w:r>
      <w:r w:rsidRPr="004B1B48">
        <w:rPr>
          <w:rFonts w:ascii="Century Schoolbook" w:eastAsia="Times New Roman" w:hAnsi="Century Schoolbook" w:cs="Times New Roman"/>
        </w:rPr>
        <w:t xml:space="preserve">  Courts sometimes use the term “hybrid expert” to describe occasions where the line is blurred between a non-retained treating physician opining on medical issues observed during treatment and a retained expert who provides opinions and answers to scientific, non-medical hypotheticals.</w:t>
      </w:r>
      <w:r w:rsidRPr="004B1B48">
        <w:rPr>
          <w:rFonts w:ascii="Century Schoolbook" w:eastAsia="Times New Roman" w:hAnsi="Century Schoolbook" w:cs="Times New Roman"/>
          <w:vertAlign w:val="superscript"/>
        </w:rPr>
        <w:endnoteReference w:id="168"/>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It is extremely important to initially determine two things: 1) what kind of testimony the physician intends to provide, and 2) where, when, and how the treating physicians obtained their knowledge of the case that formed their opinions.  To break down this analysis, here is a common </w:t>
      </w:r>
      <w:r w:rsidRPr="004B1B48">
        <w:rPr>
          <w:rFonts w:ascii="Century Schoolbook" w:eastAsia="Times New Roman" w:hAnsi="Century Schoolbook" w:cs="Times New Roman"/>
        </w:rPr>
        <w:lastRenderedPageBreak/>
        <w:t>example of where the treating physician morphs from a non-retained expert (no report required) into a retained expert (full Rule 26 report required).</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i/>
        </w:rPr>
        <w:t>Common Scenario</w:t>
      </w:r>
      <w:r w:rsidRPr="004B1B48">
        <w:rPr>
          <w:rFonts w:ascii="Century Schoolbook" w:eastAsia="Times New Roman" w:hAnsi="Century Schoolbook" w:cs="Times New Roman"/>
        </w:rPr>
        <w:t>: On July 1, a Mini Cooper rear-ends the plaintiff’s vehicle.  On July 8, a fully-loaded tractor trailer rear-ends the plaintiff in another vehicle.  The plaintiff visited Dr. Alpha after each incident, complaining of neck, back, and shoulder pain on both occasions.</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In this Scenario, Dr. Alpha properly treated the plaintiff after the two accidents: one involving a 2,500-pound Mini Cooper and the other an 80,000-pound tractor-trailer.  Plaintiff sought out Dr. Alpha and received treatment.  If the physician’s later testimony relates to what he observed during the normal course of treatment, then this is exactly the manner of expert testimony which Rule 26(a)(2)(C) intends to address.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What defense counsel hears in Dr. Alpha’s deposition, however, are questions from the plaintiff’s attorney such as:</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753298">
      <w:pPr>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u w:val="single"/>
        </w:rPr>
        <w:t>Q</w:t>
      </w:r>
      <w:r w:rsidRPr="004B1B48">
        <w:rPr>
          <w:rFonts w:ascii="Century Schoolbook" w:eastAsia="Times New Roman" w:hAnsi="Century Schoolbook" w:cs="Times New Roman"/>
        </w:rPr>
        <w:t xml:space="preserve">: </w:t>
      </w:r>
      <w:r w:rsidRPr="004B1B48">
        <w:rPr>
          <w:rFonts w:ascii="Century Schoolbook" w:eastAsia="Times New Roman" w:hAnsi="Century Schoolbook" w:cs="Times New Roman"/>
        </w:rPr>
        <w:tab/>
        <w:t>Which accident do you believe, in your expert opinion, caused a greater proportion of the injuries that Plaintiff continues to complain of?</w:t>
      </w:r>
    </w:p>
    <w:p w:rsidR="00092694" w:rsidRPr="004B1B48" w:rsidRDefault="00092694" w:rsidP="00092694">
      <w:pPr>
        <w:spacing w:after="0" w:line="240" w:lineRule="auto"/>
        <w:ind w:left="720" w:right="720"/>
        <w:jc w:val="both"/>
        <w:rPr>
          <w:rFonts w:ascii="Century Schoolbook" w:eastAsia="Times New Roman" w:hAnsi="Century Schoolbook" w:cs="Times New Roman"/>
        </w:rPr>
      </w:pPr>
    </w:p>
    <w:p w:rsidR="00092694" w:rsidRPr="004B1B48" w:rsidRDefault="00092694" w:rsidP="00753298">
      <w:pPr>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u w:val="single"/>
        </w:rPr>
        <w:t>A</w:t>
      </w:r>
      <w:r w:rsidRPr="004B1B48">
        <w:rPr>
          <w:rFonts w:ascii="Century Schoolbook" w:eastAsia="Times New Roman" w:hAnsi="Century Schoolbook" w:cs="Times New Roman"/>
        </w:rPr>
        <w:t>:</w:t>
      </w:r>
      <w:r w:rsidRPr="004B1B48">
        <w:rPr>
          <w:rFonts w:ascii="Century Schoolbook" w:eastAsia="Times New Roman" w:hAnsi="Century Schoolbook" w:cs="Times New Roman"/>
        </w:rPr>
        <w:tab/>
        <w:t>I cannot say for certain, but my general opinion is that an 80,000-pound tractor-trailer can cause more significant and long-</w:t>
      </w:r>
      <w:r w:rsidRPr="004B1B48">
        <w:rPr>
          <w:rFonts w:ascii="Century Schoolbook" w:eastAsia="Times New Roman" w:hAnsi="Century Schoolbook" w:cs="Times New Roman"/>
        </w:rPr>
        <w:lastRenderedPageBreak/>
        <w:t xml:space="preserve">lasting injuries than a 2,500-pound mini car.  As a result, I believe the truck wreck caused the plaintiff to have to undergo surgery.   </w:t>
      </w:r>
    </w:p>
    <w:p w:rsidR="00092694" w:rsidRPr="004B1B48" w:rsidRDefault="00092694" w:rsidP="00092694">
      <w:pPr>
        <w:spacing w:after="0" w:line="240" w:lineRule="auto"/>
        <w:ind w:left="720" w:right="720"/>
        <w:jc w:val="both"/>
        <w:rPr>
          <w:rFonts w:ascii="Century Schoolbook" w:eastAsia="Times New Roman" w:hAnsi="Century Schoolbook" w:cs="Times New Roman"/>
        </w:rPr>
      </w:pPr>
    </w:p>
    <w:p w:rsidR="00092694" w:rsidRPr="004B1B48" w:rsidRDefault="00092694" w:rsidP="00092694">
      <w:pPr>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u w:val="single"/>
        </w:rPr>
        <w:t>Q</w:t>
      </w:r>
      <w:r w:rsidRPr="004B1B48">
        <w:rPr>
          <w:rFonts w:ascii="Century Schoolbook" w:eastAsia="Times New Roman" w:hAnsi="Century Schoolbook" w:cs="Times New Roman"/>
        </w:rPr>
        <w:t>: Can you attribute the injury of the plaintiff’s neck and back, later requiring a surgical procedure, to one accident more than the other?</w:t>
      </w:r>
    </w:p>
    <w:p w:rsidR="00092694" w:rsidRPr="004B1B48" w:rsidRDefault="00092694" w:rsidP="00092694">
      <w:pPr>
        <w:spacing w:after="0" w:line="240" w:lineRule="auto"/>
        <w:ind w:left="720" w:right="720"/>
        <w:jc w:val="both"/>
        <w:rPr>
          <w:rFonts w:ascii="Century Schoolbook" w:eastAsia="Times New Roman" w:hAnsi="Century Schoolbook" w:cs="Times New Roman"/>
        </w:rPr>
      </w:pPr>
    </w:p>
    <w:p w:rsidR="00092694" w:rsidRPr="004B1B48" w:rsidRDefault="00092694" w:rsidP="00092694">
      <w:pPr>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u w:val="single"/>
        </w:rPr>
        <w:t>A</w:t>
      </w:r>
      <w:r w:rsidRPr="004B1B48">
        <w:rPr>
          <w:rFonts w:ascii="Century Schoolbook" w:eastAsia="Times New Roman" w:hAnsi="Century Schoolbook" w:cs="Times New Roman"/>
        </w:rPr>
        <w:t>:</w:t>
      </w:r>
      <w:r w:rsidRPr="004B1B48">
        <w:rPr>
          <w:rFonts w:ascii="Century Schoolbook" w:eastAsia="Times New Roman" w:hAnsi="Century Schoolbook" w:cs="Times New Roman"/>
        </w:rPr>
        <w:tab/>
        <w:t xml:space="preserve">Again, I cannot say for certain, but to within a reasonable degree of medical certainty, I believe the truck wreck probably caused the surgery.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Although it is true that these questions deal with the medical treatment of the plaintiff, the treating physician, in order to answer these questions, would not only have to delve into the speeds and forces involved in each wreck but also have to opine on scientific principles that are not simply based on the doctor’s treatment of the plaintiff’s neck, back, and shoulder.   In effect, the plaintiff’s lawyer’s questions are transforming the treating physician from a non-retained expert into an expert who must analyze factors such as vehicle weight, car design, delta-V speeds, and G forces in two different car accidents.  These questions are more properly put to qualified accident reconstructionists or biomechanical experts, and the law requires those types of experts to submit full 26(a)(2)(B) expert reports in order to </w:t>
      </w:r>
      <w:r w:rsidRPr="004B1B48">
        <w:rPr>
          <w:rFonts w:ascii="Century Schoolbook" w:eastAsia="Times New Roman" w:hAnsi="Century Schoolbook" w:cs="Times New Roman"/>
        </w:rPr>
        <w:lastRenderedPageBreak/>
        <w:t>demonstrate their expertise and provide their opinions.</w:t>
      </w:r>
      <w:r w:rsidRPr="004B1B48">
        <w:rPr>
          <w:rFonts w:ascii="Century Schoolbook" w:eastAsia="Times New Roman" w:hAnsi="Century Schoolbook" w:cs="Times New Roman"/>
          <w:vertAlign w:val="superscript"/>
        </w:rPr>
        <w:endnoteReference w:id="169"/>
      </w:r>
    </w:p>
    <w:p w:rsidR="00092694" w:rsidRPr="004B1B48" w:rsidRDefault="00092694" w:rsidP="00092694">
      <w:pPr>
        <w:spacing w:after="0" w:line="240" w:lineRule="auto"/>
        <w:rPr>
          <w:rFonts w:ascii="Century Schoolbook" w:eastAsia="Times New Roman" w:hAnsi="Century Schoolbook" w:cs="Times New Roman"/>
          <w:b/>
        </w:rPr>
      </w:pPr>
    </w:p>
    <w:p w:rsidR="00092694" w:rsidRPr="004B1B48" w:rsidRDefault="00092694" w:rsidP="004B1B48">
      <w:pPr>
        <w:autoSpaceDE w:val="0"/>
        <w:autoSpaceDN w:val="0"/>
        <w:adjustRightInd w:val="0"/>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The question of when a treating physician crosses the line from a non-retained, hybrid witness to one who is required to prepare an expert report does not appear to have been decided in the Eleventh Circuit.  The Eleventh Circuit has acknowledged that “special evidentiary problems” may arise when treating physicians offer testimony.  This issue came up recently in </w:t>
      </w:r>
      <w:r w:rsidRPr="004B1B48">
        <w:rPr>
          <w:rFonts w:ascii="Century Schoolbook" w:eastAsia="Times New Roman" w:hAnsi="Century Schoolbook" w:cs="Times New Roman"/>
          <w:i/>
        </w:rPr>
        <w:t>Williams v. Mast Biosurgery USA, Inc.</w:t>
      </w:r>
      <w:r w:rsidRPr="004B1B48">
        <w:rPr>
          <w:rFonts w:ascii="Century Schoolbook" w:eastAsia="Times New Roman" w:hAnsi="Century Schoolbook" w:cs="Times New Roman"/>
          <w:vertAlign w:val="superscript"/>
        </w:rPr>
        <w:endnoteReference w:id="170"/>
      </w:r>
      <w:r w:rsidRPr="004B1B48">
        <w:rPr>
          <w:rFonts w:ascii="Century Schoolbook" w:eastAsia="Times New Roman" w:hAnsi="Century Schoolbook" w:cs="Times New Roman"/>
        </w:rPr>
        <w:t xml:space="preserve">  In </w:t>
      </w:r>
      <w:r w:rsidRPr="004B1B48">
        <w:rPr>
          <w:rFonts w:ascii="Century Schoolbook" w:eastAsia="Times New Roman" w:hAnsi="Century Schoolbook" w:cs="Times New Roman"/>
          <w:i/>
          <w:iCs/>
        </w:rPr>
        <w:t>Williams</w:t>
      </w:r>
      <w:r w:rsidRPr="004B1B48">
        <w:rPr>
          <w:rFonts w:ascii="Century Schoolbook" w:eastAsia="Times New Roman" w:hAnsi="Century Schoolbook" w:cs="Times New Roman"/>
        </w:rPr>
        <w:t>, the court noted:</w:t>
      </w:r>
    </w:p>
    <w:p w:rsidR="00092694" w:rsidRPr="004B1B48" w:rsidRDefault="00092694" w:rsidP="00092694">
      <w:pPr>
        <w:autoSpaceDE w:val="0"/>
        <w:autoSpaceDN w:val="0"/>
        <w:adjustRightInd w:val="0"/>
        <w:spacing w:after="0" w:line="240" w:lineRule="auto"/>
        <w:rPr>
          <w:rFonts w:ascii="Century Schoolbook" w:eastAsia="Times New Roman" w:hAnsi="Century Schoolbook" w:cs="Times New Roman"/>
        </w:rPr>
      </w:pPr>
    </w:p>
    <w:p w:rsidR="00092694" w:rsidRPr="004B1B48" w:rsidRDefault="00092694" w:rsidP="00753298">
      <w:pPr>
        <w:autoSpaceDE w:val="0"/>
        <w:autoSpaceDN w:val="0"/>
        <w:adjustRightInd w:val="0"/>
        <w:spacing w:after="0" w:line="240" w:lineRule="auto"/>
        <w:ind w:left="720" w:right="720"/>
        <w:jc w:val="both"/>
        <w:rPr>
          <w:rFonts w:ascii="Century Schoolbook" w:eastAsia="Times New Roman" w:hAnsi="Century Schoolbook" w:cs="Times New Roman"/>
        </w:rPr>
      </w:pPr>
      <w:r w:rsidRPr="004B1B48">
        <w:rPr>
          <w:rFonts w:ascii="Century Schoolbook" w:eastAsia="Times New Roman" w:hAnsi="Century Schoolbook" w:cs="Times New Roman"/>
        </w:rPr>
        <w:t>Much of the testimony proffered by treating physicians is on account of their experience in the course of providing care to their patients.  Often, however, their proffered testimony can go beyond that sphere and purport to provide explanations of scientific and technical information not grounded in their own observations and technical experience.  When such a situation presents itself, the trial court must determine whether testimony not grounded in the physician’s own experience meets the standard for admission as expert testimony.</w:t>
      </w:r>
      <w:r w:rsidRPr="004B1B48">
        <w:rPr>
          <w:rFonts w:ascii="Century Schoolbook" w:eastAsia="Times New Roman" w:hAnsi="Century Schoolbook" w:cs="Times New Roman"/>
          <w:vertAlign w:val="superscript"/>
        </w:rPr>
        <w:endnoteReference w:id="171"/>
      </w:r>
    </w:p>
    <w:p w:rsidR="00092694" w:rsidRPr="004B1B48" w:rsidRDefault="00092694" w:rsidP="00092694">
      <w:pPr>
        <w:autoSpaceDE w:val="0"/>
        <w:autoSpaceDN w:val="0"/>
        <w:adjustRightInd w:val="0"/>
        <w:spacing w:after="0" w:line="240" w:lineRule="auto"/>
        <w:ind w:left="720" w:right="720"/>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Eleventh Circuit also has recognized that “the ability to answer hypothetical questions is ‘[t]he essential difference’ between expert and lay witnesses.”</w:t>
      </w:r>
      <w:r w:rsidRPr="004B1B48">
        <w:rPr>
          <w:rFonts w:ascii="Century Schoolbook" w:eastAsia="Times New Roman" w:hAnsi="Century Schoolbook" w:cs="Times New Roman"/>
          <w:vertAlign w:val="superscript"/>
        </w:rPr>
        <w:endnoteReference w:id="172"/>
      </w:r>
      <w:r w:rsidRPr="004B1B48">
        <w:rPr>
          <w:rFonts w:ascii="Century Schoolbook" w:eastAsia="Times New Roman" w:hAnsi="Century Schoolbook" w:cs="Times New Roman"/>
        </w:rPr>
        <w:t xml:space="preserve">  As to the type of </w:t>
      </w:r>
      <w:r w:rsidRPr="004B1B48">
        <w:rPr>
          <w:rFonts w:ascii="Century Schoolbook" w:eastAsia="Times New Roman" w:hAnsi="Century Schoolbook" w:cs="Times New Roman"/>
        </w:rPr>
        <w:lastRenderedPageBreak/>
        <w:t xml:space="preserve">deposition questions mentioned above, these appellate cases indicate that their hypothetical nature marks the boundary at which a full expert report is required.  The reason a full expert would be required is to ultimately ensure that the evidentiary standards for admission of expert testimony under </w:t>
      </w:r>
      <w:r w:rsidRPr="004B1B48">
        <w:rPr>
          <w:rFonts w:ascii="Century Schoolbook" w:eastAsia="Times New Roman" w:hAnsi="Century Schoolbook" w:cs="Times New Roman"/>
          <w:i/>
        </w:rPr>
        <w:t>Daubert</w:t>
      </w:r>
      <w:r w:rsidRPr="004B1B48">
        <w:rPr>
          <w:rFonts w:ascii="Century Schoolbook" w:eastAsia="Times New Roman" w:hAnsi="Century Schoolbook" w:cs="Times New Roman"/>
        </w:rPr>
        <w:t xml:space="preserve"> and its progeny are complied with.  Unless the physician can rely on some observation made during treatment to allocate the injuries sustained between the two accidents, then the question is a technical hypothetical posed to a witness who might not be qualified to answer.  As a result, a full expert report would be required before any such hypothetical could be answered.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There is also guidance from the Ninth Circuit.  In </w:t>
      </w:r>
      <w:r w:rsidRPr="004B1B48">
        <w:rPr>
          <w:rFonts w:ascii="Century Schoolbook" w:eastAsia="Times New Roman" w:hAnsi="Century Schoolbook" w:cs="Times New Roman"/>
          <w:i/>
        </w:rPr>
        <w:t xml:space="preserve">Goodman </w:t>
      </w:r>
      <w:r w:rsidRPr="004B1B48">
        <w:rPr>
          <w:rFonts w:ascii="Century Schoolbook" w:eastAsia="Times New Roman" w:hAnsi="Century Schoolbook" w:cs="Times New Roman"/>
          <w:bCs/>
          <w:i/>
          <w:iCs/>
        </w:rPr>
        <w:t>v. Staples The Office Superstore, LLC</w:t>
      </w:r>
      <w:r w:rsidRPr="004B1B48">
        <w:rPr>
          <w:rFonts w:ascii="Century Schoolbook" w:eastAsia="Times New Roman" w:hAnsi="Century Schoolbook" w:cs="Times New Roman"/>
        </w:rPr>
        <w:t>, the plaintiff’s treating physicians crossed the line from a treating physician expert to a retained expert subject to Rule 26(a)(2)(B), because (1) they offered opinions which were not formed during the course of the treatment of the plaintiff, and (2) their opinions were based on a review of “information provided by [the plaintiff’s] attorney that they hadn’t reviewed during the course of treatment.”</w:t>
      </w:r>
      <w:r w:rsidRPr="004B1B48">
        <w:rPr>
          <w:rFonts w:ascii="Century Schoolbook" w:eastAsia="Times New Roman" w:hAnsi="Century Schoolbook" w:cs="Times New Roman"/>
          <w:vertAlign w:val="superscript"/>
        </w:rPr>
        <w:endnoteReference w:id="173"/>
      </w:r>
      <w:r w:rsidRPr="004B1B48">
        <w:rPr>
          <w:rFonts w:ascii="Century Schoolbook" w:eastAsia="Times New Roman" w:hAnsi="Century Schoolbook" w:cs="Times New Roman"/>
        </w:rPr>
        <w:t xml:space="preserve">  In announcing this ruling, the Ninth Circuit noted that its decision was consistent with holdings from the Sixth and Seventh Circuit Courts of Appeal and was less stringent than rulings from the Eighth Circuit, which require an expert report from </w:t>
      </w:r>
      <w:r w:rsidRPr="004B1B48">
        <w:rPr>
          <w:rFonts w:ascii="Century Schoolbook" w:eastAsia="Times New Roman" w:hAnsi="Century Schoolbook" w:cs="Times New Roman"/>
          <w:u w:val="single"/>
        </w:rPr>
        <w:t>any</w:t>
      </w:r>
      <w:r w:rsidRPr="004B1B48">
        <w:rPr>
          <w:rFonts w:ascii="Century Schoolbook" w:eastAsia="Times New Roman" w:hAnsi="Century Schoolbook" w:cs="Times New Roman"/>
        </w:rPr>
        <w:t xml:space="preserve"> treating physician who intends to offer testimony on the causation of a medical condition.</w:t>
      </w:r>
      <w:r w:rsidRPr="004B1B48">
        <w:rPr>
          <w:rFonts w:ascii="Century Schoolbook" w:eastAsia="Times New Roman" w:hAnsi="Century Schoolbook" w:cs="Times New Roman"/>
          <w:vertAlign w:val="superscript"/>
        </w:rPr>
        <w:endnoteReference w:id="174"/>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Likewise, in </w:t>
      </w:r>
      <w:r w:rsidRPr="004B1B48">
        <w:rPr>
          <w:rFonts w:ascii="Century Schoolbook" w:eastAsia="Times New Roman" w:hAnsi="Century Schoolbook" w:cs="Times New Roman"/>
          <w:i/>
        </w:rPr>
        <w:t xml:space="preserve">Ghiorzi </w:t>
      </w:r>
      <w:r w:rsidRPr="004B1B48">
        <w:rPr>
          <w:rFonts w:ascii="Century Schoolbook" w:eastAsia="Times New Roman" w:hAnsi="Century Schoolbook" w:cs="Times New Roman"/>
          <w:bCs/>
          <w:i/>
          <w:iCs/>
        </w:rPr>
        <w:t>v. Whitewater Pools &amp; Spas, Inc.</w:t>
      </w:r>
      <w:r w:rsidRPr="004B1B48">
        <w:rPr>
          <w:rFonts w:ascii="Century Schoolbook" w:eastAsia="Times New Roman" w:hAnsi="Century Schoolbook" w:cs="Times New Roman"/>
        </w:rPr>
        <w:t xml:space="preserve">, the treating </w:t>
      </w:r>
      <w:r w:rsidRPr="004B1B48">
        <w:rPr>
          <w:rFonts w:ascii="Century Schoolbook" w:eastAsia="Times New Roman" w:hAnsi="Century Schoolbook" w:cs="Times New Roman"/>
        </w:rPr>
        <w:lastRenderedPageBreak/>
        <w:t>anesthesiologist was precluded from offering opinions as to the cause of the plaintiff’s injuries, because he was contacted by the plaintiff’s attorney about offering opinion testimony on these topics, and the opinions were not formed during the course of the treatment of the plaintiff.  As a result, the proposed testimony was excluded because no Rule 26(a)(2)(B) report was produced.</w:t>
      </w:r>
      <w:r w:rsidRPr="004B1B48">
        <w:rPr>
          <w:rFonts w:ascii="Century Schoolbook" w:eastAsia="Times New Roman" w:hAnsi="Century Schoolbook" w:cs="Times New Roman"/>
          <w:vertAlign w:val="superscript"/>
        </w:rPr>
        <w:endnoteReference w:id="175"/>
      </w:r>
      <w:r w:rsidRPr="004B1B48">
        <w:rPr>
          <w:rFonts w:ascii="Century Schoolbook" w:eastAsia="Times New Roman" w:hAnsi="Century Schoolbook" w:cs="Times New Roman"/>
        </w:rPr>
        <w:t xml:space="preserve">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In short, a treating physician intending to offer testimony based on hypotheticals or intending to rely on facts or data gained or learned outside the treatment of the plaintiff is subject to the full expert report requirements of Fed. R. Civ. P. 26(a)(2)(B).</w:t>
      </w:r>
      <w:r w:rsidRPr="004B1B48">
        <w:rPr>
          <w:rFonts w:ascii="Century Schoolbook" w:eastAsia="Times New Roman" w:hAnsi="Century Schoolbook" w:cs="Times New Roman"/>
          <w:vertAlign w:val="superscript"/>
        </w:rPr>
        <w:endnoteReference w:id="176"/>
      </w:r>
      <w:r w:rsidRPr="004B1B48">
        <w:rPr>
          <w:rFonts w:ascii="Century Schoolbook" w:eastAsia="Times New Roman" w:hAnsi="Century Schoolbook" w:cs="Times New Roman"/>
        </w:rPr>
        <w:t xml:space="preserve">  On the other hand, a treating physician intending to testify only based on his own experience in actually treating the plaintiff is subject to the limited disclosure requirement of Rule 26(a)(2)(C).</w:t>
      </w:r>
      <w:r w:rsidRPr="004B1B48">
        <w:rPr>
          <w:rFonts w:ascii="Century Schoolbook" w:eastAsia="Times New Roman" w:hAnsi="Century Schoolbook" w:cs="Times New Roman"/>
          <w:vertAlign w:val="superscript"/>
        </w:rPr>
        <w:endnoteReference w:id="177"/>
      </w:r>
    </w:p>
    <w:p w:rsidR="00092694" w:rsidRDefault="00092694" w:rsidP="00092694">
      <w:pPr>
        <w:spacing w:after="0" w:line="240" w:lineRule="auto"/>
        <w:rPr>
          <w:rFonts w:ascii="Century Schoolbook" w:eastAsia="Times New Roman" w:hAnsi="Century Schoolbook" w:cs="Times New Roman"/>
          <w:b/>
        </w:rPr>
      </w:pPr>
    </w:p>
    <w:p w:rsidR="004B1B48" w:rsidRPr="004B1B48" w:rsidRDefault="004B1B48" w:rsidP="00092694">
      <w:pPr>
        <w:spacing w:after="0" w:line="240" w:lineRule="auto"/>
        <w:rPr>
          <w:rFonts w:ascii="Century Schoolbook" w:eastAsia="Times New Roman" w:hAnsi="Century Schoolbook" w:cs="Times New Roman"/>
          <w:b/>
        </w:rPr>
      </w:pPr>
    </w:p>
    <w:p w:rsidR="00092694" w:rsidRPr="004B1B48" w:rsidRDefault="00092694" w:rsidP="00092694">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IV.</w:t>
      </w:r>
      <w:r w:rsidRPr="004B1B48">
        <w:rPr>
          <w:rFonts w:ascii="Century Schoolbook" w:eastAsia="Times New Roman" w:hAnsi="Century Schoolbook" w:cs="Times New Roman"/>
          <w:b/>
        </w:rPr>
        <w:tab/>
        <w:t>Practical Implications</w:t>
      </w:r>
    </w:p>
    <w:p w:rsidR="00092694" w:rsidRPr="004B1B48" w:rsidRDefault="00092694" w:rsidP="00092694">
      <w:pPr>
        <w:spacing w:after="0" w:line="240" w:lineRule="auto"/>
        <w:rPr>
          <w:rFonts w:ascii="Century Schoolbook" w:eastAsia="Times New Roman" w:hAnsi="Century Schoolbook" w:cs="Times New Roman"/>
          <w:b/>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Plaintiff attorneys love cheap and easy ways to put evidence of medical causation in front of the jury.  Using the testimony of a treating physician, who already has a relationship with the plaintiff (and who may also be owed money by a plaintiff through treatment provided on a lien basis), can be a cheap and effective way to present causation evidence to the fact finder.  If the defense lawyer fails to demand that a full Rule 26 expert report be provided, then the plaintiff can place his causation argument before the jury without exposing the physician to impeachment opportunities which are often provided </w:t>
      </w:r>
      <w:r w:rsidRPr="004B1B48">
        <w:rPr>
          <w:rFonts w:ascii="Century Schoolbook" w:eastAsia="Times New Roman" w:hAnsi="Century Schoolbook" w:cs="Times New Roman"/>
        </w:rPr>
        <w:lastRenderedPageBreak/>
        <w:t xml:space="preserve">by full expert identification and reporting.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In addition, many treating physicians refuse to engage in pure litigation consulting and will not under any circumstances prepare the necessary report or retain the records necessary to comply with Rule 26(a)(2)(B).  By demanding compliance with Rule 26(a)(2)(B), defense counsel can limit and sometimes even exclude treating physicians from participating in the case.</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Using the example of the wrecks with the Mini Cooper and the tractor-trailer, a trial judge will be faced with deciding whether the treating physician is relying on hypotheticals, and, if so, whether that treating physician has produced a full 26(a)(2)(B) report.  By forcing the treating physician to produce that report, defense counsel can then cross-examine the treating physician on the assumed hypothetical facts and other assumptions made by the physician in opining that one wreck, and not the other, caused the surgery.  If the treating physician begins to rely on principles of accident reconstruction or bio-mechanics (without the requisite expertise), then the defense counsel has the physician in a position for a successful challenge under </w:t>
      </w:r>
      <w:r w:rsidRPr="004B1B48">
        <w:rPr>
          <w:rFonts w:ascii="Century Schoolbook" w:eastAsia="Times New Roman" w:hAnsi="Century Schoolbook" w:cs="Times New Roman"/>
          <w:i/>
        </w:rPr>
        <w:t>Daubert</w:t>
      </w:r>
      <w:r w:rsidRPr="004B1B48">
        <w:rPr>
          <w:rFonts w:ascii="Century Schoolbook" w:eastAsia="Times New Roman" w:hAnsi="Century Schoolbook" w:cs="Times New Roman"/>
        </w:rPr>
        <w:t xml:space="preserve">.  </w:t>
      </w:r>
    </w:p>
    <w:p w:rsidR="00092694" w:rsidRPr="004B1B48" w:rsidRDefault="00092694" w:rsidP="00092694">
      <w:pPr>
        <w:spacing w:after="0" w:line="240" w:lineRule="auto"/>
        <w:jc w:val="both"/>
        <w:rPr>
          <w:rFonts w:ascii="Century Schoolbook" w:eastAsia="Times New Roman" w:hAnsi="Century Schoolbook" w:cs="Times New Roman"/>
        </w:rPr>
      </w:pPr>
    </w:p>
    <w:p w:rsidR="00092694" w:rsidRPr="004B1B48" w:rsidRDefault="00092694" w:rsidP="00092694">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If outright witness exclusion does not work, another effective method of challenging improper physician testimony is to ask the judge to bifurcate the physician’s testimony.  Sometimes, a treating physician may be subject to 26(a)(2)(C) for some portions of testimony but may be deemed a retained expert subject to 26(a)(2)(B) for other portions.</w:t>
      </w:r>
      <w:r w:rsidRPr="004B1B48">
        <w:rPr>
          <w:rFonts w:ascii="Century Schoolbook" w:eastAsia="Times New Roman" w:hAnsi="Century Schoolbook" w:cs="Times New Roman"/>
          <w:vertAlign w:val="superscript"/>
        </w:rPr>
        <w:endnoteReference w:id="178"/>
      </w:r>
      <w:r w:rsidRPr="004B1B48">
        <w:rPr>
          <w:rFonts w:ascii="Century Schoolbook" w:eastAsia="Times New Roman" w:hAnsi="Century Schoolbook" w:cs="Times New Roman"/>
        </w:rPr>
        <w:t xml:space="preserve">  If </w:t>
      </w:r>
      <w:r w:rsidRPr="004B1B48">
        <w:rPr>
          <w:rFonts w:ascii="Century Schoolbook" w:eastAsia="Times New Roman" w:hAnsi="Century Schoolbook" w:cs="Times New Roman"/>
        </w:rPr>
        <w:lastRenderedPageBreak/>
        <w:t xml:space="preserve">there is any portion of the treating physician’s opinion that is based on information gained from anything other than the medical treatment itself, defense counsel must demand a Rule 26(a)(2)(B) report for any such opinion.  Do not allow the treating physician to testify on a disputed issue of medical causation based on facts gathered or learned outside of the medical treatment without demanding a full 26(a)(2)(B) report.  </w:t>
      </w:r>
    </w:p>
    <w:p w:rsidR="00092694" w:rsidRDefault="00092694" w:rsidP="00092694">
      <w:pPr>
        <w:spacing w:after="0" w:line="240" w:lineRule="auto"/>
        <w:rPr>
          <w:rFonts w:ascii="Century Schoolbook" w:eastAsia="Times New Roman" w:hAnsi="Century Schoolbook" w:cs="Times New Roman"/>
          <w:b/>
        </w:rPr>
      </w:pPr>
    </w:p>
    <w:p w:rsidR="008A0A9A" w:rsidRDefault="008A0A9A" w:rsidP="00092694">
      <w:pPr>
        <w:spacing w:after="0" w:line="240" w:lineRule="auto"/>
        <w:rPr>
          <w:rFonts w:ascii="Century Schoolbook" w:eastAsia="Times New Roman" w:hAnsi="Century Schoolbook" w:cs="Times New Roman"/>
          <w:b/>
        </w:rPr>
      </w:pPr>
    </w:p>
    <w:p w:rsidR="00092694" w:rsidRPr="004B1B48" w:rsidRDefault="00092694" w:rsidP="00092694">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V.</w:t>
      </w:r>
      <w:r w:rsidRPr="004B1B48">
        <w:rPr>
          <w:rFonts w:ascii="Century Schoolbook" w:eastAsia="Times New Roman" w:hAnsi="Century Schoolbook" w:cs="Times New Roman"/>
          <w:b/>
        </w:rPr>
        <w:tab/>
        <w:t>Conclusion</w:t>
      </w:r>
    </w:p>
    <w:p w:rsidR="00092694" w:rsidRPr="004B1B48" w:rsidRDefault="00092694" w:rsidP="00092694">
      <w:pPr>
        <w:spacing w:after="0" w:line="240" w:lineRule="auto"/>
        <w:rPr>
          <w:rFonts w:ascii="Century Schoolbook" w:eastAsia="Times New Roman" w:hAnsi="Century Schoolbook" w:cs="Times New Roman"/>
          <w:iCs/>
        </w:rPr>
      </w:pPr>
    </w:p>
    <w:p w:rsidR="00092694" w:rsidRDefault="00092694" w:rsidP="00C815FF">
      <w:pPr>
        <w:spacing w:after="0" w:line="240" w:lineRule="auto"/>
        <w:ind w:firstLine="360"/>
        <w:jc w:val="both"/>
        <w:rPr>
          <w:rFonts w:ascii="Century Schoolbook" w:eastAsia="Times New Roman" w:hAnsi="Century Schoolbook" w:cs="Times New Roman"/>
          <w:iCs/>
          <w:sz w:val="19"/>
          <w:szCs w:val="19"/>
        </w:rPr>
      </w:pPr>
      <w:r w:rsidRPr="004B1B48">
        <w:rPr>
          <w:rFonts w:ascii="Century Schoolbook" w:eastAsia="Times New Roman" w:hAnsi="Century Schoolbook" w:cs="Times New Roman"/>
          <w:iCs/>
        </w:rPr>
        <w:t xml:space="preserve">It is important for defense counsel to be aware of the scope of the testimony which a treating physician intends to convey.  It is very easy for a treating physician to overstep his expertise and venture off into areas more appropriate for experts qualified in other relevant fields.  The first step for the defense is to insist that the physician produce a full </w:t>
      </w:r>
      <w:r w:rsidRPr="004B1B48">
        <w:rPr>
          <w:rFonts w:ascii="Century Schoolbook" w:eastAsia="Times New Roman" w:hAnsi="Century Schoolbook" w:cs="Times New Roman"/>
        </w:rPr>
        <w:t>26(a)(2)(B) expert report for all opinions that are based on information gained from something other than what he observed during the course of the plaintiff’s treatment.</w:t>
      </w:r>
      <w:r w:rsidRPr="004B1B48">
        <w:rPr>
          <w:rFonts w:ascii="Century Schoolbook" w:eastAsia="Times New Roman" w:hAnsi="Century Schoolbook" w:cs="Times New Roman"/>
          <w:iCs/>
        </w:rPr>
        <w:t xml:space="preserve">  This reporting requirement places a larger logistical burden on plaintiff’s counsel and demonstrates to the treating physician that the defense will challenge the expert when ove</w:t>
      </w:r>
      <w:r w:rsidR="00C815FF" w:rsidRPr="004B1B48">
        <w:rPr>
          <w:rFonts w:ascii="Century Schoolbook" w:eastAsia="Times New Roman" w:hAnsi="Century Schoolbook" w:cs="Times New Roman"/>
          <w:iCs/>
        </w:rPr>
        <w:t>rstepping the legal bounds.</w:t>
      </w:r>
      <w:r w:rsidR="00C815FF">
        <w:rPr>
          <w:rFonts w:ascii="Century Schoolbook" w:eastAsia="Times New Roman" w:hAnsi="Century Schoolbook" w:cs="Times New Roman"/>
          <w:iCs/>
          <w:sz w:val="19"/>
          <w:szCs w:val="19"/>
        </w:rPr>
        <w:t xml:space="preserve">    </w:t>
      </w:r>
    </w:p>
    <w:p w:rsidR="00915AEB" w:rsidRDefault="00915AEB" w:rsidP="00C815FF">
      <w:pPr>
        <w:spacing w:after="0" w:line="240" w:lineRule="auto"/>
        <w:ind w:firstLine="360"/>
        <w:jc w:val="both"/>
        <w:rPr>
          <w:rFonts w:ascii="Century Schoolbook" w:eastAsia="Times New Roman" w:hAnsi="Century Schoolbook" w:cs="Times New Roman"/>
          <w:iCs/>
          <w:sz w:val="19"/>
          <w:szCs w:val="19"/>
        </w:rPr>
      </w:pPr>
    </w:p>
    <w:p w:rsidR="008A0A9A" w:rsidRDefault="008A0A9A" w:rsidP="00C815FF">
      <w:pPr>
        <w:spacing w:after="0" w:line="240" w:lineRule="auto"/>
        <w:ind w:firstLine="360"/>
        <w:jc w:val="both"/>
        <w:rPr>
          <w:rFonts w:ascii="Century Schoolbook" w:eastAsia="Times New Roman" w:hAnsi="Century Schoolbook" w:cs="Times New Roman"/>
          <w:iCs/>
          <w:sz w:val="19"/>
          <w:szCs w:val="19"/>
        </w:rPr>
      </w:pPr>
    </w:p>
    <w:p w:rsidR="008A0A9A" w:rsidRPr="008A0A9A" w:rsidRDefault="008A0A9A" w:rsidP="008A0A9A">
      <w:pPr>
        <w:spacing w:after="0" w:line="240" w:lineRule="auto"/>
        <w:ind w:firstLine="360"/>
        <w:jc w:val="center"/>
        <w:rPr>
          <w:rFonts w:ascii="Century Schoolbook" w:eastAsia="Times New Roman" w:hAnsi="Century Schoolbook" w:cs="Times New Roman"/>
          <w:b/>
          <w:iCs/>
          <w:u w:val="single"/>
        </w:rPr>
      </w:pPr>
      <w:r w:rsidRPr="008A0A9A">
        <w:rPr>
          <w:rFonts w:ascii="Century Schoolbook" w:eastAsia="Times New Roman" w:hAnsi="Century Schoolbook" w:cs="Times New Roman"/>
          <w:b/>
          <w:iCs/>
          <w:u w:val="single"/>
        </w:rPr>
        <w:t>End Notes</w:t>
      </w:r>
    </w:p>
    <w:p w:rsidR="008A0A9A" w:rsidRDefault="008A0A9A" w:rsidP="008A0A9A">
      <w:pPr>
        <w:spacing w:after="0" w:line="240" w:lineRule="auto"/>
        <w:ind w:firstLine="360"/>
        <w:jc w:val="center"/>
        <w:rPr>
          <w:rFonts w:ascii="Century Schoolbook" w:eastAsia="Times New Roman" w:hAnsi="Century Schoolbook" w:cs="Times New Roman"/>
          <w:iCs/>
        </w:rPr>
      </w:pPr>
    </w:p>
    <w:p w:rsidR="008A0A9A" w:rsidRPr="008A0A9A" w:rsidRDefault="008A0A9A" w:rsidP="008A0A9A">
      <w:pPr>
        <w:spacing w:after="0" w:line="240" w:lineRule="auto"/>
        <w:ind w:firstLine="360"/>
        <w:jc w:val="center"/>
        <w:rPr>
          <w:rFonts w:ascii="Century Schoolbook" w:eastAsia="Times New Roman" w:hAnsi="Century Schoolbook" w:cs="Times New Roman"/>
          <w:iCs/>
        </w:rPr>
        <w:sectPr w:rsidR="008A0A9A" w:rsidRPr="008A0A9A" w:rsidSect="00092694">
          <w:endnotePr>
            <w:numFmt w:val="decimal"/>
            <w:numRestart w:val="eachSect"/>
          </w:endnotePr>
          <w:type w:val="continuous"/>
          <w:pgSz w:w="12240" w:h="15840"/>
          <w:pgMar w:top="1440" w:right="1800" w:bottom="1440" w:left="1800" w:header="720" w:footer="720" w:gutter="0"/>
          <w:cols w:num="2" w:space="720"/>
          <w:docGrid w:linePitch="360"/>
        </w:sectPr>
      </w:pPr>
    </w:p>
    <w:p w:rsidR="001B053B" w:rsidRPr="001B053B" w:rsidRDefault="001B053B" w:rsidP="001B053B">
      <w:pPr>
        <w:pStyle w:val="GDLA"/>
        <w:outlineLvl w:val="0"/>
      </w:pPr>
      <w:bookmarkStart w:id="16" w:name="_CITRUS_ITALIC"/>
      <w:bookmarkStart w:id="17" w:name="_Toc356227234"/>
      <w:bookmarkEnd w:id="16"/>
      <w:r w:rsidRPr="001B053B">
        <w:lastRenderedPageBreak/>
        <w:t>Georgia Labor and Employment Law:  2013 Update</w:t>
      </w:r>
      <w:bookmarkEnd w:id="17"/>
    </w:p>
    <w:p w:rsidR="001B053B" w:rsidRDefault="001B053B" w:rsidP="001B053B">
      <w:pPr>
        <w:spacing w:after="0" w:line="240" w:lineRule="auto"/>
        <w:jc w:val="center"/>
        <w:rPr>
          <w:rFonts w:ascii="Century Schoolbook" w:eastAsia="Times New Roman" w:hAnsi="Century Schoolbook" w:cs="Times New Roman"/>
          <w:sz w:val="24"/>
          <w:szCs w:val="24"/>
        </w:rPr>
      </w:pPr>
    </w:p>
    <w:p w:rsidR="001B053B" w:rsidRDefault="001B053B" w:rsidP="001B053B">
      <w:pPr>
        <w:pStyle w:val="Author"/>
        <w:outlineLvl w:val="1"/>
      </w:pPr>
      <w:bookmarkStart w:id="18" w:name="_Toc356227235"/>
      <w:r w:rsidRPr="001B053B">
        <w:t>By W. Melvin Haas, III, William M. Clifton, III</w:t>
      </w:r>
      <w:r>
        <w:t xml:space="preserve">, </w:t>
      </w:r>
      <w:r w:rsidRPr="001B053B">
        <w:t>W. Jonathan Martin, II, and Alyssa K. Peters</w:t>
      </w:r>
      <w:bookmarkEnd w:id="18"/>
    </w:p>
    <w:p w:rsidR="001B053B" w:rsidRDefault="001B053B" w:rsidP="001B053B">
      <w:pPr>
        <w:spacing w:after="0" w:line="240" w:lineRule="auto"/>
        <w:jc w:val="center"/>
        <w:rPr>
          <w:rFonts w:ascii="Century Schoolbook" w:eastAsia="Times New Roman" w:hAnsi="Century Schoolbook" w:cs="Times New Roman"/>
          <w:sz w:val="24"/>
          <w:szCs w:val="24"/>
        </w:rPr>
      </w:pPr>
    </w:p>
    <w:p w:rsidR="001B053B" w:rsidRPr="001B053B" w:rsidRDefault="001B053B" w:rsidP="001B053B">
      <w:pPr>
        <w:spacing w:after="0" w:line="240" w:lineRule="auto"/>
        <w:jc w:val="center"/>
        <w:rPr>
          <w:rFonts w:ascii="Century Schoolbook" w:eastAsia="Times New Roman" w:hAnsi="Century Schoolbook" w:cs="Times New Roman"/>
          <w:sz w:val="24"/>
          <w:szCs w:val="24"/>
        </w:rPr>
      </w:pPr>
    </w:p>
    <w:p w:rsidR="001B053B" w:rsidRDefault="001B053B" w:rsidP="001B053B">
      <w:pPr>
        <w:spacing w:after="0" w:line="240" w:lineRule="auto"/>
        <w:jc w:val="both"/>
        <w:rPr>
          <w:rFonts w:ascii="Century Schoolbook" w:eastAsia="Times New Roman" w:hAnsi="Century Schoolbook" w:cs="Times New Roman"/>
          <w:sz w:val="19"/>
          <w:szCs w:val="19"/>
        </w:rPr>
        <w:sectPr w:rsidR="001B053B" w:rsidSect="001D23EC">
          <w:endnotePr>
            <w:numFmt w:val="decimal"/>
            <w:numRestart w:val="eachSect"/>
          </w:endnotePr>
          <w:pgSz w:w="12240" w:h="15840" w:code="1"/>
          <w:pgMar w:top="1440" w:right="1800" w:bottom="1440" w:left="1800" w:header="720" w:footer="720" w:gutter="0"/>
          <w:cols w:space="720"/>
          <w:docGrid w:linePitch="360"/>
        </w:sectPr>
      </w:pPr>
    </w:p>
    <w:p w:rsidR="00F63FAA" w:rsidRDefault="009B167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8A0A9A">
        <w:rPr>
          <w:b/>
          <w:noProof/>
        </w:rPr>
        <w:drawing>
          <wp:anchor distT="0" distB="0" distL="114300" distR="114300" simplePos="0" relativeHeight="251666432" behindDoc="0" locked="0" layoutInCell="1" allowOverlap="1" wp14:anchorId="75DFC2E9" wp14:editId="244565BF">
            <wp:simplePos x="0" y="0"/>
            <wp:positionH relativeFrom="margin">
              <wp:posOffset>2959100</wp:posOffset>
            </wp:positionH>
            <wp:positionV relativeFrom="margin">
              <wp:posOffset>1892300</wp:posOffset>
            </wp:positionV>
            <wp:extent cx="871855" cy="1117600"/>
            <wp:effectExtent l="76200" t="76200" r="137795" b="139700"/>
            <wp:wrapSquare wrapText="bothSides"/>
            <wp:docPr id="9" name="Picture 9" descr="C:\Users\ar\AppData\Local\Microsoft\Windows\Temporary Internet Files\Content.Word\Martin, Jonathan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ppData\Local\Microsoft\Windows\Temporary Internet Files\Content.Word\Martin, Jonathan - color.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563"/>
                    <a:stretch/>
                  </pic:blipFill>
                  <pic:spPr bwMode="auto">
                    <a:xfrm>
                      <a:off x="0" y="0"/>
                      <a:ext cx="871855" cy="11176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FF49A2" w:rsidRPr="008A0A9A">
        <w:rPr>
          <w:b/>
          <w:noProof/>
        </w:rPr>
        <w:drawing>
          <wp:anchor distT="0" distB="0" distL="114300" distR="114300" simplePos="0" relativeHeight="251664384" behindDoc="0" locked="0" layoutInCell="1" allowOverlap="1" wp14:anchorId="155D2908" wp14:editId="31FBC6D0">
            <wp:simplePos x="0" y="0"/>
            <wp:positionH relativeFrom="margin">
              <wp:posOffset>-38100</wp:posOffset>
            </wp:positionH>
            <wp:positionV relativeFrom="margin">
              <wp:posOffset>1885950</wp:posOffset>
            </wp:positionV>
            <wp:extent cx="857250" cy="1256030"/>
            <wp:effectExtent l="76200" t="76200" r="133350" b="134620"/>
            <wp:wrapSquare wrapText="bothSides"/>
            <wp:docPr id="7" name="Picture 7" descr="C:\Users\ar\AppData\Local\Microsoft\Windows\Temporary Internet Files\Content.Word\Haas, Me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ppData\Local\Microsoft\Windows\Temporary Internet Files\Content.Word\Haas, Mel - colo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1256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sidR="001B053B" w:rsidRPr="008A0A9A">
        <w:rPr>
          <w:rFonts w:ascii="Century Schoolbook" w:eastAsia="Times New Roman" w:hAnsi="Century Schoolbook" w:cs="Times New Roman"/>
          <w:b/>
        </w:rPr>
        <w:t>Mel Haas</w:t>
      </w:r>
      <w:r w:rsidR="001B053B" w:rsidRPr="004B1B48">
        <w:rPr>
          <w:rFonts w:ascii="Century Schoolbook" w:eastAsia="Times New Roman" w:hAnsi="Century Schoolbook" w:cs="Times New Roman"/>
        </w:rPr>
        <w:t xml:space="preserve"> is a Managing Partner and the Macon Office Head in the firm of Constangy, Brooks &amp; Smith, LLP, Macon, </w:t>
      </w:r>
      <w:r w:rsidR="00F16FA8">
        <w:rPr>
          <w:rFonts w:ascii="Century Schoolbook" w:eastAsia="Times New Roman" w:hAnsi="Century Schoolbook" w:cs="Times New Roman"/>
        </w:rPr>
        <w:t>GA</w:t>
      </w:r>
      <w:r w:rsidR="001B053B" w:rsidRPr="004B1B48">
        <w:rPr>
          <w:rFonts w:ascii="Century Schoolbook" w:eastAsia="Times New Roman" w:hAnsi="Century Schoolbook" w:cs="Times New Roman"/>
        </w:rPr>
        <w:t xml:space="preserve">. Emory University (B.A., 1968); University of Alabama (J.D., 1971). </w:t>
      </w:r>
    </w:p>
    <w:p w:rsidR="00F63FAA"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F63FAA" w:rsidRDefault="001B053B"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Chapter Editor, The Developing Labor Law (John E. Higgins Jr. et. al. eds., 5th ed. 2006 &amp; Supps.). </w:t>
      </w:r>
    </w:p>
    <w:p w:rsidR="00F63FAA"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F63FAA" w:rsidRDefault="001B053B"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He is also licensed to practice in Alabama.</w:t>
      </w:r>
    </w:p>
    <w:p w:rsidR="00F16FA8" w:rsidRDefault="00F16FA8"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F63FAA" w:rsidRPr="004B1B48"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1B053B" w:rsidRDefault="001B053B" w:rsidP="001B053B">
      <w:pPr>
        <w:spacing w:after="0" w:line="240" w:lineRule="auto"/>
        <w:jc w:val="center"/>
        <w:rPr>
          <w:rFonts w:ascii="Century Schoolbook" w:eastAsia="Times New Roman" w:hAnsi="Century Schoolbook" w:cs="Times New Roman"/>
          <w:i/>
        </w:rPr>
      </w:pPr>
    </w:p>
    <w:p w:rsidR="00FF49A2" w:rsidRDefault="00FF49A2" w:rsidP="001B053B">
      <w:pPr>
        <w:spacing w:after="0" w:line="240" w:lineRule="auto"/>
        <w:jc w:val="center"/>
        <w:rPr>
          <w:rFonts w:ascii="Century Schoolbook" w:eastAsia="Times New Roman" w:hAnsi="Century Schoolbook" w:cs="Times New Roman"/>
          <w:i/>
        </w:rPr>
      </w:pPr>
    </w:p>
    <w:p w:rsidR="009B167A" w:rsidRDefault="009B167A" w:rsidP="001B053B">
      <w:pPr>
        <w:spacing w:after="0" w:line="240" w:lineRule="auto"/>
        <w:jc w:val="center"/>
        <w:rPr>
          <w:rFonts w:ascii="Century Schoolbook" w:eastAsia="Times New Roman" w:hAnsi="Century Schoolbook" w:cs="Times New Roman"/>
          <w:i/>
        </w:rPr>
      </w:pPr>
    </w:p>
    <w:p w:rsidR="00F63FAA" w:rsidRDefault="008A0A9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8A0A9A">
        <w:rPr>
          <w:b/>
          <w:noProof/>
        </w:rPr>
        <w:drawing>
          <wp:anchor distT="0" distB="0" distL="114300" distR="114300" simplePos="0" relativeHeight="251667456" behindDoc="0" locked="0" layoutInCell="1" allowOverlap="1" wp14:anchorId="2306E82A" wp14:editId="5B055B7D">
            <wp:simplePos x="0" y="0"/>
            <wp:positionH relativeFrom="margin">
              <wp:posOffset>2981325</wp:posOffset>
            </wp:positionH>
            <wp:positionV relativeFrom="margin">
              <wp:posOffset>5285740</wp:posOffset>
            </wp:positionV>
            <wp:extent cx="914400" cy="1171575"/>
            <wp:effectExtent l="76200" t="76200" r="133350" b="142875"/>
            <wp:wrapSquare wrapText="bothSides"/>
            <wp:docPr id="21" name="Picture 21" descr="C:\Users\ar\AppData\Local\Microsoft\Windows\Temporary Internet Files\Content.Word\Alyssa_Peters_IMG_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AppData\Local\Microsoft\Windows\Temporary Internet Files\Content.Word\Alyssa_Peters_IMG_18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4539"/>
                    <a:stretch/>
                  </pic:blipFill>
                  <pic:spPr bwMode="auto">
                    <a:xfrm>
                      <a:off x="0" y="0"/>
                      <a:ext cx="914400" cy="1171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FAA" w:rsidRPr="008A0A9A">
        <w:rPr>
          <w:b/>
          <w:noProof/>
        </w:rPr>
        <w:drawing>
          <wp:anchor distT="0" distB="0" distL="114300" distR="114300" simplePos="0" relativeHeight="251665408" behindDoc="0" locked="0" layoutInCell="1" allowOverlap="1" wp14:anchorId="7793A824" wp14:editId="76A67632">
            <wp:simplePos x="0" y="0"/>
            <wp:positionH relativeFrom="margin">
              <wp:posOffset>-33020</wp:posOffset>
            </wp:positionH>
            <wp:positionV relativeFrom="margin">
              <wp:posOffset>5480050</wp:posOffset>
            </wp:positionV>
            <wp:extent cx="975360" cy="1219200"/>
            <wp:effectExtent l="76200" t="76200" r="129540" b="133350"/>
            <wp:wrapSquare wrapText="bothSides"/>
            <wp:docPr id="8" name="Picture 8" descr="C:\Users\ar\AppData\Local\Microsoft\Windows\Temporary Internet Files\Content.Word\Clifton Bil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ppData\Local\Microsoft\Windows\Temporary Internet Files\Content.Word\Clifton Bill - colo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536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B053B" w:rsidRPr="008A0A9A">
        <w:rPr>
          <w:rFonts w:ascii="Century Schoolbook" w:eastAsia="Times New Roman" w:hAnsi="Century Schoolbook" w:cs="Times New Roman"/>
          <w:b/>
        </w:rPr>
        <w:t>William Clifton</w:t>
      </w:r>
      <w:r w:rsidR="001B053B" w:rsidRPr="004B1B48">
        <w:rPr>
          <w:rFonts w:ascii="Century Schoolbook" w:eastAsia="Times New Roman" w:hAnsi="Century Schoolbook" w:cs="Times New Roman"/>
        </w:rPr>
        <w:t xml:space="preserve"> is a Managing Partner in the firm of Constangy, Brooks &amp; Smith, LLP, Macon, </w:t>
      </w:r>
      <w:r w:rsidR="00F16FA8">
        <w:rPr>
          <w:rFonts w:ascii="Century Schoolbook" w:eastAsia="Times New Roman" w:hAnsi="Century Schoolbook" w:cs="Times New Roman"/>
        </w:rPr>
        <w:t>GA</w:t>
      </w:r>
      <w:r w:rsidR="001B053B" w:rsidRPr="004B1B48">
        <w:rPr>
          <w:rFonts w:ascii="Century Schoolbook" w:eastAsia="Times New Roman" w:hAnsi="Century Schoolbook" w:cs="Times New Roman"/>
        </w:rPr>
        <w:t>. Oglethorpe University (B.A. magna cum laude, 1988); Georgia State university (M.A., 1990); Co</w:t>
      </w:r>
      <w:r w:rsidR="00F63FAA">
        <w:rPr>
          <w:rFonts w:ascii="Century Schoolbook" w:eastAsia="Times New Roman" w:hAnsi="Century Schoolbook" w:cs="Times New Roman"/>
        </w:rPr>
        <w:t>lumbia University (J.D., 1993).</w:t>
      </w:r>
    </w:p>
    <w:p w:rsidR="00F63FAA"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1B053B" w:rsidRDefault="001B053B"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Law Clerk to the Honorable Duross Fitzpatrick, United States District Judge for the Middle District of Georgia (1993-1995). </w:t>
      </w:r>
    </w:p>
    <w:p w:rsidR="00F63FAA" w:rsidRPr="004B1B48"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1B053B" w:rsidRDefault="001B053B" w:rsidP="001B053B">
      <w:pPr>
        <w:spacing w:after="0" w:line="240" w:lineRule="auto"/>
        <w:jc w:val="center"/>
        <w:rPr>
          <w:rFonts w:ascii="Century Schoolbook" w:eastAsia="Times New Roman" w:hAnsi="Century Schoolbook" w:cs="Times New Roman"/>
        </w:rPr>
      </w:pPr>
    </w:p>
    <w:p w:rsidR="00F63FAA" w:rsidRDefault="00F63FAA" w:rsidP="001B053B">
      <w:pPr>
        <w:spacing w:after="0" w:line="240" w:lineRule="auto"/>
        <w:jc w:val="center"/>
        <w:rPr>
          <w:rFonts w:ascii="Century Schoolbook" w:eastAsia="Times New Roman" w:hAnsi="Century Schoolbook" w:cs="Times New Roman"/>
        </w:rPr>
      </w:pPr>
    </w:p>
    <w:p w:rsidR="00F63FAA" w:rsidRDefault="001B053B"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8A0A9A">
        <w:rPr>
          <w:rFonts w:ascii="Century Schoolbook" w:eastAsia="Times New Roman" w:hAnsi="Century Schoolbook" w:cs="Times New Roman"/>
          <w:b/>
        </w:rPr>
        <w:t>Jonathan Martin</w:t>
      </w:r>
      <w:r w:rsidRPr="004B1B48">
        <w:rPr>
          <w:rFonts w:ascii="Century Schoolbook" w:eastAsia="Times New Roman" w:hAnsi="Century Schoolbook" w:cs="Times New Roman"/>
        </w:rPr>
        <w:t xml:space="preserve"> is a Managing Partner in the firm of Constangy, Brooks &amp; Smith, LLP, Macon, </w:t>
      </w:r>
      <w:r w:rsidR="00F16FA8">
        <w:rPr>
          <w:rFonts w:ascii="Century Schoolbook" w:eastAsia="Times New Roman" w:hAnsi="Century Schoolbook" w:cs="Times New Roman"/>
        </w:rPr>
        <w:t>GA</w:t>
      </w:r>
      <w:r w:rsidRPr="004B1B48">
        <w:rPr>
          <w:rFonts w:ascii="Century Schoolbook" w:eastAsia="Times New Roman" w:hAnsi="Century Schoolbook" w:cs="Times New Roman"/>
        </w:rPr>
        <w:t>. University of Geo</w:t>
      </w:r>
      <w:r w:rsidR="00F16FA8">
        <w:rPr>
          <w:rFonts w:ascii="Century Schoolbook" w:eastAsia="Times New Roman" w:hAnsi="Century Schoolbook" w:cs="Times New Roman"/>
        </w:rPr>
        <w:t xml:space="preserve">rgia (B.B.A., cum laude, 1991); </w:t>
      </w:r>
      <w:r w:rsidRPr="004B1B48">
        <w:rPr>
          <w:rFonts w:ascii="Century Schoolbook" w:eastAsia="Times New Roman" w:hAnsi="Century Schoolbook" w:cs="Times New Roman"/>
        </w:rPr>
        <w:t>Mercer University, Walter F. George School of Law (J.D., magna cum laude, 1</w:t>
      </w:r>
      <w:r w:rsidR="00FF49A2">
        <w:rPr>
          <w:rFonts w:ascii="Century Schoolbook" w:eastAsia="Times New Roman" w:hAnsi="Century Schoolbook" w:cs="Times New Roman"/>
        </w:rPr>
        <w:t xml:space="preserve">994). </w:t>
      </w:r>
    </w:p>
    <w:p w:rsidR="00F63FAA"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F63FAA" w:rsidRDefault="00FF49A2"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Pr>
          <w:rFonts w:ascii="Century Schoolbook" w:eastAsia="Times New Roman" w:hAnsi="Century Schoolbook" w:cs="Times New Roman"/>
        </w:rPr>
        <w:t xml:space="preserve">Member, Mercer Law Review </w:t>
      </w:r>
      <w:r w:rsidR="001B053B" w:rsidRPr="004B1B48">
        <w:rPr>
          <w:rFonts w:ascii="Century Schoolbook" w:eastAsia="Times New Roman" w:hAnsi="Century Schoolbook" w:cs="Times New Roman"/>
        </w:rPr>
        <w:t>(1992-1994); Administrative Editor (1993-1994). Chapter Editor, The Developing Labor Law (John E. Higgins Jr. et. al. eds., 5</w:t>
      </w:r>
      <w:r w:rsidR="001B053B" w:rsidRPr="004B1B48">
        <w:rPr>
          <w:rFonts w:ascii="Century Schoolbook" w:eastAsia="Times New Roman" w:hAnsi="Century Schoolbook" w:cs="Times New Roman"/>
          <w:vertAlign w:val="superscript"/>
        </w:rPr>
        <w:t>th</w:t>
      </w:r>
      <w:r w:rsidR="001B053B" w:rsidRPr="004B1B48">
        <w:rPr>
          <w:rFonts w:ascii="Century Schoolbook" w:eastAsia="Times New Roman" w:hAnsi="Century Schoolbook" w:cs="Times New Roman"/>
        </w:rPr>
        <w:t xml:space="preserve"> ed. 2006 &amp; Supps.). </w:t>
      </w:r>
    </w:p>
    <w:p w:rsidR="00F63FAA" w:rsidRPr="004B1B48"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1B053B" w:rsidRDefault="001B053B" w:rsidP="001B053B">
      <w:pPr>
        <w:spacing w:after="0" w:line="240" w:lineRule="auto"/>
        <w:jc w:val="center"/>
        <w:rPr>
          <w:rFonts w:ascii="Century Schoolbook" w:eastAsia="Times New Roman" w:hAnsi="Century Schoolbook" w:cs="Times New Roman"/>
        </w:rPr>
      </w:pPr>
    </w:p>
    <w:p w:rsidR="00F63FAA" w:rsidRDefault="00F63FAA" w:rsidP="001B053B">
      <w:pPr>
        <w:spacing w:after="0" w:line="240" w:lineRule="auto"/>
        <w:jc w:val="center"/>
        <w:rPr>
          <w:rFonts w:ascii="Century Schoolbook" w:eastAsia="Times New Roman" w:hAnsi="Century Schoolbook" w:cs="Times New Roman"/>
        </w:rPr>
      </w:pPr>
    </w:p>
    <w:p w:rsidR="00FF49A2" w:rsidRDefault="00FF49A2" w:rsidP="001B053B">
      <w:pPr>
        <w:spacing w:after="0" w:line="240" w:lineRule="auto"/>
        <w:jc w:val="center"/>
        <w:rPr>
          <w:rFonts w:ascii="Century Schoolbook" w:eastAsia="Times New Roman" w:hAnsi="Century Schoolbook" w:cs="Times New Roman"/>
        </w:rPr>
      </w:pPr>
    </w:p>
    <w:p w:rsidR="00F63FAA" w:rsidRDefault="001B053B"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8A0A9A">
        <w:rPr>
          <w:rFonts w:ascii="Century Schoolbook" w:eastAsia="Times New Roman" w:hAnsi="Century Schoolbook" w:cs="Times New Roman"/>
          <w:b/>
        </w:rPr>
        <w:t>Alyssa Peters</w:t>
      </w:r>
      <w:r w:rsidRPr="00F63FAA">
        <w:rPr>
          <w:rFonts w:ascii="Century Schoolbook" w:eastAsia="Times New Roman" w:hAnsi="Century Schoolbook" w:cs="Times New Roman"/>
        </w:rPr>
        <w:t xml:space="preserve"> is an Associate in the firm of Constangy, Brooks &amp; Smith, LLP, Macon, </w:t>
      </w:r>
      <w:r w:rsidR="00F16FA8">
        <w:rPr>
          <w:rFonts w:ascii="Century Schoolbook" w:eastAsia="Times New Roman" w:hAnsi="Century Schoolbook" w:cs="Times New Roman"/>
        </w:rPr>
        <w:t>GA</w:t>
      </w:r>
      <w:r w:rsidRPr="00F63FAA">
        <w:rPr>
          <w:rFonts w:ascii="Century Schoolbook" w:eastAsia="Times New Roman" w:hAnsi="Century Schoolbook" w:cs="Times New Roman"/>
        </w:rPr>
        <w:t>. University of Georgia (B.A., magna cum laude, 2004); Georgia State School of Law (J.D., magna cum laude, 2008). Member, Georgia State Law Review (2006-2008).</w:t>
      </w:r>
    </w:p>
    <w:p w:rsidR="00F63FAA"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F63FAA" w:rsidRDefault="001B053B"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sidRPr="00F63FAA">
        <w:rPr>
          <w:rFonts w:ascii="Century Schoolbook" w:eastAsia="Times New Roman" w:hAnsi="Century Schoolbook" w:cs="Times New Roman"/>
        </w:rPr>
        <w:t>Contributing Editor, The Developing Labor Law (John E. Higgins Jr. et. al. eds., 5</w:t>
      </w:r>
      <w:r w:rsidRPr="00F63FAA">
        <w:rPr>
          <w:rFonts w:ascii="Century Schoolbook" w:eastAsia="Times New Roman" w:hAnsi="Century Schoolbook" w:cs="Times New Roman"/>
          <w:vertAlign w:val="superscript"/>
        </w:rPr>
        <w:t>th</w:t>
      </w:r>
      <w:r w:rsidRPr="00F63FAA">
        <w:rPr>
          <w:rFonts w:ascii="Century Schoolbook" w:eastAsia="Times New Roman" w:hAnsi="Century Schoolbook" w:cs="Times New Roman"/>
        </w:rPr>
        <w:t xml:space="preserve"> ed. 2006 &amp; Supps.).</w:t>
      </w:r>
      <w:r w:rsidRPr="004B1B48">
        <w:rPr>
          <w:rFonts w:ascii="Century Schoolbook" w:eastAsia="Times New Roman" w:hAnsi="Century Schoolbook" w:cs="Times New Roman"/>
        </w:rPr>
        <w:t xml:space="preserve"> </w:t>
      </w:r>
    </w:p>
    <w:p w:rsidR="00F63FAA" w:rsidRPr="004B1B48" w:rsidRDefault="00F63FAA" w:rsidP="00F63FAA">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both"/>
        <w:rPr>
          <w:rFonts w:ascii="Century Schoolbook" w:eastAsia="Times New Roman" w:hAnsi="Century Schoolbook" w:cs="Times New Roman"/>
        </w:rPr>
      </w:pPr>
    </w:p>
    <w:p w:rsidR="003A38BC" w:rsidRDefault="003A38BC"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lastRenderedPageBreak/>
        <w:t>I.</w:t>
      </w:r>
      <w:r w:rsidRPr="004B1B48">
        <w:rPr>
          <w:rFonts w:ascii="Century Schoolbook" w:eastAsia="Times New Roman" w:hAnsi="Century Schoolbook" w:cs="Times New Roman"/>
          <w:b/>
        </w:rPr>
        <w:tab/>
        <w:t>Introduction</w:t>
      </w:r>
    </w:p>
    <w:p w:rsidR="001B053B" w:rsidRPr="004B1B48" w:rsidRDefault="001B053B" w:rsidP="001B053B">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ab/>
      </w: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This article surveys revisions to the Official Code of Georgia Annotated (O.C.G.A.)</w:t>
      </w:r>
      <w:r w:rsidRPr="004B1B48">
        <w:rPr>
          <w:rFonts w:ascii="Century Schoolbook" w:eastAsia="Times New Roman" w:hAnsi="Century Schoolbook" w:cs="Times New Roman"/>
          <w:vertAlign w:val="superscript"/>
        </w:rPr>
        <w:endnoteReference w:id="179"/>
      </w:r>
      <w:r w:rsidRPr="004B1B48">
        <w:rPr>
          <w:rFonts w:ascii="Century Schoolbook" w:eastAsia="Times New Roman" w:hAnsi="Century Schoolbook" w:cs="Times New Roman"/>
        </w:rPr>
        <w:t xml:space="preserve"> and decisions interpreting Georgia law from June 1, 2011 to May 31, 2012.</w:t>
      </w:r>
      <w:r w:rsidRPr="004B1B48">
        <w:rPr>
          <w:rFonts w:ascii="Century Schoolbook" w:eastAsia="Times New Roman" w:hAnsi="Century Schoolbook" w:cs="Times New Roman"/>
          <w:vertAlign w:val="superscript"/>
        </w:rPr>
        <w:endnoteReference w:id="180"/>
      </w:r>
      <w:r w:rsidRPr="004B1B48">
        <w:rPr>
          <w:rFonts w:ascii="Century Schoolbook" w:eastAsia="Times New Roman" w:hAnsi="Century Schoolbook" w:cs="Times New Roman"/>
        </w:rPr>
        <w:t xml:space="preserve"> </w:t>
      </w:r>
    </w:p>
    <w:p w:rsidR="001B053B" w:rsidRDefault="001B053B" w:rsidP="001B053B">
      <w:pPr>
        <w:spacing w:after="0" w:line="240" w:lineRule="auto"/>
        <w:jc w:val="both"/>
        <w:rPr>
          <w:rFonts w:ascii="Century Schoolbook" w:eastAsia="Times New Roman" w:hAnsi="Century Schoolbook" w:cs="Times New Roman"/>
        </w:rPr>
      </w:pPr>
    </w:p>
    <w:p w:rsidR="003A38BC" w:rsidRPr="004B1B48" w:rsidRDefault="003A38BC"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 xml:space="preserve">II. </w:t>
      </w:r>
      <w:r w:rsidRPr="004B1B48">
        <w:rPr>
          <w:rFonts w:ascii="Century Schoolbook" w:eastAsia="Times New Roman" w:hAnsi="Century Schoolbook" w:cs="Times New Roman"/>
          <w:b/>
        </w:rPr>
        <w:tab/>
        <w:t>Recent Legislation</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Beginning January 1, 2012, private employers with more than 500 employees were required to begin using the federal work authorization program,</w:t>
      </w:r>
      <w:r w:rsidRPr="004B1B48">
        <w:rPr>
          <w:rFonts w:ascii="Century Schoolbook" w:eastAsia="Times New Roman" w:hAnsi="Century Schoolbook" w:cs="Times New Roman"/>
          <w:vertAlign w:val="superscript"/>
        </w:rPr>
        <w:endnoteReference w:id="181"/>
      </w:r>
      <w:r w:rsidRPr="004B1B48">
        <w:rPr>
          <w:rFonts w:ascii="Century Schoolbook" w:eastAsia="Times New Roman" w:hAnsi="Century Schoolbook" w:cs="Times New Roman"/>
        </w:rPr>
        <w:t xml:space="preserve"> also known as “E-Verify.”</w:t>
      </w:r>
      <w:r w:rsidRPr="004B1B48">
        <w:rPr>
          <w:rFonts w:ascii="Century Schoolbook" w:eastAsia="Times New Roman" w:hAnsi="Century Schoolbook" w:cs="Times New Roman"/>
          <w:vertAlign w:val="superscript"/>
        </w:rPr>
        <w:endnoteReference w:id="182"/>
      </w:r>
      <w:r w:rsidRPr="004B1B48">
        <w:rPr>
          <w:rFonts w:ascii="Century Schoolbook" w:eastAsia="Times New Roman" w:hAnsi="Century Schoolbook" w:cs="Times New Roman"/>
        </w:rPr>
        <w:t xml:space="preserve"> Effective July 1, 2012, private employers with more than 100 employees must use E-Verify.</w:t>
      </w:r>
      <w:r w:rsidRPr="004B1B48">
        <w:rPr>
          <w:rFonts w:ascii="Century Schoolbook" w:eastAsia="Times New Roman" w:hAnsi="Century Schoolbook" w:cs="Times New Roman"/>
          <w:vertAlign w:val="superscript"/>
        </w:rPr>
        <w:endnoteReference w:id="183"/>
      </w:r>
      <w:r w:rsidRPr="004B1B48">
        <w:rPr>
          <w:rFonts w:ascii="Century Schoolbook" w:eastAsia="Times New Roman" w:hAnsi="Century Schoolbook" w:cs="Times New Roman"/>
        </w:rPr>
        <w:t xml:space="preserve"> These new requirements are gradually phased in pursuant to House Bill 87, also known as The Illegal Immigration Reform and Enforcement Act of 2011, which was signed by Governor Nathan Deal on May 13, 2011.</w:t>
      </w:r>
      <w:r w:rsidRPr="004B1B48">
        <w:rPr>
          <w:rFonts w:ascii="Century Schoolbook" w:eastAsia="Times New Roman" w:hAnsi="Century Schoolbook" w:cs="Times New Roman"/>
          <w:vertAlign w:val="superscript"/>
        </w:rPr>
        <w:endnoteReference w:id="184"/>
      </w:r>
      <w:r w:rsidRPr="004B1B48">
        <w:rPr>
          <w:rFonts w:ascii="Century Schoolbook" w:eastAsia="Times New Roman" w:hAnsi="Century Schoolbook" w:cs="Times New Roman"/>
        </w:rPr>
        <w:t xml:space="preserve"> The last remaining E-Verify provision, requiring compliance by employers with more than 10 employees, takes effect on July 1, 2013.</w:t>
      </w:r>
      <w:r w:rsidRPr="004B1B48">
        <w:rPr>
          <w:rFonts w:ascii="Century Schoolbook" w:eastAsia="Times New Roman" w:hAnsi="Century Schoolbook" w:cs="Times New Roman"/>
          <w:vertAlign w:val="superscript"/>
        </w:rPr>
        <w:endnoteReference w:id="185"/>
      </w:r>
      <w:r w:rsidRPr="004B1B48">
        <w:rPr>
          <w:rFonts w:ascii="Century Schoolbook" w:eastAsia="Times New Roman" w:hAnsi="Century Schoolbook" w:cs="Times New Roman"/>
        </w:rPr>
        <w:tab/>
      </w:r>
    </w:p>
    <w:p w:rsidR="001B053B" w:rsidRDefault="001B053B" w:rsidP="001B053B">
      <w:pPr>
        <w:spacing w:after="0" w:line="240" w:lineRule="auto"/>
        <w:jc w:val="both"/>
        <w:rPr>
          <w:rFonts w:ascii="Century Schoolbook" w:eastAsia="Times New Roman" w:hAnsi="Century Schoolbook" w:cs="Times New Roman"/>
        </w:rPr>
      </w:pPr>
    </w:p>
    <w:p w:rsidR="003A38BC" w:rsidRPr="004B1B48" w:rsidRDefault="003A38BC"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 xml:space="preserve">III. </w:t>
      </w:r>
      <w:r w:rsidRPr="004B1B48">
        <w:rPr>
          <w:rFonts w:ascii="Century Schoolbook" w:eastAsia="Times New Roman" w:hAnsi="Century Schoolbook" w:cs="Times New Roman"/>
          <w:b/>
        </w:rPr>
        <w:tab/>
        <w:t>Pending Legislation</w:t>
      </w:r>
    </w:p>
    <w:p w:rsidR="001B053B" w:rsidRPr="004B1B48" w:rsidRDefault="001B053B" w:rsidP="001B053B">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ab/>
      </w: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Although not enacted in the 2012 Georgia legislative session, the following public law represents a potential trend for employer-employee legislation in coming years.</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Georgia House Bill 697,</w:t>
      </w:r>
      <w:r w:rsidRPr="004B1B48">
        <w:rPr>
          <w:rFonts w:ascii="Century Schoolbook" w:eastAsia="Times New Roman" w:hAnsi="Century Schoolbook" w:cs="Times New Roman"/>
          <w:vertAlign w:val="superscript"/>
        </w:rPr>
        <w:endnoteReference w:id="186"/>
      </w:r>
      <w:r w:rsidRPr="004B1B48">
        <w:rPr>
          <w:rFonts w:ascii="Century Schoolbook" w:eastAsia="Times New Roman" w:hAnsi="Century Schoolbook" w:cs="Times New Roman"/>
        </w:rPr>
        <w:t xml:space="preserve"> which is still in committee, would amend Article 7 of Chapter 8 in Title 34 of O.C.G.A.</w:t>
      </w:r>
      <w:r w:rsidRPr="004B1B48">
        <w:rPr>
          <w:rFonts w:ascii="Century Schoolbook" w:eastAsia="Times New Roman" w:hAnsi="Century Schoolbook" w:cs="Times New Roman"/>
          <w:vertAlign w:val="superscript"/>
        </w:rPr>
        <w:endnoteReference w:id="187"/>
      </w:r>
      <w:r w:rsidRPr="004B1B48">
        <w:rPr>
          <w:rFonts w:ascii="Century Schoolbook" w:eastAsia="Times New Roman" w:hAnsi="Century Schoolbook" w:cs="Times New Roman"/>
        </w:rPr>
        <w:t xml:space="preserve"> This legislation would institute a random drug testing program as a required condition for continuing to receive unemployment compensation benefits.</w:t>
      </w:r>
      <w:r w:rsidRPr="004B1B48">
        <w:rPr>
          <w:rFonts w:ascii="Century Schoolbook" w:eastAsia="Times New Roman" w:hAnsi="Century Schoolbook" w:cs="Times New Roman"/>
          <w:vertAlign w:val="superscript"/>
        </w:rPr>
        <w:endnoteReference w:id="188"/>
      </w:r>
      <w:r w:rsidRPr="004B1B48">
        <w:rPr>
          <w:rFonts w:ascii="Century Schoolbook" w:eastAsia="Times New Roman" w:hAnsi="Century Schoolbook" w:cs="Times New Roman"/>
        </w:rPr>
        <w:t xml:space="preserve"> Recipients of </w:t>
      </w:r>
      <w:r w:rsidRPr="004B1B48">
        <w:rPr>
          <w:rFonts w:ascii="Century Schoolbook" w:eastAsia="Times New Roman" w:hAnsi="Century Schoolbook" w:cs="Times New Roman"/>
        </w:rPr>
        <w:lastRenderedPageBreak/>
        <w:t>unemployment compensation would lose their benefits for up to two years for either failing to comply with the testing or for testing positive for a prohibited substance.</w:t>
      </w:r>
      <w:r w:rsidRPr="004B1B48">
        <w:rPr>
          <w:rFonts w:ascii="Century Schoolbook" w:eastAsia="Times New Roman" w:hAnsi="Century Schoolbook" w:cs="Times New Roman"/>
          <w:vertAlign w:val="superscript"/>
        </w:rPr>
        <w:endnoteReference w:id="189"/>
      </w:r>
    </w:p>
    <w:p w:rsidR="003A38BC" w:rsidRDefault="003A38BC"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ab/>
      </w: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IV.</w:t>
      </w:r>
      <w:r w:rsidRPr="004B1B48">
        <w:rPr>
          <w:rFonts w:ascii="Century Schoolbook" w:eastAsia="Times New Roman" w:hAnsi="Century Schoolbook" w:cs="Times New Roman"/>
          <w:b/>
        </w:rPr>
        <w:tab/>
        <w:t>Wrongful Termination</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rPr>
      </w:pPr>
      <w:r w:rsidRPr="004B1B48">
        <w:rPr>
          <w:rFonts w:ascii="Century Schoolbook" w:eastAsia="Times New Roman" w:hAnsi="Century Schoolbook" w:cs="Times New Roman"/>
          <w:b/>
        </w:rPr>
        <w:t>A.</w:t>
      </w:r>
      <w:r w:rsidRPr="004B1B48">
        <w:rPr>
          <w:rFonts w:ascii="Century Schoolbook" w:eastAsia="Times New Roman" w:hAnsi="Century Schoolbook" w:cs="Times New Roman"/>
        </w:rPr>
        <w:t xml:space="preserve">  </w:t>
      </w:r>
      <w:r w:rsidRPr="004B1B48">
        <w:rPr>
          <w:rFonts w:ascii="Century Schoolbook" w:eastAsia="Times New Roman" w:hAnsi="Century Schoolbook" w:cs="Times New Roman"/>
          <w:b/>
        </w:rPr>
        <w:t>Employment at Will</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“At-will employment” refers to employment that either an  employer or an employee may terminate at any time with or without cause.</w:t>
      </w:r>
      <w:r w:rsidRPr="004B1B48">
        <w:rPr>
          <w:rFonts w:ascii="Century Schoolbook" w:eastAsia="Times New Roman" w:hAnsi="Century Schoolbook" w:cs="Times New Roman"/>
          <w:vertAlign w:val="superscript"/>
        </w:rPr>
        <w:endnoteReference w:id="190"/>
      </w:r>
      <w:r w:rsidRPr="004B1B48">
        <w:rPr>
          <w:rFonts w:ascii="Century Schoolbook" w:eastAsia="Times New Roman" w:hAnsi="Century Schoolbook" w:cs="Times New Roman"/>
        </w:rPr>
        <w:t xml:space="preserve"> Employment at will in other jurisdictions may be weakening,</w:t>
      </w:r>
      <w:r w:rsidRPr="004B1B48">
        <w:rPr>
          <w:rFonts w:ascii="Century Schoolbook" w:eastAsia="Times New Roman" w:hAnsi="Century Schoolbook" w:cs="Times New Roman"/>
          <w:vertAlign w:val="superscript"/>
        </w:rPr>
        <w:endnoteReference w:id="191"/>
      </w:r>
      <w:r w:rsidRPr="004B1B48">
        <w:rPr>
          <w:rFonts w:ascii="Century Schoolbook" w:eastAsia="Times New Roman" w:hAnsi="Century Schoolbook" w:cs="Times New Roman"/>
        </w:rPr>
        <w:t xml:space="preserve"> but in Georgia the presumption remains that all employment is at will unless a statutory or contractual exception exists.</w:t>
      </w:r>
      <w:r w:rsidRPr="004B1B48">
        <w:rPr>
          <w:rFonts w:ascii="Century Schoolbook" w:eastAsia="Times New Roman" w:hAnsi="Century Schoolbook" w:cs="Times New Roman"/>
          <w:vertAlign w:val="superscript"/>
        </w:rPr>
        <w:endnoteReference w:id="192"/>
      </w:r>
      <w:r w:rsidRPr="004B1B48">
        <w:rPr>
          <w:rFonts w:ascii="Century Schoolbook" w:eastAsia="Times New Roman" w:hAnsi="Century Schoolbook" w:cs="Times New Roman"/>
        </w:rPr>
        <w:t xml:space="preserve"> “[T]his bar to wrongful discharge claims in the at-will employment context ‘is a fundamental statutory rule governing employer-employee relations in Georgia.’”</w:t>
      </w:r>
      <w:r w:rsidRPr="004B1B48">
        <w:rPr>
          <w:rFonts w:ascii="Century Schoolbook" w:eastAsia="Times New Roman" w:hAnsi="Century Schoolbook" w:cs="Times New Roman"/>
          <w:vertAlign w:val="superscript"/>
        </w:rPr>
        <w:endnoteReference w:id="193"/>
      </w:r>
      <w:r w:rsidRPr="004B1B48">
        <w:rPr>
          <w:rFonts w:ascii="Century Schoolbook" w:eastAsia="Times New Roman" w:hAnsi="Century Schoolbook" w:cs="Times New Roman"/>
        </w:rPr>
        <w:t xml:space="preserve"> Particularly, O.C.G.A. § 34-7-1</w:t>
      </w:r>
      <w:r w:rsidRPr="004B1B48">
        <w:rPr>
          <w:rFonts w:ascii="Century Schoolbook" w:eastAsia="Times New Roman" w:hAnsi="Century Schoolbook" w:cs="Times New Roman"/>
          <w:vertAlign w:val="superscript"/>
        </w:rPr>
        <w:endnoteReference w:id="194"/>
      </w:r>
      <w:r w:rsidRPr="004B1B48">
        <w:rPr>
          <w:rFonts w:ascii="Century Schoolbook" w:eastAsia="Times New Roman" w:hAnsi="Century Schoolbook" w:cs="Times New Roman"/>
        </w:rPr>
        <w:t xml:space="preserve"> provides that “[a]n indefinite hiring” is at-will employment.</w:t>
      </w:r>
      <w:r w:rsidRPr="004B1B48">
        <w:rPr>
          <w:rFonts w:ascii="Century Schoolbook" w:eastAsia="Times New Roman" w:hAnsi="Century Schoolbook" w:cs="Times New Roman"/>
          <w:vertAlign w:val="superscript"/>
        </w:rPr>
        <w:endnoteReference w:id="195"/>
      </w:r>
      <w:r w:rsidRPr="004B1B48">
        <w:rPr>
          <w:rFonts w:ascii="Century Schoolbook" w:eastAsia="Times New Roman" w:hAnsi="Century Schoolbook" w:cs="Times New Roman"/>
        </w:rPr>
        <w:t xml:space="preserve"> The definition of an indefinite hiring includes contract provisions specifying “‘permanent employment’, ‘employment for life,’ [and] ‘employment until retirement.’”</w:t>
      </w:r>
      <w:r w:rsidRPr="004B1B48">
        <w:rPr>
          <w:rFonts w:ascii="Century Schoolbook" w:eastAsia="Times New Roman" w:hAnsi="Century Schoolbook" w:cs="Times New Roman"/>
          <w:vertAlign w:val="superscript"/>
        </w:rPr>
        <w:endnoteReference w:id="196"/>
      </w:r>
      <w:r w:rsidRPr="004B1B48">
        <w:rPr>
          <w:rFonts w:ascii="Century Schoolbook" w:eastAsia="Times New Roman" w:hAnsi="Century Schoolbook" w:cs="Times New Roman"/>
        </w:rPr>
        <w:t xml:space="preserve"> Further, a contract specifying an annual salary does not create a definite period of employment.</w:t>
      </w:r>
      <w:r w:rsidRPr="004B1B48">
        <w:rPr>
          <w:rFonts w:ascii="Century Schoolbook" w:eastAsia="Times New Roman" w:hAnsi="Century Schoolbook" w:cs="Times New Roman"/>
          <w:vertAlign w:val="superscript"/>
        </w:rPr>
        <w:endnoteReference w:id="197"/>
      </w:r>
      <w:r w:rsidRPr="004B1B48">
        <w:rPr>
          <w:rFonts w:ascii="Century Schoolbook" w:eastAsia="Times New Roman" w:hAnsi="Century Schoolbook" w:cs="Times New Roman"/>
        </w:rPr>
        <w:t xml:space="preserve"> However, if an employment contract does specify a definite period of employment, any employment beyond that period becomes employment at will that is subject to discharge without cause.</w:t>
      </w:r>
      <w:r w:rsidRPr="004B1B48">
        <w:rPr>
          <w:rFonts w:ascii="Century Schoolbook" w:eastAsia="Times New Roman" w:hAnsi="Century Schoolbook" w:cs="Times New Roman"/>
          <w:vertAlign w:val="superscript"/>
        </w:rPr>
        <w:endnoteReference w:id="198"/>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Regardless of an employer’s motives, the general rule in Georgia allows the discharge of an at-will employee without creating a cause of action for wrongful termination.</w:t>
      </w:r>
      <w:r w:rsidRPr="004B1B48">
        <w:rPr>
          <w:rFonts w:ascii="Century Schoolbook" w:eastAsia="Times New Roman" w:hAnsi="Century Schoolbook" w:cs="Times New Roman"/>
          <w:vertAlign w:val="superscript"/>
        </w:rPr>
        <w:endnoteReference w:id="199"/>
      </w:r>
      <w:r w:rsidRPr="004B1B48">
        <w:rPr>
          <w:rFonts w:ascii="Century Schoolbook" w:eastAsia="Times New Roman" w:hAnsi="Century Schoolbook" w:cs="Times New Roman"/>
        </w:rPr>
        <w:t xml:space="preserve"> Oral </w:t>
      </w:r>
      <w:r w:rsidRPr="004B1B48">
        <w:rPr>
          <w:rFonts w:ascii="Century Schoolbook" w:eastAsia="Times New Roman" w:hAnsi="Century Schoolbook" w:cs="Times New Roman"/>
        </w:rPr>
        <w:lastRenderedPageBreak/>
        <w:t>promises between an employer and employee will not modify the relationship between the two; absent a written contract, an employee’s status remains at will.</w:t>
      </w:r>
      <w:r w:rsidRPr="004B1B48">
        <w:rPr>
          <w:rFonts w:ascii="Century Schoolbook" w:eastAsia="Times New Roman" w:hAnsi="Century Schoolbook" w:cs="Times New Roman"/>
          <w:vertAlign w:val="superscript"/>
        </w:rPr>
        <w:endnoteReference w:id="200"/>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B.  Wrongful Termination Based</w:t>
      </w: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Upon Allegations of Fraud</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In </w:t>
      </w:r>
      <w:r w:rsidRPr="004B1B48">
        <w:rPr>
          <w:rFonts w:ascii="Century Schoolbook" w:eastAsia="Times New Roman" w:hAnsi="Century Schoolbook" w:cs="Times New Roman"/>
          <w:i/>
        </w:rPr>
        <w:t>Bailey v. Urology Center, LLC</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endnoteReference w:id="201"/>
      </w:r>
      <w:r w:rsidRPr="004B1B48">
        <w:rPr>
          <w:rFonts w:ascii="Century Schoolbook" w:eastAsia="Times New Roman" w:hAnsi="Century Schoolbook" w:cs="Times New Roman"/>
        </w:rPr>
        <w:t xml:space="preserve"> the United States District Court for the Middle District of Georgia determined that an employer’s alleged assurance of an employee’s job safety did not amount to fraudulent misrepresentation when the employee was later terminated.</w:t>
      </w:r>
      <w:r w:rsidRPr="004B1B48">
        <w:rPr>
          <w:rFonts w:ascii="Century Schoolbook" w:eastAsia="Times New Roman" w:hAnsi="Century Schoolbook" w:cs="Times New Roman"/>
          <w:vertAlign w:val="superscript"/>
        </w:rPr>
        <w:endnoteReference w:id="202"/>
      </w:r>
      <w:r w:rsidRPr="004B1B48">
        <w:rPr>
          <w:rFonts w:ascii="Century Schoolbook" w:eastAsia="Times New Roman" w:hAnsi="Century Schoolbook" w:cs="Times New Roman"/>
        </w:rPr>
        <w:t xml:space="preserve"> Bailey alleged that a manager for her employer represented that Bailey’s “job was safe” in December of 2009. Following the alleged assurance, Bailey purchased a house. In March 2010, Bailey was terminated, and she claimed that her employer already had plans for her termination at the time that the representation was made. Bailey brought suit against her former employer, claiming fraudulent misrepresentation.</w:t>
      </w:r>
      <w:r w:rsidRPr="004B1B48">
        <w:rPr>
          <w:rFonts w:ascii="Century Schoolbook" w:eastAsia="Times New Roman" w:hAnsi="Century Schoolbook" w:cs="Times New Roman"/>
          <w:vertAlign w:val="superscript"/>
        </w:rPr>
        <w:endnoteReference w:id="203"/>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Bailey’s claim was dismissed with prejudice for failure to state claim upon which relief can be granted.</w:t>
      </w:r>
      <w:r w:rsidRPr="004B1B48">
        <w:rPr>
          <w:rFonts w:ascii="Century Schoolbook" w:eastAsia="Times New Roman" w:hAnsi="Century Schoolbook" w:cs="Times New Roman"/>
          <w:vertAlign w:val="superscript"/>
        </w:rPr>
        <w:endnoteReference w:id="204"/>
      </w:r>
      <w:r w:rsidRPr="004B1B48">
        <w:rPr>
          <w:rFonts w:ascii="Century Schoolbook" w:eastAsia="Times New Roman" w:hAnsi="Century Schoolbook" w:cs="Times New Roman"/>
        </w:rPr>
        <w:t xml:space="preserve"> The court noted that “[a]n indefinite hiring may be terminated at will by either party.”</w:t>
      </w:r>
      <w:r w:rsidRPr="004B1B48">
        <w:rPr>
          <w:rFonts w:ascii="Century Schoolbook" w:eastAsia="Times New Roman" w:hAnsi="Century Schoolbook" w:cs="Times New Roman"/>
          <w:vertAlign w:val="superscript"/>
        </w:rPr>
        <w:endnoteReference w:id="205"/>
      </w:r>
      <w:r w:rsidRPr="004B1B48">
        <w:rPr>
          <w:rFonts w:ascii="Century Schoolbook" w:eastAsia="Times New Roman" w:hAnsi="Century Schoolbook" w:cs="Times New Roman"/>
        </w:rPr>
        <w:t xml:space="preserve"> Bailey failed to allege that she had an employment contract with her employer for a specified time period.</w:t>
      </w:r>
      <w:r w:rsidRPr="004B1B48">
        <w:rPr>
          <w:rFonts w:ascii="Century Schoolbook" w:eastAsia="Times New Roman" w:hAnsi="Century Schoolbook" w:cs="Times New Roman"/>
          <w:vertAlign w:val="superscript"/>
        </w:rPr>
        <w:endnoteReference w:id="206"/>
      </w:r>
      <w:r w:rsidRPr="004B1B48">
        <w:rPr>
          <w:rFonts w:ascii="Century Schoolbook" w:eastAsia="Times New Roman" w:hAnsi="Century Schoolbook" w:cs="Times New Roman"/>
        </w:rPr>
        <w:t xml:space="preserve"> Consequently, Bailey could not rely on her employer’s alleged representation, because she was an at-will employee, and the representation was unenforceable.</w:t>
      </w:r>
      <w:r w:rsidRPr="004B1B48">
        <w:rPr>
          <w:rFonts w:ascii="Century Schoolbook" w:eastAsia="Times New Roman" w:hAnsi="Century Schoolbook" w:cs="Times New Roman"/>
          <w:vertAlign w:val="superscript"/>
        </w:rPr>
        <w:endnoteReference w:id="207"/>
      </w:r>
      <w:r w:rsidRPr="004B1B48">
        <w:rPr>
          <w:rFonts w:ascii="Century Schoolbook" w:eastAsia="Times New Roman" w:hAnsi="Century Schoolbook" w:cs="Times New Roman"/>
        </w:rPr>
        <w:t xml:space="preserve"> </w:t>
      </w:r>
    </w:p>
    <w:p w:rsidR="001B053B" w:rsidRDefault="001B053B" w:rsidP="001B053B">
      <w:pPr>
        <w:spacing w:after="0" w:line="240" w:lineRule="auto"/>
        <w:jc w:val="both"/>
        <w:rPr>
          <w:rFonts w:ascii="Century Schoolbook" w:eastAsia="Times New Roman" w:hAnsi="Century Schoolbook" w:cs="Times New Roman"/>
        </w:rPr>
      </w:pPr>
    </w:p>
    <w:p w:rsidR="00F376F5" w:rsidRDefault="00F376F5" w:rsidP="001B053B">
      <w:pPr>
        <w:spacing w:after="0" w:line="240" w:lineRule="auto"/>
        <w:jc w:val="both"/>
        <w:rPr>
          <w:rFonts w:ascii="Century Schoolbook" w:eastAsia="Times New Roman" w:hAnsi="Century Schoolbook" w:cs="Times New Roman"/>
        </w:rPr>
      </w:pPr>
    </w:p>
    <w:p w:rsidR="00F376F5" w:rsidRDefault="00F376F5" w:rsidP="001B053B">
      <w:pPr>
        <w:spacing w:after="0" w:line="240" w:lineRule="auto"/>
        <w:jc w:val="both"/>
        <w:rPr>
          <w:rFonts w:ascii="Century Schoolbook" w:eastAsia="Times New Roman" w:hAnsi="Century Schoolbook" w:cs="Times New Roman"/>
        </w:rPr>
      </w:pPr>
    </w:p>
    <w:p w:rsidR="00F376F5" w:rsidRPr="004B1B48" w:rsidRDefault="00F376F5"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lastRenderedPageBreak/>
        <w:t>C. Breach of Contract</w:t>
      </w: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(Other than At-Will Contracts)</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basic rules of contract law apply in creating a valid employment contract: competency to contract, offer, acceptance, and valid consideration.</w:t>
      </w:r>
      <w:r w:rsidRPr="004B1B48">
        <w:rPr>
          <w:rFonts w:ascii="Century Schoolbook" w:eastAsia="Times New Roman" w:hAnsi="Century Schoolbook" w:cs="Times New Roman"/>
          <w:vertAlign w:val="superscript"/>
        </w:rPr>
        <w:endnoteReference w:id="208"/>
      </w:r>
      <w:r w:rsidRPr="004B1B48">
        <w:rPr>
          <w:rFonts w:ascii="Century Schoolbook" w:eastAsia="Times New Roman" w:hAnsi="Century Schoolbook" w:cs="Times New Roman"/>
        </w:rPr>
        <w:t xml:space="preserve"> Further, for an employment contract to be valid, the terms must define the nature and character of the services to be performed, the place of employment, the time period for which the employee is to work, and the compensation to be owed to the employee.</w:t>
      </w:r>
      <w:r w:rsidRPr="004B1B48">
        <w:rPr>
          <w:rFonts w:ascii="Century Schoolbook" w:eastAsia="Times New Roman" w:hAnsi="Century Schoolbook" w:cs="Times New Roman"/>
          <w:vertAlign w:val="superscript"/>
        </w:rPr>
        <w:endnoteReference w:id="209"/>
      </w:r>
      <w:r w:rsidRPr="004B1B48">
        <w:rPr>
          <w:rFonts w:ascii="Century Schoolbook" w:eastAsia="Times New Roman" w:hAnsi="Century Schoolbook" w:cs="Times New Roman"/>
        </w:rPr>
        <w:t xml:space="preserve"> In addition, an employment contract’s enforceability requires sufficient definitiveness in the terms of the contract.</w:t>
      </w:r>
      <w:r w:rsidRPr="004B1B48">
        <w:rPr>
          <w:rFonts w:ascii="Century Schoolbook" w:eastAsia="Times New Roman" w:hAnsi="Century Schoolbook" w:cs="Times New Roman"/>
          <w:vertAlign w:val="superscript"/>
        </w:rPr>
        <w:endnoteReference w:id="210"/>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During the survey period, the Georgia Court of Appeals affirmed that basic contract rules, including the statute of frauds, apply to the formation of an employment contract. In </w:t>
      </w:r>
      <w:r w:rsidRPr="004B1B48">
        <w:rPr>
          <w:rFonts w:ascii="Century Schoolbook" w:eastAsia="Times New Roman" w:hAnsi="Century Schoolbook" w:cs="Times New Roman"/>
          <w:i/>
        </w:rPr>
        <w:t>Bithoney v. Fulton-DeKalb Hospital Authority</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endnoteReference w:id="211"/>
      </w:r>
      <w:r w:rsidRPr="004B1B48">
        <w:rPr>
          <w:rFonts w:ascii="Century Schoolbook" w:eastAsia="Times New Roman" w:hAnsi="Century Schoolbook" w:cs="Times New Roman"/>
        </w:rPr>
        <w:t xml:space="preserve"> the court examined whether an oral agreement for a fifteen-month severance package was enforceable under the statute of frauds. Bithoney had engaged in multiple discussions about moving from New York to Georgia to take an executive position with Grady Hospital. Additionally, on multiple occasions, Bithoney had met with members of the Board of Trustees of the Fulton-DeKalb Hospital Authority, the governing authority for Grady Hospital. At one of the meetings, the chair of the board told Bithony: “Welcome to the Grady family, we are looking forward to your joining us.” Bithoney received a draft employment contract from Grady that provided for a fifteen-month severance pay package if he was terminated. Moreover, Grady provided Bithoney with an “Offer </w:t>
      </w:r>
      <w:r w:rsidRPr="004B1B48">
        <w:rPr>
          <w:rFonts w:ascii="Century Schoolbook" w:eastAsia="Times New Roman" w:hAnsi="Century Schoolbook" w:cs="Times New Roman"/>
        </w:rPr>
        <w:lastRenderedPageBreak/>
        <w:t>Letter” to confirm the initial employment status and to serve as a framework for a subsequent formal contract. However, the fifteen-month severance term was missing from the offer letter. Bithoney moved to Georgia without having a formal employment agreement in place. The night before he was to begin work, he was informed that the board of trustees had blocked his employment, and he would not be working for Grady. Bithoney filed suit alleging breach of contract pursuant to an oral contract for the fifteen-month severance package and negligent misrepresentation pursuant to the chair of the board’s welcoming statement.</w:t>
      </w:r>
      <w:r w:rsidRPr="004B1B48">
        <w:rPr>
          <w:rFonts w:ascii="Century Schoolbook" w:eastAsia="Times New Roman" w:hAnsi="Century Schoolbook" w:cs="Times New Roman"/>
          <w:vertAlign w:val="superscript"/>
        </w:rPr>
        <w:endnoteReference w:id="212"/>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court upheld the trial court’s ruling that “enforcement of the oral severance agreement was barred by the Statute of Frauds.”</w:t>
      </w:r>
      <w:r w:rsidRPr="004B1B48">
        <w:rPr>
          <w:rFonts w:ascii="Century Schoolbook" w:eastAsia="Times New Roman" w:hAnsi="Century Schoolbook" w:cs="Times New Roman"/>
          <w:vertAlign w:val="superscript"/>
        </w:rPr>
        <w:endnoteReference w:id="213"/>
      </w:r>
      <w:r w:rsidRPr="004B1B48">
        <w:rPr>
          <w:rFonts w:ascii="Century Schoolbook" w:eastAsia="Times New Roman" w:hAnsi="Century Schoolbook" w:cs="Times New Roman"/>
        </w:rPr>
        <w:t xml:space="preserve"> Agreements that cannot be performed within one year of their making must be in writing and signed by the charged party.</w:t>
      </w:r>
      <w:r w:rsidRPr="004B1B48">
        <w:rPr>
          <w:rFonts w:ascii="Century Schoolbook" w:eastAsia="Times New Roman" w:hAnsi="Century Schoolbook" w:cs="Times New Roman"/>
          <w:vertAlign w:val="superscript"/>
        </w:rPr>
        <w:endnoteReference w:id="214"/>
      </w:r>
      <w:r w:rsidRPr="004B1B48">
        <w:rPr>
          <w:rFonts w:ascii="Century Schoolbook" w:eastAsia="Times New Roman" w:hAnsi="Century Schoolbook" w:cs="Times New Roman"/>
        </w:rPr>
        <w:t xml:space="preserve"> “To fall within the ambit of this statutory provision, a contract must be incapable of being performed within a year.”</w:t>
      </w:r>
      <w:r w:rsidRPr="004B1B48">
        <w:rPr>
          <w:rFonts w:ascii="Century Schoolbook" w:eastAsia="Times New Roman" w:hAnsi="Century Schoolbook" w:cs="Times New Roman"/>
          <w:vertAlign w:val="superscript"/>
        </w:rPr>
        <w:endnoteReference w:id="215"/>
      </w:r>
      <w:r w:rsidRPr="004B1B48">
        <w:rPr>
          <w:rFonts w:ascii="Century Schoolbook" w:eastAsia="Times New Roman" w:hAnsi="Century Schoolbook" w:cs="Times New Roman"/>
        </w:rPr>
        <w:t xml:space="preserve"> Bithoney’s oral severance agreement was for fifteen months, and the statute of frauds was applicable. The court granted affirmed summary judgment in favor of the employer.</w:t>
      </w:r>
      <w:r w:rsidRPr="004B1B48">
        <w:rPr>
          <w:rFonts w:ascii="Century Schoolbook" w:eastAsia="Times New Roman" w:hAnsi="Century Schoolbook" w:cs="Times New Roman"/>
          <w:vertAlign w:val="superscript"/>
        </w:rPr>
        <w:endnoteReference w:id="216"/>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D.  The Georgia Whistleblower Act</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Under the Georgia whistleblower act, O.C.G.A. § 45-1-4(d)(2),</w:t>
      </w:r>
      <w:r w:rsidRPr="004B1B48">
        <w:rPr>
          <w:rFonts w:ascii="Century Schoolbook" w:eastAsia="Times New Roman" w:hAnsi="Century Schoolbook" w:cs="Times New Roman"/>
          <w:vertAlign w:val="superscript"/>
        </w:rPr>
        <w:endnoteReference w:id="217"/>
      </w:r>
      <w:r w:rsidRPr="004B1B48">
        <w:rPr>
          <w:rFonts w:ascii="Century Schoolbook" w:eastAsia="Times New Roman" w:hAnsi="Century Schoolbook" w:cs="Times New Roman"/>
        </w:rPr>
        <w:t xml:space="preserve"> “No public employer shall retaliate against a public employee for disclosing a violation of or noncompliance with a law, rule, or regulation to either a supervisor or a government agency.”</w:t>
      </w:r>
      <w:r w:rsidRPr="004B1B48">
        <w:rPr>
          <w:rFonts w:ascii="Century Schoolbook" w:eastAsia="Times New Roman" w:hAnsi="Century Schoolbook" w:cs="Times New Roman"/>
          <w:vertAlign w:val="superscript"/>
        </w:rPr>
        <w:endnoteReference w:id="218"/>
      </w:r>
      <w:r w:rsidRPr="004B1B48">
        <w:rPr>
          <w:rFonts w:ascii="Century Schoolbook" w:eastAsia="Times New Roman" w:hAnsi="Century Schoolbook" w:cs="Times New Roman"/>
        </w:rPr>
        <w:t xml:space="preserve"> In </w:t>
      </w:r>
      <w:r w:rsidRPr="004B1B48">
        <w:rPr>
          <w:rFonts w:ascii="Century Schoolbook" w:eastAsia="Times New Roman" w:hAnsi="Century Schoolbook" w:cs="Times New Roman"/>
          <w:i/>
        </w:rPr>
        <w:t>Caldon v. Board of Regents</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endnoteReference w:id="219"/>
      </w:r>
      <w:r w:rsidRPr="004B1B48">
        <w:rPr>
          <w:rFonts w:ascii="Century Schoolbook" w:eastAsia="Times New Roman" w:hAnsi="Century Schoolbook" w:cs="Times New Roman"/>
        </w:rPr>
        <w:t xml:space="preserve"> the </w:t>
      </w:r>
      <w:r w:rsidRPr="004B1B48">
        <w:rPr>
          <w:rFonts w:ascii="Century Schoolbook" w:eastAsia="Times New Roman" w:hAnsi="Century Schoolbook" w:cs="Times New Roman"/>
        </w:rPr>
        <w:lastRenderedPageBreak/>
        <w:t>Georgia Court of Appeals examined whether a close temporal proximity between a public employee’s complaints and her termination was sufficient to create a genuine issue of material fact as to whether the employer’s motive was pretextual.</w:t>
      </w:r>
      <w:r w:rsidRPr="004B1B48">
        <w:rPr>
          <w:rFonts w:ascii="Century Schoolbook" w:eastAsia="Times New Roman" w:hAnsi="Century Schoolbook" w:cs="Times New Roman"/>
          <w:vertAlign w:val="superscript"/>
        </w:rPr>
        <w:endnoteReference w:id="220"/>
      </w:r>
      <w:r w:rsidRPr="004B1B48">
        <w:rPr>
          <w:rFonts w:ascii="Century Schoolbook" w:eastAsia="Times New Roman" w:hAnsi="Century Schoolbook" w:cs="Times New Roman"/>
        </w:rPr>
        <w:t xml:space="preserve"> Caldon claimed that she had engaged in whistleblowing activity in July and August of 2008 by: (1) discussing concerns that her boss was under-reporting leave time, (2) reporting a conflict of interest, (3) complaining of wasteful spending practices, and (4) voicing concerns over her boss’s ability to handle his job responsibilities.</w:t>
      </w:r>
      <w:r w:rsidRPr="004B1B48">
        <w:rPr>
          <w:rFonts w:ascii="Century Schoolbook" w:eastAsia="Times New Roman" w:hAnsi="Century Schoolbook" w:cs="Times New Roman"/>
          <w:vertAlign w:val="superscript"/>
        </w:rPr>
        <w:endnoteReference w:id="221"/>
      </w:r>
      <w:r w:rsidRPr="004B1B48">
        <w:rPr>
          <w:rFonts w:ascii="Century Schoolbook" w:eastAsia="Times New Roman" w:hAnsi="Century Schoolbook" w:cs="Times New Roman"/>
        </w:rPr>
        <w:t xml:space="preserve"> On September 24, 2008, Caldon verbally berated her boss in front of other employees. That same day, Caldon was given the option to resign or be terminated. Caldon initially resigned but later withdrew her resignation and filed for a review.</w:t>
      </w:r>
      <w:r w:rsidRPr="004B1B48">
        <w:rPr>
          <w:rFonts w:ascii="Century Schoolbook" w:eastAsia="Times New Roman" w:hAnsi="Century Schoolbook" w:cs="Times New Roman"/>
          <w:vertAlign w:val="superscript"/>
        </w:rPr>
        <w:endnoteReference w:id="222"/>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court affirmed summary judgment for the employer.</w:t>
      </w:r>
      <w:r w:rsidRPr="004B1B48">
        <w:rPr>
          <w:rFonts w:ascii="Century Schoolbook" w:eastAsia="Times New Roman" w:hAnsi="Century Schoolbook" w:cs="Times New Roman"/>
          <w:vertAlign w:val="superscript"/>
        </w:rPr>
        <w:endnoteReference w:id="223"/>
      </w:r>
      <w:r w:rsidRPr="004B1B48">
        <w:rPr>
          <w:rFonts w:ascii="Century Schoolbook" w:eastAsia="Times New Roman" w:hAnsi="Century Schoolbook" w:cs="Times New Roman"/>
        </w:rPr>
        <w:t xml:space="preserve"> The employer provided direct evidence that Caldon was fired for insubordination based on her September 24 exchange with her boss.</w:t>
      </w:r>
      <w:r w:rsidRPr="004B1B48">
        <w:rPr>
          <w:rFonts w:ascii="Century Schoolbook" w:eastAsia="Times New Roman" w:hAnsi="Century Schoolbook" w:cs="Times New Roman"/>
          <w:vertAlign w:val="superscript"/>
        </w:rPr>
        <w:endnoteReference w:id="224"/>
      </w:r>
      <w:r w:rsidRPr="004B1B48">
        <w:rPr>
          <w:rFonts w:ascii="Century Schoolbook" w:eastAsia="Times New Roman" w:hAnsi="Century Schoolbook" w:cs="Times New Roman"/>
        </w:rPr>
        <w:t xml:space="preserve"> Other employees had heard the exchange, and another executive, without knowledge of the alleged whistleblowing activities, had recommended that Caldon be terminated for insubordination.</w:t>
      </w:r>
      <w:r w:rsidRPr="004B1B48">
        <w:rPr>
          <w:rFonts w:ascii="Century Schoolbook" w:eastAsia="Times New Roman" w:hAnsi="Century Schoolbook" w:cs="Times New Roman"/>
          <w:vertAlign w:val="superscript"/>
        </w:rPr>
        <w:endnoteReference w:id="225"/>
      </w:r>
      <w:r w:rsidRPr="004B1B48">
        <w:rPr>
          <w:rFonts w:ascii="Century Schoolbook" w:eastAsia="Times New Roman" w:hAnsi="Century Schoolbook" w:cs="Times New Roman"/>
        </w:rPr>
        <w:t xml:space="preserve"> In some cases, “temporal proximity could be sufficient to establish a question of fact with regard to the stated reason for termination, in this case, however, it is not sufficient to overcome the Board’s direct evidence that Caldon was terminated for her insubordination.”</w:t>
      </w:r>
      <w:r w:rsidRPr="004B1B48">
        <w:rPr>
          <w:rFonts w:ascii="Century Schoolbook" w:eastAsia="Times New Roman" w:hAnsi="Century Schoolbook" w:cs="Times New Roman"/>
          <w:vertAlign w:val="superscript"/>
        </w:rPr>
        <w:endnoteReference w:id="226"/>
      </w:r>
    </w:p>
    <w:p w:rsidR="001B053B" w:rsidRDefault="001B053B" w:rsidP="001B053B">
      <w:pPr>
        <w:spacing w:after="0" w:line="240" w:lineRule="auto"/>
        <w:jc w:val="center"/>
        <w:rPr>
          <w:rFonts w:ascii="Century Schoolbook" w:eastAsia="Times New Roman" w:hAnsi="Century Schoolbook" w:cs="Times New Roman"/>
          <w:b/>
        </w:rPr>
      </w:pPr>
    </w:p>
    <w:p w:rsidR="00F376F5" w:rsidRDefault="00F376F5" w:rsidP="001B053B">
      <w:pPr>
        <w:spacing w:after="0" w:line="240" w:lineRule="auto"/>
        <w:jc w:val="center"/>
        <w:rPr>
          <w:rFonts w:ascii="Century Schoolbook" w:eastAsia="Times New Roman" w:hAnsi="Century Schoolbook" w:cs="Times New Roman"/>
          <w:b/>
        </w:rPr>
      </w:pPr>
    </w:p>
    <w:p w:rsidR="003A38BC" w:rsidRPr="004B1B48" w:rsidRDefault="003A38BC" w:rsidP="001B053B">
      <w:pPr>
        <w:spacing w:after="0" w:line="240" w:lineRule="auto"/>
        <w:jc w:val="center"/>
        <w:rPr>
          <w:rFonts w:ascii="Century Schoolbook" w:eastAsia="Times New Roman" w:hAnsi="Century Schoolbook" w:cs="Times New Roman"/>
          <w:b/>
        </w:rPr>
      </w:pP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lastRenderedPageBreak/>
        <w:t xml:space="preserve">V. </w:t>
      </w:r>
      <w:r w:rsidRPr="004B1B48">
        <w:rPr>
          <w:rFonts w:ascii="Century Schoolbook" w:eastAsia="Times New Roman" w:hAnsi="Century Schoolbook" w:cs="Times New Roman"/>
          <w:b/>
        </w:rPr>
        <w:tab/>
        <w:t>Negligent Hiring or Retention</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Under O.C.G.A § 34-7-20,</w:t>
      </w:r>
      <w:r w:rsidRPr="004B1B48">
        <w:rPr>
          <w:rFonts w:ascii="Century Schoolbook" w:eastAsia="Times New Roman" w:hAnsi="Century Schoolbook" w:cs="Times New Roman"/>
          <w:vertAlign w:val="superscript"/>
        </w:rPr>
        <w:endnoteReference w:id="227"/>
      </w:r>
      <w:r w:rsidRPr="004B1B48">
        <w:rPr>
          <w:rFonts w:ascii="Century Schoolbook" w:eastAsia="Times New Roman" w:hAnsi="Century Schoolbook" w:cs="Times New Roman"/>
        </w:rPr>
        <w:t xml:space="preserve"> “The employer is bound to exercise ordinary care in the selection of employees and not to retain them after knowledge of incompetency.”</w:t>
      </w:r>
      <w:r w:rsidRPr="004B1B48">
        <w:rPr>
          <w:rFonts w:ascii="Century Schoolbook" w:eastAsia="Times New Roman" w:hAnsi="Century Schoolbook" w:cs="Times New Roman"/>
          <w:vertAlign w:val="superscript"/>
        </w:rPr>
        <w:endnoteReference w:id="228"/>
      </w:r>
      <w:r w:rsidRPr="004B1B48">
        <w:rPr>
          <w:rFonts w:ascii="Century Schoolbook" w:eastAsia="Times New Roman" w:hAnsi="Century Schoolbook" w:cs="Times New Roman"/>
        </w:rPr>
        <w:t xml:space="preserve"> The court of appeals has held that this statute imposes a duty on the employer to “warn other employees of dangers incident to employment that ‘the employer knows or ought to know but which are unknown to the employee.’”</w:t>
      </w:r>
      <w:r w:rsidRPr="004B1B48">
        <w:rPr>
          <w:rFonts w:ascii="Century Schoolbook" w:eastAsia="Times New Roman" w:hAnsi="Century Schoolbook" w:cs="Times New Roman"/>
          <w:vertAlign w:val="superscript"/>
        </w:rPr>
        <w:endnoteReference w:id="229"/>
      </w:r>
      <w:r w:rsidRPr="004B1B48">
        <w:rPr>
          <w:rFonts w:ascii="Century Schoolbook" w:eastAsia="Times New Roman" w:hAnsi="Century Schoolbook" w:cs="Times New Roman"/>
        </w:rPr>
        <w:t xml:space="preserve"> For a plaintiff to sustain an action for negligent hiring or retention, the plaintiff must show that the employer hired an individual who “the employer knew or should have known posed a risk of harm to others where it [was] reasonably foreseeable from the employee’s tendencies or propensities that the employee could cause the type of harm sustained by the plaintiff.”</w:t>
      </w:r>
      <w:r w:rsidRPr="004B1B48">
        <w:rPr>
          <w:rFonts w:ascii="Century Schoolbook" w:eastAsia="Times New Roman" w:hAnsi="Century Schoolbook" w:cs="Times New Roman"/>
          <w:vertAlign w:val="superscript"/>
        </w:rPr>
        <w:endnoteReference w:id="230"/>
      </w:r>
      <w:r w:rsidRPr="004B1B48">
        <w:rPr>
          <w:rFonts w:ascii="Century Schoolbook" w:eastAsia="Times New Roman" w:hAnsi="Century Schoolbook" w:cs="Times New Roman"/>
        </w:rPr>
        <w:t xml:space="preserve"> Typically, “the determination of whether an employer used ordinary care in hiring an employee is a jury issue”</w:t>
      </w:r>
      <w:r w:rsidRPr="004B1B48">
        <w:rPr>
          <w:rFonts w:ascii="Century Schoolbook" w:eastAsia="Times New Roman" w:hAnsi="Century Schoolbook" w:cs="Times New Roman"/>
          <w:vertAlign w:val="superscript"/>
        </w:rPr>
        <w:endnoteReference w:id="231"/>
      </w:r>
      <w:r w:rsidRPr="004B1B48">
        <w:rPr>
          <w:rFonts w:ascii="Century Schoolbook" w:eastAsia="Times New Roman" w:hAnsi="Century Schoolbook" w:cs="Times New Roman"/>
        </w:rPr>
        <w:t xml:space="preserve"> and is only a question of law “where the evidence is plain, palpable and undisputable.”</w:t>
      </w:r>
      <w:r w:rsidRPr="004B1B48">
        <w:rPr>
          <w:rFonts w:ascii="Century Schoolbook" w:eastAsia="Times New Roman" w:hAnsi="Century Schoolbook" w:cs="Times New Roman"/>
          <w:vertAlign w:val="superscript"/>
        </w:rPr>
        <w:endnoteReference w:id="232"/>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During the survey period, the Georgia Supreme Court affirmed in </w:t>
      </w:r>
      <w:r w:rsidRPr="004B1B48">
        <w:rPr>
          <w:rFonts w:ascii="Century Schoolbook" w:eastAsia="Times New Roman" w:hAnsi="Century Schoolbook" w:cs="Times New Roman"/>
          <w:i/>
        </w:rPr>
        <w:t>Novare Group, Inc. v. Sarif</w:t>
      </w:r>
      <w:r w:rsidRPr="004B1B48">
        <w:rPr>
          <w:rFonts w:ascii="Century Schoolbook" w:eastAsia="Times New Roman" w:hAnsi="Century Schoolbook" w:cs="Times New Roman"/>
          <w:vertAlign w:val="superscript"/>
        </w:rPr>
        <w:endnoteReference w:id="233"/>
      </w:r>
      <w:r w:rsidRPr="004B1B48">
        <w:rPr>
          <w:rFonts w:ascii="Century Schoolbook" w:eastAsia="Times New Roman" w:hAnsi="Century Schoolbook" w:cs="Times New Roman"/>
        </w:rPr>
        <w:t xml:space="preserve"> that to sustain a negligent supervision claim, there must be “sufficient evidence that the employer reasonably knew or should have known of the employee’s tendencies to engage in certain behavior relevant to the injuries allegedly incurred by the plaintiff.”</w:t>
      </w:r>
      <w:r w:rsidRPr="004B1B48">
        <w:rPr>
          <w:rFonts w:ascii="Century Schoolbook" w:eastAsia="Times New Roman" w:hAnsi="Century Schoolbook" w:cs="Times New Roman"/>
          <w:vertAlign w:val="superscript"/>
        </w:rPr>
        <w:endnoteReference w:id="234"/>
      </w:r>
      <w:r w:rsidRPr="004B1B48">
        <w:rPr>
          <w:rFonts w:ascii="Century Schoolbook" w:eastAsia="Times New Roman" w:hAnsi="Century Schoolbook" w:cs="Times New Roman"/>
        </w:rPr>
        <w:t xml:space="preserve"> In </w:t>
      </w:r>
      <w:r w:rsidRPr="004B1B48">
        <w:rPr>
          <w:rFonts w:ascii="Century Schoolbook" w:eastAsia="Times New Roman" w:hAnsi="Century Schoolbook" w:cs="Times New Roman"/>
          <w:i/>
        </w:rPr>
        <w:t>Novare</w:t>
      </w:r>
      <w:r w:rsidRPr="004B1B48">
        <w:rPr>
          <w:rFonts w:ascii="Century Schoolbook" w:eastAsia="Times New Roman" w:hAnsi="Century Schoolbook" w:cs="Times New Roman"/>
        </w:rPr>
        <w:t>, condominium purchasers alleged that brokers, acting on behalf of developers, had promised them “spectacular city views” and that any future development would not block the view from the condos in question.</w:t>
      </w:r>
      <w:r w:rsidRPr="004B1B48">
        <w:rPr>
          <w:rFonts w:ascii="Century Schoolbook" w:eastAsia="Times New Roman" w:hAnsi="Century Schoolbook" w:cs="Times New Roman"/>
          <w:vertAlign w:val="superscript"/>
        </w:rPr>
        <w:endnoteReference w:id="235"/>
      </w:r>
      <w:r w:rsidRPr="004B1B48">
        <w:rPr>
          <w:rFonts w:ascii="Century Schoolbook" w:eastAsia="Times New Roman" w:hAnsi="Century Schoolbook" w:cs="Times New Roman"/>
        </w:rPr>
        <w:t xml:space="preserve"> </w:t>
      </w:r>
      <w:r w:rsidRPr="004B1B48">
        <w:rPr>
          <w:rFonts w:ascii="Century Schoolbook" w:eastAsia="Times New Roman" w:hAnsi="Century Schoolbook" w:cs="Times New Roman"/>
        </w:rPr>
        <w:lastRenderedPageBreak/>
        <w:t>However, a new project was subsequently developed which blocked the condo purchasers’ view.</w:t>
      </w:r>
      <w:r w:rsidRPr="004B1B48">
        <w:rPr>
          <w:rFonts w:ascii="Century Schoolbook" w:eastAsia="Times New Roman" w:hAnsi="Century Schoolbook" w:cs="Times New Roman"/>
          <w:vertAlign w:val="superscript"/>
        </w:rPr>
        <w:endnoteReference w:id="236"/>
      </w:r>
      <w:r w:rsidRPr="004B1B48">
        <w:rPr>
          <w:rFonts w:ascii="Century Schoolbook" w:eastAsia="Times New Roman" w:hAnsi="Century Schoolbook" w:cs="Times New Roman"/>
        </w:rPr>
        <w:t xml:space="preserve"> The purchasers filed suit against the developers for negligent supervision of their brokers, based on the brokers’ departure from the sales script that warned of the uncertainty of future developments.</w:t>
      </w:r>
      <w:r w:rsidRPr="004B1B48">
        <w:rPr>
          <w:rFonts w:ascii="Century Schoolbook" w:eastAsia="Times New Roman" w:hAnsi="Century Schoolbook" w:cs="Times New Roman"/>
          <w:vertAlign w:val="superscript"/>
        </w:rPr>
        <w:endnoteReference w:id="237"/>
      </w:r>
      <w:r w:rsidRPr="004B1B48">
        <w:rPr>
          <w:rFonts w:ascii="Century Schoolbook" w:eastAsia="Times New Roman" w:hAnsi="Century Schoolbook" w:cs="Times New Roman"/>
        </w:rPr>
        <w:t xml:space="preserve"> The court held that the plaintiffs had failed to provide any specifically pled facts to support their legal conclusions that the developer had any actual knowledge of the brokers’ departure from the script or that the brokers had a tendency to do so.</w:t>
      </w:r>
      <w:r w:rsidRPr="004B1B48">
        <w:rPr>
          <w:rFonts w:ascii="Century Schoolbook" w:eastAsia="Times New Roman" w:hAnsi="Century Schoolbook" w:cs="Times New Roman"/>
          <w:vertAlign w:val="superscript"/>
        </w:rPr>
        <w:endnoteReference w:id="238"/>
      </w:r>
      <w:r w:rsidRPr="004B1B48">
        <w:rPr>
          <w:rFonts w:ascii="Century Schoolbook" w:eastAsia="Times New Roman" w:hAnsi="Century Schoolbook" w:cs="Times New Roman"/>
        </w:rPr>
        <w:t xml:space="preserve"> Accordingly, the negligent supervision claim was dismissed.</w:t>
      </w:r>
      <w:r w:rsidRPr="004B1B48">
        <w:rPr>
          <w:rFonts w:ascii="Century Schoolbook" w:eastAsia="Times New Roman" w:hAnsi="Century Schoolbook" w:cs="Times New Roman"/>
          <w:vertAlign w:val="superscript"/>
        </w:rPr>
        <w:endnoteReference w:id="239"/>
      </w:r>
    </w:p>
    <w:p w:rsidR="001B053B" w:rsidRDefault="001B053B" w:rsidP="001B053B">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 </w:t>
      </w:r>
    </w:p>
    <w:p w:rsidR="003A38BC" w:rsidRPr="004B1B48" w:rsidRDefault="003A38BC"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 xml:space="preserve">VI. </w:t>
      </w:r>
      <w:r w:rsidRPr="004B1B48">
        <w:rPr>
          <w:rFonts w:ascii="Century Schoolbook" w:eastAsia="Times New Roman" w:hAnsi="Century Schoolbook" w:cs="Times New Roman"/>
          <w:b/>
        </w:rPr>
        <w:tab/>
        <w:t>Respondeat Superior</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A.  Overview</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Under the doctrine of respondeat superior, an employer may be held vicariously liable for the negligence or intentional torts of employees committed within the scope of their employment.</w:t>
      </w:r>
      <w:r w:rsidRPr="004B1B48">
        <w:rPr>
          <w:rFonts w:ascii="Century Schoolbook" w:eastAsia="Times New Roman" w:hAnsi="Century Schoolbook" w:cs="Times New Roman"/>
          <w:vertAlign w:val="superscript"/>
        </w:rPr>
        <w:endnoteReference w:id="240"/>
      </w:r>
      <w:r w:rsidRPr="004B1B48">
        <w:rPr>
          <w:rFonts w:ascii="Century Schoolbook" w:eastAsia="Times New Roman" w:hAnsi="Century Schoolbook" w:cs="Times New Roman"/>
        </w:rPr>
        <w:t xml:space="preserve"> To hold an employer vicariously liable for the torts of an employee, the following elements must be established: (1) the employee was acting in furtherance of the employer’s business, and (2) the employee was acting within the scope of the employer’s business.</w:t>
      </w:r>
      <w:r w:rsidRPr="004B1B48">
        <w:rPr>
          <w:rFonts w:ascii="Century Schoolbook" w:eastAsia="Times New Roman" w:hAnsi="Century Schoolbook" w:cs="Times New Roman"/>
          <w:vertAlign w:val="superscript"/>
        </w:rPr>
        <w:endnoteReference w:id="241"/>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B.  Independent Contractor or Employee</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Vicarious liability under respondeat superior generally does not apply to the acts of independent contractors.</w:t>
      </w:r>
      <w:r w:rsidRPr="004B1B48">
        <w:rPr>
          <w:rFonts w:ascii="Century Schoolbook" w:eastAsia="Times New Roman" w:hAnsi="Century Schoolbook" w:cs="Times New Roman"/>
          <w:vertAlign w:val="superscript"/>
        </w:rPr>
        <w:endnoteReference w:id="242"/>
      </w:r>
      <w:r w:rsidRPr="004B1B48">
        <w:rPr>
          <w:rFonts w:ascii="Century Schoolbook" w:eastAsia="Times New Roman" w:hAnsi="Century Schoolbook" w:cs="Times New Roman"/>
        </w:rPr>
        <w:t xml:space="preserve"> Therefore, in determining vicarious liability, a court must initially resolve whether an </w:t>
      </w:r>
      <w:r w:rsidRPr="004B1B48">
        <w:rPr>
          <w:rFonts w:ascii="Century Schoolbook" w:eastAsia="Times New Roman" w:hAnsi="Century Schoolbook" w:cs="Times New Roman"/>
        </w:rPr>
        <w:lastRenderedPageBreak/>
        <w:t>individual is an independent contractor or an employee.</w:t>
      </w:r>
      <w:r w:rsidRPr="004B1B48">
        <w:rPr>
          <w:rFonts w:ascii="Century Schoolbook" w:eastAsia="Times New Roman" w:hAnsi="Century Schoolbook" w:cs="Times New Roman"/>
          <w:vertAlign w:val="superscript"/>
        </w:rPr>
        <w:endnoteReference w:id="243"/>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In </w:t>
      </w:r>
      <w:r w:rsidRPr="004B1B48">
        <w:rPr>
          <w:rFonts w:ascii="Century Schoolbook" w:eastAsia="Times New Roman" w:hAnsi="Century Schoolbook" w:cs="Times New Roman"/>
          <w:i/>
        </w:rPr>
        <w:t>Georgia Messenger Service, Inc. v. Bradley</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endnoteReference w:id="244"/>
      </w:r>
      <w:r w:rsidRPr="004B1B48">
        <w:rPr>
          <w:rFonts w:ascii="Century Schoolbook" w:eastAsia="Times New Roman" w:hAnsi="Century Schoolbook" w:cs="Times New Roman"/>
        </w:rPr>
        <w:t xml:space="preserve"> the Georgia Court of Appeals considered whether a courier, who was classified as an independent contractor in the contract with the employer, is actually an employee and whether the employer could be held liable for his negligence.</w:t>
      </w:r>
      <w:r w:rsidRPr="004B1B48">
        <w:rPr>
          <w:rFonts w:ascii="Century Schoolbook" w:eastAsia="Times New Roman" w:hAnsi="Century Schoolbook" w:cs="Times New Roman"/>
          <w:vertAlign w:val="superscript"/>
        </w:rPr>
        <w:endnoteReference w:id="245"/>
      </w:r>
      <w:r w:rsidRPr="004B1B48">
        <w:rPr>
          <w:rFonts w:ascii="Century Schoolbook" w:eastAsia="Times New Roman" w:hAnsi="Century Schoolbook" w:cs="Times New Roman"/>
        </w:rPr>
        <w:t xml:space="preserve"> Wise, a courier for Georgia Messenger Service, had been involved in an altercation with Bradley while attempting to make a delivery.</w:t>
      </w:r>
      <w:r w:rsidRPr="004B1B48">
        <w:rPr>
          <w:rFonts w:ascii="Century Schoolbook" w:eastAsia="Times New Roman" w:hAnsi="Century Schoolbook" w:cs="Times New Roman"/>
          <w:vertAlign w:val="superscript"/>
        </w:rPr>
        <w:endnoteReference w:id="246"/>
      </w:r>
      <w:r w:rsidRPr="004B1B48">
        <w:rPr>
          <w:rFonts w:ascii="Century Schoolbook" w:eastAsia="Times New Roman" w:hAnsi="Century Schoolbook" w:cs="Times New Roman"/>
        </w:rPr>
        <w:t xml:space="preserve"> Bradley sued Georgia Messenger Service under the doctrine of respondeat superior for Wise’s conduct.</w:t>
      </w:r>
      <w:r w:rsidRPr="004B1B48">
        <w:rPr>
          <w:rFonts w:ascii="Century Schoolbook" w:eastAsia="Times New Roman" w:hAnsi="Century Schoolbook" w:cs="Times New Roman"/>
          <w:vertAlign w:val="superscript"/>
        </w:rPr>
        <w:endnoteReference w:id="247"/>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To determine liability, the court examined whether Wise’s contractually designated status as an independent contractor precluded the employer’s liability for his tortious conduct.</w:t>
      </w:r>
      <w:r w:rsidRPr="004B1B48">
        <w:rPr>
          <w:rFonts w:ascii="Century Schoolbook" w:eastAsia="Times New Roman" w:hAnsi="Century Schoolbook" w:cs="Times New Roman"/>
          <w:vertAlign w:val="superscript"/>
        </w:rPr>
        <w:endnoteReference w:id="248"/>
      </w:r>
      <w:r w:rsidRPr="004B1B48">
        <w:rPr>
          <w:rFonts w:ascii="Century Schoolbook" w:eastAsia="Times New Roman" w:hAnsi="Century Schoolbook" w:cs="Times New Roman"/>
        </w:rPr>
        <w:t xml:space="preserve"> The test for determining when an employer exercises sufficient control over an independent contractor’s work to make the employer vicariously liable for the contractor’s actions is “whether ‘the contract gives, or the employer assumes, the right to control the time, manner, and method of the performance of the work, as distinguished from the right to merely require certain definite results in conforming with the contract.’  Put another way, ‘the test is essentially whether the contractor has a bona fide existence apart from the employer or functions instead as the employer’s alter ego.’”</w:t>
      </w:r>
      <w:r w:rsidRPr="004B1B48">
        <w:rPr>
          <w:rFonts w:ascii="Century Schoolbook" w:eastAsia="Times New Roman" w:hAnsi="Century Schoolbook" w:cs="Times New Roman"/>
          <w:vertAlign w:val="superscript"/>
        </w:rPr>
        <w:endnoteReference w:id="249"/>
      </w:r>
      <w:r w:rsidRPr="004B1B48">
        <w:rPr>
          <w:rFonts w:ascii="Century Schoolbook" w:eastAsia="Times New Roman" w:hAnsi="Century Schoolbook" w:cs="Times New Roman"/>
        </w:rPr>
        <w:t xml:space="preserve"> Here, Wise’s contract obligated him to perform duties on behalf of the employer as they were assigned to him; he had no choice as to which jobs he would perform; he could work only for Georgia Messenger </w:t>
      </w:r>
      <w:r w:rsidRPr="004B1B48">
        <w:rPr>
          <w:rFonts w:ascii="Century Schoolbook" w:eastAsia="Times New Roman" w:hAnsi="Century Schoolbook" w:cs="Times New Roman"/>
        </w:rPr>
        <w:lastRenderedPageBreak/>
        <w:t>Service; and the delivery vehicle could be used only by Georgia Messenger Service.</w:t>
      </w:r>
      <w:r w:rsidRPr="004B1B48">
        <w:rPr>
          <w:rFonts w:ascii="Century Schoolbook" w:eastAsia="Times New Roman" w:hAnsi="Century Schoolbook" w:cs="Times New Roman"/>
          <w:vertAlign w:val="superscript"/>
        </w:rPr>
        <w:endnoteReference w:id="250"/>
      </w:r>
      <w:r w:rsidRPr="004B1B48">
        <w:rPr>
          <w:rFonts w:ascii="Century Schoolbook" w:eastAsia="Times New Roman" w:hAnsi="Century Schoolbook" w:cs="Times New Roman"/>
        </w:rPr>
        <w:t xml:space="preserve"> The terms of the contract created a genuine issue of material fact, and the court denied Georgia Messenger Service’s motion for summary judgment.</w:t>
      </w:r>
      <w:r w:rsidRPr="004B1B48">
        <w:rPr>
          <w:rFonts w:ascii="Century Schoolbook" w:eastAsia="Times New Roman" w:hAnsi="Century Schoolbook" w:cs="Times New Roman"/>
          <w:vertAlign w:val="superscript"/>
        </w:rPr>
        <w:endnoteReference w:id="251"/>
      </w:r>
      <w:r w:rsidRPr="004B1B48">
        <w:rPr>
          <w:rFonts w:ascii="Century Schoolbook" w:eastAsia="Times New Roman" w:hAnsi="Century Schoolbook" w:cs="Times New Roman"/>
        </w:rPr>
        <w:t xml:space="preserve"> </w:t>
      </w:r>
    </w:p>
    <w:p w:rsidR="001B053B" w:rsidRDefault="001B053B" w:rsidP="001B053B">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ab/>
      </w:r>
    </w:p>
    <w:p w:rsidR="003A38BC" w:rsidRPr="004B1B48" w:rsidRDefault="003A38BC"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 xml:space="preserve">VII. </w:t>
      </w:r>
      <w:r w:rsidRPr="004B1B48">
        <w:rPr>
          <w:rFonts w:ascii="Century Schoolbook" w:eastAsia="Times New Roman" w:hAnsi="Century Schoolbook" w:cs="Times New Roman"/>
          <w:b/>
        </w:rPr>
        <w:tab/>
        <w:t>Restrictive Covenants</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A.  Overview</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Effective May 11, 2011, the Constitution of Georgia was amended to authorize the enforcement of covenants that restrain an employee in a reasonable manner.</w:t>
      </w:r>
      <w:r w:rsidRPr="004B1B48">
        <w:rPr>
          <w:rFonts w:ascii="Century Schoolbook" w:eastAsia="Times New Roman" w:hAnsi="Century Schoolbook" w:cs="Times New Roman"/>
          <w:vertAlign w:val="superscript"/>
        </w:rPr>
        <w:endnoteReference w:id="252"/>
      </w:r>
      <w:r w:rsidRPr="004B1B48">
        <w:rPr>
          <w:rFonts w:ascii="Century Schoolbook" w:eastAsia="Times New Roman" w:hAnsi="Century Schoolbook" w:cs="Times New Roman"/>
        </w:rPr>
        <w:t xml:space="preserve"> In 2009, the General Assembly approved HR 178 to put the constitutional amendment on the November 2010 ballot, but the resolution did not specify an effective date.</w:t>
      </w:r>
      <w:r w:rsidRPr="004B1B48">
        <w:rPr>
          <w:rFonts w:ascii="Century Schoolbook" w:eastAsia="Times New Roman" w:hAnsi="Century Schoolbook" w:cs="Times New Roman"/>
          <w:vertAlign w:val="superscript"/>
        </w:rPr>
        <w:endnoteReference w:id="253"/>
      </w:r>
      <w:r w:rsidRPr="004B1B48">
        <w:rPr>
          <w:rFonts w:ascii="Century Schoolbook" w:eastAsia="Times New Roman" w:hAnsi="Century Schoolbook" w:cs="Times New Roman"/>
        </w:rPr>
        <w:t xml:space="preserve"> The General Assembly then enacted HB 173 to authorize restrictive covenants, effective the day after vote, because Georgia citizens were expected to approve the constitutional amendment.</w:t>
      </w:r>
      <w:r w:rsidRPr="004B1B48">
        <w:rPr>
          <w:rFonts w:ascii="Century Schoolbook" w:eastAsia="Times New Roman" w:hAnsi="Century Schoolbook" w:cs="Times New Roman"/>
          <w:vertAlign w:val="superscript"/>
        </w:rPr>
        <w:endnoteReference w:id="254"/>
      </w:r>
      <w:r w:rsidRPr="004B1B48">
        <w:rPr>
          <w:rFonts w:ascii="Century Schoolbook" w:eastAsia="Times New Roman" w:hAnsi="Century Schoolbook" w:cs="Times New Roman"/>
        </w:rPr>
        <w:t xml:space="preserve"> Georgia voters approved the amendment on November 2, 2010, but pursuant to the state constitution, the effective date would be January 1, 2011, because the amendment lacked an effective date.</w:t>
      </w:r>
      <w:r w:rsidRPr="004B1B48">
        <w:rPr>
          <w:rFonts w:ascii="Century Schoolbook" w:eastAsia="Times New Roman" w:hAnsi="Century Schoolbook" w:cs="Times New Roman"/>
          <w:vertAlign w:val="superscript"/>
        </w:rPr>
        <w:endnoteReference w:id="255"/>
      </w:r>
      <w:r w:rsidRPr="004B1B48">
        <w:rPr>
          <w:rFonts w:ascii="Century Schoolbook" w:eastAsia="Times New Roman" w:hAnsi="Century Schoolbook" w:cs="Times New Roman"/>
        </w:rPr>
        <w:t xml:space="preserve"> Conversely, HB 173 went into effect on November 3, 2010, so it was unconstitutional when it was passed.</w:t>
      </w:r>
      <w:r w:rsidRPr="004B1B48">
        <w:rPr>
          <w:rFonts w:ascii="Century Schoolbook" w:eastAsia="Times New Roman" w:hAnsi="Century Schoolbook" w:cs="Times New Roman"/>
          <w:vertAlign w:val="superscript"/>
        </w:rPr>
        <w:endnoteReference w:id="256"/>
      </w:r>
      <w:r w:rsidRPr="004B1B48">
        <w:rPr>
          <w:rFonts w:ascii="Century Schoolbook" w:eastAsia="Times New Roman" w:hAnsi="Century Schoolbook" w:cs="Times New Roman"/>
        </w:rPr>
        <w:t xml:space="preserve"> Therefore, the General Assembly passed HB 30 to repeal HB 173 and to rectify the gap in the effective date and the constitutional amendment.</w:t>
      </w:r>
      <w:r w:rsidRPr="004B1B48">
        <w:rPr>
          <w:rFonts w:ascii="Century Schoolbook" w:eastAsia="Times New Roman" w:hAnsi="Century Schoolbook" w:cs="Times New Roman"/>
          <w:vertAlign w:val="superscript"/>
        </w:rPr>
        <w:endnoteReference w:id="257"/>
      </w:r>
      <w:r w:rsidRPr="004B1B48">
        <w:rPr>
          <w:rFonts w:ascii="Century Schoolbook" w:eastAsia="Times New Roman" w:hAnsi="Century Schoolbook" w:cs="Times New Roman"/>
        </w:rPr>
        <w:t xml:space="preserve"> HB 30 was signed and became effective on May 11, 2011 and applies “to contracts entered into on and after [its effective date] and shall not apply in actions determining the enforceability of restrictive covenants entered into before such date.”</w:t>
      </w:r>
      <w:r w:rsidRPr="004B1B48">
        <w:rPr>
          <w:rFonts w:ascii="Century Schoolbook" w:eastAsia="Times New Roman" w:hAnsi="Century Schoolbook" w:cs="Times New Roman"/>
          <w:vertAlign w:val="superscript"/>
        </w:rPr>
        <w:endnoteReference w:id="258"/>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Prior to this constitutional amendment, courts have upheld non-compete agreements that place merely a partial restraint on trade.</w:t>
      </w:r>
      <w:r w:rsidRPr="004B1B48">
        <w:rPr>
          <w:rFonts w:ascii="Century Schoolbook" w:eastAsia="Times New Roman" w:hAnsi="Century Schoolbook" w:cs="Times New Roman"/>
          <w:vertAlign w:val="superscript"/>
        </w:rPr>
        <w:endnoteReference w:id="259"/>
      </w:r>
      <w:r w:rsidRPr="004B1B48">
        <w:rPr>
          <w:rFonts w:ascii="Century Schoolbook" w:eastAsia="Times New Roman" w:hAnsi="Century Schoolbook" w:cs="Times New Roman"/>
        </w:rPr>
        <w:t xml:space="preserve"> Agreements that place general restraints on trade are void as against public policy.</w:t>
      </w:r>
      <w:r w:rsidRPr="004B1B48">
        <w:rPr>
          <w:rFonts w:ascii="Century Schoolbook" w:eastAsia="Times New Roman" w:hAnsi="Century Schoolbook" w:cs="Times New Roman"/>
          <w:vertAlign w:val="superscript"/>
        </w:rPr>
        <w:endnoteReference w:id="260"/>
      </w:r>
      <w:r w:rsidRPr="004B1B48">
        <w:rPr>
          <w:rFonts w:ascii="Century Schoolbook" w:eastAsia="Times New Roman" w:hAnsi="Century Schoolbook" w:cs="Times New Roman"/>
        </w:rPr>
        <w:t xml:space="preserve"> Prior to the amendment, courts disfavored non-compete agreements on contractual relations because any restriction on trade reduces competition.</w:t>
      </w:r>
      <w:r w:rsidRPr="004B1B48">
        <w:rPr>
          <w:rFonts w:ascii="Century Schoolbook" w:eastAsia="Times New Roman" w:hAnsi="Century Schoolbook" w:cs="Times New Roman"/>
          <w:vertAlign w:val="superscript"/>
        </w:rPr>
        <w:endnoteReference w:id="261"/>
      </w:r>
      <w:r w:rsidRPr="004B1B48">
        <w:rPr>
          <w:rFonts w:ascii="Century Schoolbook" w:eastAsia="Times New Roman" w:hAnsi="Century Schoolbook" w:cs="Times New Roman"/>
        </w:rPr>
        <w:t xml:space="preserve"> Pursuant to the 1983 Georgia Constitution, a judge has the power to limit the “duration, geographic area, and scope of prohibited activities provided in a contract or agreement restricting or regulating competitive activities.”</w:t>
      </w:r>
      <w:r w:rsidRPr="004B1B48">
        <w:rPr>
          <w:rFonts w:ascii="Century Schoolbook" w:eastAsia="Times New Roman" w:hAnsi="Century Schoolbook" w:cs="Times New Roman"/>
          <w:vertAlign w:val="superscript"/>
        </w:rPr>
        <w:endnoteReference w:id="262"/>
      </w:r>
      <w:r w:rsidRPr="004B1B48">
        <w:rPr>
          <w:rFonts w:ascii="Century Schoolbook" w:eastAsia="Times New Roman" w:hAnsi="Century Schoolbook" w:cs="Times New Roman"/>
        </w:rPr>
        <w:t xml:space="preserve"> However, the court of appeals has recognized that the new version of the statute will not apply to restrictive covenants that predate the amendment.</w:t>
      </w:r>
      <w:r w:rsidRPr="004B1B48">
        <w:rPr>
          <w:rFonts w:ascii="Century Schoolbook" w:eastAsia="Times New Roman" w:hAnsi="Century Schoolbook" w:cs="Times New Roman"/>
          <w:vertAlign w:val="superscript"/>
        </w:rPr>
        <w:endnoteReference w:id="263"/>
      </w:r>
      <w:r w:rsidRPr="004B1B48">
        <w:rPr>
          <w:rFonts w:ascii="Century Schoolbook" w:eastAsia="Times New Roman" w:hAnsi="Century Schoolbook" w:cs="Times New Roman"/>
        </w:rPr>
        <w:t xml:space="preserve"> For these prior covenants, a non-compete agreement is valid as a partial restraint on trade when the agreement is specific and is reasonable in regard to duration, territorial coverage, and the scope of activities prohibited.</w:t>
      </w:r>
      <w:r w:rsidRPr="004B1B48">
        <w:rPr>
          <w:rFonts w:ascii="Century Schoolbook" w:eastAsia="Times New Roman" w:hAnsi="Century Schoolbook" w:cs="Times New Roman"/>
          <w:vertAlign w:val="superscript"/>
        </w:rPr>
        <w:endnoteReference w:id="264"/>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Whether the terms of a non-compete agreement are reasonable is a question of law that takes into account “the nature and extent of the trade or business, the situation of the parties, and all other relevant circumstances.”</w:t>
      </w:r>
      <w:r w:rsidRPr="004B1B48">
        <w:rPr>
          <w:rFonts w:ascii="Century Schoolbook" w:eastAsia="Times New Roman" w:hAnsi="Century Schoolbook" w:cs="Times New Roman"/>
          <w:vertAlign w:val="superscript"/>
        </w:rPr>
        <w:endnoteReference w:id="265"/>
      </w:r>
      <w:r w:rsidRPr="004B1B48">
        <w:rPr>
          <w:rFonts w:ascii="Century Schoolbook" w:eastAsia="Times New Roman" w:hAnsi="Century Schoolbook" w:cs="Times New Roman"/>
        </w:rPr>
        <w:t xml:space="preserve"> A questionable restriction, if not void on its face, may require the introduction of additional facts to determine whether it is reasonable.</w:t>
      </w:r>
      <w:r w:rsidRPr="004B1B48">
        <w:rPr>
          <w:rFonts w:ascii="Century Schoolbook" w:eastAsia="Times New Roman" w:hAnsi="Century Schoolbook" w:cs="Times New Roman"/>
          <w:vertAlign w:val="superscript"/>
        </w:rPr>
        <w:endnoteReference w:id="266"/>
      </w:r>
      <w:r w:rsidRPr="004B1B48">
        <w:rPr>
          <w:rFonts w:ascii="Century Schoolbook" w:eastAsia="Times New Roman" w:hAnsi="Century Schoolbook" w:cs="Times New Roman"/>
        </w:rPr>
        <w:t xml:space="preserve"> However, depending on the type of contract, courts apply different levels of scrutiny in determining the reasonableness of the contract.</w:t>
      </w:r>
      <w:r w:rsidRPr="004B1B48">
        <w:rPr>
          <w:rFonts w:ascii="Century Schoolbook" w:eastAsia="Times New Roman" w:hAnsi="Century Schoolbook" w:cs="Times New Roman"/>
          <w:vertAlign w:val="superscript"/>
        </w:rPr>
        <w:endnoteReference w:id="267"/>
      </w:r>
      <w:r w:rsidRPr="004B1B48">
        <w:rPr>
          <w:rFonts w:ascii="Century Schoolbook" w:eastAsia="Times New Roman" w:hAnsi="Century Schoolbook" w:cs="Times New Roman"/>
        </w:rPr>
        <w:t xml:space="preserve"> If a non-compete agreement is ancillary to an employment agreement, a stricter standard </w:t>
      </w:r>
      <w:r w:rsidRPr="004B1B48">
        <w:rPr>
          <w:rFonts w:ascii="Century Schoolbook" w:eastAsia="Times New Roman" w:hAnsi="Century Schoolbook" w:cs="Times New Roman"/>
        </w:rPr>
        <w:lastRenderedPageBreak/>
        <w:t>applies;</w:t>
      </w:r>
      <w:r w:rsidRPr="004B1B48">
        <w:rPr>
          <w:rFonts w:ascii="Century Schoolbook" w:eastAsia="Times New Roman" w:hAnsi="Century Schoolbook" w:cs="Times New Roman"/>
          <w:vertAlign w:val="superscript"/>
        </w:rPr>
        <w:endnoteReference w:id="268"/>
      </w:r>
      <w:r w:rsidRPr="004B1B48">
        <w:rPr>
          <w:rFonts w:ascii="Century Schoolbook" w:eastAsia="Times New Roman" w:hAnsi="Century Schoolbook" w:cs="Times New Roman"/>
        </w:rPr>
        <w:t xml:space="preserve"> if any portion of that agreement is considered overbroad or unreasonable, the entire agreement becomes invalid.</w:t>
      </w:r>
      <w:r w:rsidRPr="004B1B48">
        <w:rPr>
          <w:rFonts w:ascii="Century Schoolbook" w:eastAsia="Times New Roman" w:hAnsi="Century Schoolbook" w:cs="Times New Roman"/>
          <w:vertAlign w:val="superscript"/>
        </w:rPr>
        <w:endnoteReference w:id="269"/>
      </w:r>
      <w:r w:rsidRPr="004B1B48">
        <w:rPr>
          <w:rFonts w:ascii="Century Schoolbook" w:eastAsia="Times New Roman" w:hAnsi="Century Schoolbook" w:cs="Times New Roman"/>
        </w:rPr>
        <w:t xml:space="preserve"> If the agreement is pursuant to a contract for the sale of a business, a less stringent standard permits broader provisions; even if provisions of that agreement are deemed overbroad or unreasonable, the court may “blue pencil” the agreement, rewriting or severing the overly broad provisions. However, “in restrictive covenant cases strictly scrutinized as employment contracts, Georgia does not employ the ‘blue pencil’ doctrine of severability.”</w:t>
      </w:r>
      <w:r w:rsidRPr="004B1B48">
        <w:rPr>
          <w:rFonts w:ascii="Century Schoolbook" w:eastAsia="Times New Roman" w:hAnsi="Century Schoolbook" w:cs="Times New Roman"/>
          <w:vertAlign w:val="superscript"/>
        </w:rPr>
        <w:endnoteReference w:id="270"/>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B.  Georgia Public Policy</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During the survey period, the Eleventh Circuit Court of Appeals examined the enforceability of a restrictive covenant which was entered into after voters had approved the amendment and the November 3, 2010 effective date of HB 173, but prior to the May 11, 2011 effective date of HB 30.</w:t>
      </w:r>
      <w:r w:rsidRPr="004B1B48">
        <w:rPr>
          <w:rFonts w:ascii="Century Schoolbook" w:eastAsia="Times New Roman" w:hAnsi="Century Schoolbook" w:cs="Times New Roman"/>
          <w:vertAlign w:val="superscript"/>
        </w:rPr>
        <w:endnoteReference w:id="271"/>
      </w:r>
      <w:r w:rsidRPr="004B1B48">
        <w:rPr>
          <w:rFonts w:ascii="Century Schoolbook" w:eastAsia="Times New Roman" w:hAnsi="Century Schoolbook" w:cs="Times New Roman"/>
        </w:rPr>
        <w:t xml:space="preserve"> In </w:t>
      </w:r>
      <w:r w:rsidRPr="004B1B48">
        <w:rPr>
          <w:rFonts w:ascii="Century Schoolbook" w:eastAsia="Times New Roman" w:hAnsi="Century Schoolbook" w:cs="Times New Roman"/>
          <w:i/>
        </w:rPr>
        <w:t>Becham v. Synthes</w:t>
      </w:r>
      <w:r w:rsidRPr="004B1B48">
        <w:rPr>
          <w:rFonts w:ascii="Century Schoolbook" w:eastAsia="Times New Roman" w:hAnsi="Century Schoolbook" w:cs="Times New Roman"/>
        </w:rPr>
        <w:t>, Becham had signed four restrictive covenants as part of his employment contract with Synthes in 2000.</w:t>
      </w:r>
      <w:r w:rsidRPr="004B1B48">
        <w:rPr>
          <w:rFonts w:ascii="Century Schoolbook" w:eastAsia="Times New Roman" w:hAnsi="Century Schoolbook" w:cs="Times New Roman"/>
          <w:vertAlign w:val="superscript"/>
        </w:rPr>
        <w:endnoteReference w:id="272"/>
      </w:r>
      <w:r w:rsidRPr="004B1B48">
        <w:rPr>
          <w:rFonts w:ascii="Century Schoolbook" w:eastAsia="Times New Roman" w:hAnsi="Century Schoolbook" w:cs="Times New Roman"/>
        </w:rPr>
        <w:t xml:space="preserve"> In November 2010, Becham informed his manager that he was leaving Synthes at the end of the year.</w:t>
      </w:r>
      <w:r w:rsidRPr="004B1B48">
        <w:rPr>
          <w:rFonts w:ascii="Century Schoolbook" w:eastAsia="Times New Roman" w:hAnsi="Century Schoolbook" w:cs="Times New Roman"/>
          <w:vertAlign w:val="superscript"/>
        </w:rPr>
        <w:endnoteReference w:id="273"/>
      </w:r>
      <w:r w:rsidRPr="004B1B48">
        <w:rPr>
          <w:rFonts w:ascii="Century Schoolbook" w:eastAsia="Times New Roman" w:hAnsi="Century Schoolbook" w:cs="Times New Roman"/>
        </w:rPr>
        <w:t xml:space="preserve"> Synthes agreed to pay Becham commissions on January 15, 2011 in exchange for a promise to honor the restrictive covenants in January 2011.</w:t>
      </w:r>
      <w:r w:rsidRPr="004B1B48">
        <w:rPr>
          <w:rFonts w:ascii="Century Schoolbook" w:eastAsia="Times New Roman" w:hAnsi="Century Schoolbook" w:cs="Times New Roman"/>
          <w:vertAlign w:val="superscript"/>
        </w:rPr>
        <w:endnoteReference w:id="274"/>
      </w:r>
      <w:r w:rsidRPr="004B1B48">
        <w:rPr>
          <w:rFonts w:ascii="Century Schoolbook" w:eastAsia="Times New Roman" w:hAnsi="Century Schoolbook" w:cs="Times New Roman"/>
        </w:rPr>
        <w:t xml:space="preserve"> Becham accepted the terms in December 2010.</w:t>
      </w:r>
      <w:r w:rsidRPr="004B1B48">
        <w:rPr>
          <w:rFonts w:ascii="Century Schoolbook" w:eastAsia="Times New Roman" w:hAnsi="Century Schoolbook" w:cs="Times New Roman"/>
          <w:vertAlign w:val="superscript"/>
        </w:rPr>
        <w:endnoteReference w:id="275"/>
      </w:r>
      <w:r w:rsidRPr="004B1B48">
        <w:rPr>
          <w:rFonts w:ascii="Century Schoolbook" w:eastAsia="Times New Roman" w:hAnsi="Century Schoolbook" w:cs="Times New Roman"/>
        </w:rPr>
        <w:t xml:space="preserve"> However, after Becham had received his commission, he sought a declaration that the restrictive covenants are unenforceable, and he began working for a competitor of Synthes.</w:t>
      </w:r>
      <w:r w:rsidRPr="004B1B48">
        <w:rPr>
          <w:rFonts w:ascii="Century Schoolbook" w:eastAsia="Times New Roman" w:hAnsi="Century Schoolbook" w:cs="Times New Roman"/>
          <w:vertAlign w:val="superscript"/>
        </w:rPr>
        <w:endnoteReference w:id="276"/>
      </w:r>
      <w:r w:rsidRPr="004B1B48">
        <w:rPr>
          <w:rFonts w:ascii="Century Schoolbook" w:eastAsia="Times New Roman" w:hAnsi="Century Schoolbook" w:cs="Times New Roman"/>
        </w:rPr>
        <w:t xml:space="preserve"> The trial court granted summary judgment in favor of Becham and applied Georgia law to </w:t>
      </w:r>
      <w:r w:rsidRPr="004B1B48">
        <w:rPr>
          <w:rFonts w:ascii="Century Schoolbook" w:eastAsia="Times New Roman" w:hAnsi="Century Schoolbook" w:cs="Times New Roman"/>
        </w:rPr>
        <w:lastRenderedPageBreak/>
        <w:t>the restrictive covenants, notwithstanding a contractual provision choosing Pennsylvania law.</w:t>
      </w:r>
      <w:r w:rsidRPr="004B1B48">
        <w:rPr>
          <w:rFonts w:ascii="Century Schoolbook" w:eastAsia="Times New Roman" w:hAnsi="Century Schoolbook" w:cs="Times New Roman"/>
          <w:vertAlign w:val="superscript"/>
        </w:rPr>
        <w:endnoteReference w:id="277"/>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Generally, a choice of law provision is enforceable in Georgia.</w:t>
      </w:r>
      <w:r w:rsidRPr="004B1B48">
        <w:rPr>
          <w:rFonts w:ascii="Century Schoolbook" w:eastAsia="Times New Roman" w:hAnsi="Century Schoolbook" w:cs="Times New Roman"/>
          <w:vertAlign w:val="superscript"/>
        </w:rPr>
        <w:endnoteReference w:id="278"/>
      </w:r>
      <w:r w:rsidRPr="004B1B48">
        <w:rPr>
          <w:rFonts w:ascii="Century Schoolbook" w:eastAsia="Times New Roman" w:hAnsi="Century Schoolbook" w:cs="Times New Roman"/>
        </w:rPr>
        <w:t xml:space="preserve"> However, the choice of law provision may be unenforceable in Georgia if the application of the law from another jurisdiction would violate the public policy of Georgia.</w:t>
      </w:r>
      <w:r w:rsidRPr="004B1B48">
        <w:rPr>
          <w:rFonts w:ascii="Century Schoolbook" w:eastAsia="Times New Roman" w:hAnsi="Century Schoolbook" w:cs="Times New Roman"/>
          <w:vertAlign w:val="superscript"/>
        </w:rPr>
        <w:endnoteReference w:id="279"/>
      </w:r>
      <w:r w:rsidRPr="004B1B48">
        <w:rPr>
          <w:rFonts w:ascii="Century Schoolbook" w:eastAsia="Times New Roman" w:hAnsi="Century Schoolbook" w:cs="Times New Roman"/>
        </w:rPr>
        <w:t xml:space="preserve"> Synthes argued that “Georgia’s public policy shifted in November 2010 to support the broad enforcement of restrictive covenants,” and that the district court should have considered Georgia’s new public policy.</w:t>
      </w:r>
      <w:r w:rsidRPr="004B1B48">
        <w:rPr>
          <w:rFonts w:ascii="Century Schoolbook" w:eastAsia="Times New Roman" w:hAnsi="Century Schoolbook" w:cs="Times New Roman"/>
          <w:vertAlign w:val="superscript"/>
        </w:rPr>
        <w:endnoteReference w:id="280"/>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court of appeals noted that HB 173, by its terms, would be effective on November 3, 2010 and applies to “all contracts entered on or after” that date.</w:t>
      </w:r>
      <w:r w:rsidRPr="004B1B48">
        <w:rPr>
          <w:rFonts w:ascii="Century Schoolbook" w:eastAsia="Times New Roman" w:hAnsi="Century Schoolbook" w:cs="Times New Roman"/>
          <w:vertAlign w:val="superscript"/>
        </w:rPr>
        <w:endnoteReference w:id="281"/>
      </w:r>
      <w:r w:rsidRPr="004B1B48">
        <w:rPr>
          <w:rFonts w:ascii="Century Schoolbook" w:eastAsia="Times New Roman" w:hAnsi="Century Schoolbook" w:cs="Times New Roman"/>
        </w:rPr>
        <w:t xml:space="preserve"> Moreover, Becham agreed on December 1, 2010 to honor the covenants.</w:t>
      </w:r>
      <w:r w:rsidRPr="004B1B48">
        <w:rPr>
          <w:rFonts w:ascii="Century Schoolbook" w:eastAsia="Times New Roman" w:hAnsi="Century Schoolbook" w:cs="Times New Roman"/>
          <w:vertAlign w:val="superscript"/>
        </w:rPr>
        <w:endnoteReference w:id="282"/>
      </w:r>
      <w:r w:rsidRPr="004B1B48">
        <w:rPr>
          <w:rFonts w:ascii="Century Schoolbook" w:eastAsia="Times New Roman" w:hAnsi="Century Schoolbook" w:cs="Times New Roman"/>
        </w:rPr>
        <w:t xml:space="preserve"> These circumstances would ordinarily render the covenants enforceable; however, HB 173 is “unconstitutional and void.”</w:t>
      </w:r>
      <w:r w:rsidRPr="004B1B48">
        <w:rPr>
          <w:rFonts w:ascii="Century Schoolbook" w:eastAsia="Times New Roman" w:hAnsi="Century Schoolbook" w:cs="Times New Roman"/>
          <w:vertAlign w:val="superscript"/>
        </w:rPr>
        <w:endnoteReference w:id="283"/>
      </w:r>
      <w:r w:rsidRPr="004B1B48">
        <w:rPr>
          <w:rFonts w:ascii="Century Schoolbook" w:eastAsia="Times New Roman" w:hAnsi="Century Schoolbook" w:cs="Times New Roman"/>
        </w:rPr>
        <w:t xml:space="preserve"> “In Georgia, a statute’s constitutionality is tested at the time it was passed.”</w:t>
      </w:r>
      <w:r w:rsidRPr="004B1B48">
        <w:rPr>
          <w:rFonts w:ascii="Century Schoolbook" w:eastAsia="Times New Roman" w:hAnsi="Century Schoolbook" w:cs="Times New Roman"/>
          <w:vertAlign w:val="superscript"/>
        </w:rPr>
        <w:endnoteReference w:id="284"/>
      </w:r>
      <w:r w:rsidRPr="004B1B48">
        <w:rPr>
          <w:rFonts w:ascii="Century Schoolbook" w:eastAsia="Times New Roman" w:hAnsi="Century Schoolbook" w:cs="Times New Roman"/>
        </w:rPr>
        <w:t xml:space="preserve"> At the moment HB 173 went into effect (November 3, 2010), the General Assembly still did not have the power to authorize the enforcement of restrictive covenants.</w:t>
      </w:r>
      <w:r w:rsidRPr="004B1B48">
        <w:rPr>
          <w:rFonts w:ascii="Century Schoolbook" w:eastAsia="Times New Roman" w:hAnsi="Century Schoolbook" w:cs="Times New Roman"/>
          <w:vertAlign w:val="superscript"/>
        </w:rPr>
        <w:endnoteReference w:id="285"/>
      </w:r>
      <w:r w:rsidRPr="004B1B48">
        <w:rPr>
          <w:rFonts w:ascii="Century Schoolbook" w:eastAsia="Times New Roman" w:hAnsi="Century Schoolbook" w:cs="Times New Roman"/>
        </w:rPr>
        <w:t xml:space="preserve"> Therefore, even though a constitutional amendment authorizing HB 173 went into effect on January 1, 2011, the act could not be saved.</w:t>
      </w:r>
      <w:r w:rsidRPr="004B1B48">
        <w:rPr>
          <w:rFonts w:ascii="Century Schoolbook" w:eastAsia="Times New Roman" w:hAnsi="Century Schoolbook" w:cs="Times New Roman"/>
          <w:vertAlign w:val="superscript"/>
        </w:rPr>
        <w:endnoteReference w:id="286"/>
      </w:r>
      <w:r w:rsidRPr="004B1B48">
        <w:rPr>
          <w:rFonts w:ascii="Century Schoolbook" w:eastAsia="Times New Roman" w:hAnsi="Century Schoolbook" w:cs="Times New Roman"/>
        </w:rPr>
        <w:t xml:space="preserve"> “In Georgia, the only way to ‘revive’ an unconstitutional statute is to reenact that statute.”</w:t>
      </w:r>
      <w:r w:rsidRPr="004B1B48">
        <w:rPr>
          <w:rFonts w:ascii="Century Schoolbook" w:eastAsia="Times New Roman" w:hAnsi="Century Schoolbook" w:cs="Times New Roman"/>
          <w:vertAlign w:val="superscript"/>
        </w:rPr>
        <w:endnoteReference w:id="287"/>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The General Assembly did eventually pass HB 30 to correct HB 173. However, HB 30 went into effect on May 11, 2011 and does not “apply </w:t>
      </w:r>
      <w:r w:rsidRPr="004B1B48">
        <w:rPr>
          <w:rFonts w:ascii="Century Schoolbook" w:eastAsia="Times New Roman" w:hAnsi="Century Schoolbook" w:cs="Times New Roman"/>
        </w:rPr>
        <w:lastRenderedPageBreak/>
        <w:t>in actions determining the enforceability of restrictive covenants entered into before” May 11, 2011.</w:t>
      </w:r>
      <w:r w:rsidRPr="004B1B48">
        <w:rPr>
          <w:rFonts w:ascii="Century Schoolbook" w:eastAsia="Times New Roman" w:hAnsi="Century Schoolbook" w:cs="Times New Roman"/>
          <w:vertAlign w:val="superscript"/>
        </w:rPr>
        <w:endnoteReference w:id="288"/>
      </w:r>
      <w:r w:rsidRPr="004B1B48">
        <w:rPr>
          <w:rFonts w:ascii="Century Schoolbook" w:eastAsia="Times New Roman" w:hAnsi="Century Schoolbook" w:cs="Times New Roman"/>
        </w:rPr>
        <w:t xml:space="preserve"> Consequently, the restrictive covenants in question were not covered by HB 30.</w:t>
      </w:r>
      <w:r w:rsidRPr="004B1B48">
        <w:rPr>
          <w:rFonts w:ascii="Century Schoolbook" w:eastAsia="Times New Roman" w:hAnsi="Century Schoolbook" w:cs="Times New Roman"/>
          <w:vertAlign w:val="superscript"/>
        </w:rPr>
        <w:endnoteReference w:id="289"/>
      </w:r>
      <w:r w:rsidRPr="004B1B48">
        <w:rPr>
          <w:rFonts w:ascii="Century Schoolbook" w:eastAsia="Times New Roman" w:hAnsi="Century Schoolbook" w:cs="Times New Roman"/>
        </w:rPr>
        <w:t xml:space="preserve"> The court of appeals upheld the district court’s decision to grant summary judgment in favor of Becham.</w:t>
      </w:r>
      <w:r w:rsidRPr="004B1B48">
        <w:rPr>
          <w:rFonts w:ascii="Century Schoolbook" w:eastAsia="Times New Roman" w:hAnsi="Century Schoolbook" w:cs="Times New Roman"/>
          <w:vertAlign w:val="superscript"/>
        </w:rPr>
        <w:endnoteReference w:id="290"/>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Similarly, in </w:t>
      </w:r>
      <w:r w:rsidRPr="004B1B48">
        <w:rPr>
          <w:rFonts w:ascii="Century Schoolbook" w:eastAsia="Times New Roman" w:hAnsi="Century Schoolbook" w:cs="Times New Roman"/>
          <w:i/>
        </w:rPr>
        <w:t>Boone v. Corestaff Support Services, Inc</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endnoteReference w:id="291"/>
      </w:r>
      <w:r w:rsidRPr="004B1B48">
        <w:rPr>
          <w:rFonts w:ascii="Century Schoolbook" w:eastAsia="Times New Roman" w:hAnsi="Century Schoolbook" w:cs="Times New Roman"/>
        </w:rPr>
        <w:t xml:space="preserve"> the federal trial court examined whether a choice of law provision that applies the law of another jurisdiction violates Georgia public policy in the context of restrictive covenants.</w:t>
      </w:r>
      <w:r w:rsidRPr="004B1B48">
        <w:rPr>
          <w:rFonts w:ascii="Century Schoolbook" w:eastAsia="Times New Roman" w:hAnsi="Century Schoolbook" w:cs="Times New Roman"/>
          <w:vertAlign w:val="superscript"/>
        </w:rPr>
        <w:endnoteReference w:id="292"/>
      </w:r>
      <w:r w:rsidRPr="004B1B48">
        <w:rPr>
          <w:rFonts w:ascii="Century Schoolbook" w:eastAsia="Times New Roman" w:hAnsi="Century Schoolbook" w:cs="Times New Roman"/>
        </w:rPr>
        <w:t xml:space="preserve"> Boone had signed a non-compete agreement in December 2008.</w:t>
      </w:r>
      <w:r w:rsidRPr="004B1B48">
        <w:rPr>
          <w:rFonts w:ascii="Century Schoolbook" w:eastAsia="Times New Roman" w:hAnsi="Century Schoolbook" w:cs="Times New Roman"/>
          <w:vertAlign w:val="superscript"/>
        </w:rPr>
        <w:endnoteReference w:id="293"/>
      </w:r>
      <w:r w:rsidRPr="004B1B48">
        <w:rPr>
          <w:rFonts w:ascii="Century Schoolbook" w:eastAsia="Times New Roman" w:hAnsi="Century Schoolbook" w:cs="Times New Roman"/>
        </w:rPr>
        <w:t xml:space="preserve"> Although the agreement lacked a forum selection clause, it did have a choice of law provision stating that Delaware law governed.</w:t>
      </w:r>
      <w:r w:rsidRPr="004B1B48">
        <w:rPr>
          <w:rFonts w:ascii="Century Schoolbook" w:eastAsia="Times New Roman" w:hAnsi="Century Schoolbook" w:cs="Times New Roman"/>
          <w:vertAlign w:val="superscript"/>
        </w:rPr>
        <w:endnoteReference w:id="294"/>
      </w:r>
      <w:r w:rsidRPr="004B1B48">
        <w:rPr>
          <w:rFonts w:ascii="Century Schoolbook" w:eastAsia="Times New Roman" w:hAnsi="Century Schoolbook" w:cs="Times New Roman"/>
        </w:rPr>
        <w:t xml:space="preserve"> Boone left his position with Corestaff in April 2011 to work for a competitor.</w:t>
      </w:r>
      <w:r w:rsidRPr="004B1B48">
        <w:rPr>
          <w:rFonts w:ascii="Century Schoolbook" w:eastAsia="Times New Roman" w:hAnsi="Century Schoolbook" w:cs="Times New Roman"/>
          <w:vertAlign w:val="superscript"/>
        </w:rPr>
        <w:endnoteReference w:id="295"/>
      </w:r>
      <w:r w:rsidRPr="004B1B48">
        <w:rPr>
          <w:rFonts w:ascii="Century Schoolbook" w:eastAsia="Times New Roman" w:hAnsi="Century Schoolbook" w:cs="Times New Roman"/>
        </w:rPr>
        <w:t xml:space="preserve"> Later that month, Boone filed suit in Georgia in an effort to prevent Corestaff from enforcing the restrictive covenant not to compete.</w:t>
      </w:r>
      <w:r w:rsidRPr="004B1B48">
        <w:rPr>
          <w:rFonts w:ascii="Century Schoolbook" w:eastAsia="Times New Roman" w:hAnsi="Century Schoolbook" w:cs="Times New Roman"/>
          <w:vertAlign w:val="superscript"/>
        </w:rPr>
        <w:endnoteReference w:id="296"/>
      </w:r>
      <w:r w:rsidRPr="004B1B48">
        <w:rPr>
          <w:rFonts w:ascii="Century Schoolbook" w:eastAsia="Times New Roman" w:hAnsi="Century Schoolbook" w:cs="Times New Roman"/>
        </w:rPr>
        <w:t xml:space="preserve"> Corestaff filed suit in Delaware and sought to have the Georgia action dismissed in accordance with the choice of law provision of the non-compete and employment agreement.</w:t>
      </w:r>
      <w:r w:rsidRPr="004B1B48">
        <w:rPr>
          <w:rFonts w:ascii="Century Schoolbook" w:eastAsia="Times New Roman" w:hAnsi="Century Schoolbook" w:cs="Times New Roman"/>
          <w:vertAlign w:val="superscript"/>
        </w:rPr>
        <w:endnoteReference w:id="297"/>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Delaware law governing restrictive covenants in employment agreements is permissive and does not violate the new Georgia public policy that went into effect in May 2011.</w:t>
      </w:r>
      <w:r w:rsidRPr="004B1B48">
        <w:rPr>
          <w:rFonts w:ascii="Century Schoolbook" w:eastAsia="Times New Roman" w:hAnsi="Century Schoolbook" w:cs="Times New Roman"/>
          <w:vertAlign w:val="superscript"/>
        </w:rPr>
        <w:endnoteReference w:id="298"/>
      </w:r>
      <w:r w:rsidRPr="004B1B48">
        <w:rPr>
          <w:rFonts w:ascii="Century Schoolbook" w:eastAsia="Times New Roman" w:hAnsi="Century Schoolbook" w:cs="Times New Roman"/>
        </w:rPr>
        <w:t xml:space="preserve"> However, because the agreement in question was signed in 2008, the court had to apply the law as it existed prior to the recent amendment.</w:t>
      </w:r>
      <w:r w:rsidRPr="004B1B48">
        <w:rPr>
          <w:rFonts w:ascii="Century Schoolbook" w:eastAsia="Times New Roman" w:hAnsi="Century Schoolbook" w:cs="Times New Roman"/>
          <w:vertAlign w:val="superscript"/>
        </w:rPr>
        <w:endnoteReference w:id="299"/>
      </w:r>
      <w:r w:rsidRPr="004B1B48">
        <w:rPr>
          <w:rFonts w:ascii="Century Schoolbook" w:eastAsia="Times New Roman" w:hAnsi="Century Schoolbook" w:cs="Times New Roman"/>
        </w:rPr>
        <w:t xml:space="preserve"> Because the agreement between Boone and Corestaff allowed for the application of the “blue pencil” rule, and because </w:t>
      </w:r>
      <w:r w:rsidRPr="004B1B48">
        <w:rPr>
          <w:rFonts w:ascii="Century Schoolbook" w:eastAsia="Times New Roman" w:hAnsi="Century Schoolbook" w:cs="Times New Roman"/>
        </w:rPr>
        <w:lastRenderedPageBreak/>
        <w:t>Georgia prohibited such a rule prior to 2011, the agreement violated Georgia public policy.</w:t>
      </w:r>
      <w:r w:rsidRPr="004B1B48">
        <w:rPr>
          <w:rFonts w:ascii="Century Schoolbook" w:eastAsia="Times New Roman" w:hAnsi="Century Schoolbook" w:cs="Times New Roman"/>
          <w:vertAlign w:val="superscript"/>
        </w:rPr>
        <w:endnoteReference w:id="300"/>
      </w:r>
      <w:r w:rsidRPr="004B1B48">
        <w:rPr>
          <w:rFonts w:ascii="Century Schoolbook" w:eastAsia="Times New Roman" w:hAnsi="Century Schoolbook" w:cs="Times New Roman"/>
        </w:rPr>
        <w:t xml:space="preserve"> As such, the “choice of law provision of a foreign jurisdiction may not be applied to enforce the covenant.”</w:t>
      </w:r>
      <w:r w:rsidRPr="004B1B48">
        <w:rPr>
          <w:rFonts w:ascii="Century Schoolbook" w:eastAsia="Times New Roman" w:hAnsi="Century Schoolbook" w:cs="Times New Roman"/>
          <w:vertAlign w:val="superscript"/>
        </w:rPr>
        <w:endnoteReference w:id="301"/>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center"/>
        <w:rPr>
          <w:rFonts w:ascii="Century Schoolbook" w:eastAsia="Times New Roman" w:hAnsi="Century Schoolbook" w:cs="Times New Roman"/>
          <w:b/>
        </w:rPr>
      </w:pPr>
      <w:r w:rsidRPr="004B1B48">
        <w:rPr>
          <w:rFonts w:ascii="Century Schoolbook" w:eastAsia="Times New Roman" w:hAnsi="Century Schoolbook" w:cs="Times New Roman"/>
          <w:b/>
        </w:rPr>
        <w:t>C.  Scope of Prohibited Activities</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During the survey period, the Georgia Court of Appeals applied a three-element test to assess the reasonableness of a restrictive covenant which had been entered into under Georgia law prior to the 2011 amendment.</w:t>
      </w:r>
      <w:r w:rsidRPr="004B1B48">
        <w:rPr>
          <w:rFonts w:ascii="Century Schoolbook" w:eastAsia="Times New Roman" w:hAnsi="Century Schoolbook" w:cs="Times New Roman"/>
          <w:vertAlign w:val="superscript"/>
        </w:rPr>
        <w:endnoteReference w:id="302"/>
      </w:r>
      <w:r w:rsidRPr="004B1B48">
        <w:rPr>
          <w:rFonts w:ascii="Century Schoolbook" w:eastAsia="Times New Roman" w:hAnsi="Century Schoolbook" w:cs="Times New Roman"/>
        </w:rPr>
        <w:t xml:space="preserve"> In </w:t>
      </w:r>
      <w:r w:rsidRPr="004B1B48">
        <w:rPr>
          <w:rFonts w:ascii="Century Schoolbook" w:eastAsia="Times New Roman" w:hAnsi="Century Schoolbook" w:cs="Times New Roman"/>
          <w:i/>
        </w:rPr>
        <w:t>Murphree v. Yancey Bros. Co.</w:t>
      </w:r>
      <w:r w:rsidRPr="004B1B48">
        <w:rPr>
          <w:rFonts w:ascii="Century Schoolbook" w:eastAsia="Times New Roman" w:hAnsi="Century Schoolbook" w:cs="Times New Roman"/>
        </w:rPr>
        <w:t>, Murphree had entered into a restrictive covenant with Yancey that prohibited him from soliciting clients, for the purposes of competing, who had been procured by Murphree on behalf of Yancey and for a term of two years following his termination of employment.</w:t>
      </w:r>
      <w:r w:rsidRPr="004B1B48">
        <w:rPr>
          <w:rFonts w:ascii="Century Schoolbook" w:eastAsia="Times New Roman" w:hAnsi="Century Schoolbook" w:cs="Times New Roman"/>
          <w:vertAlign w:val="superscript"/>
        </w:rPr>
        <w:endnoteReference w:id="303"/>
      </w:r>
      <w:r w:rsidRPr="004B1B48">
        <w:rPr>
          <w:rFonts w:ascii="Century Schoolbook" w:eastAsia="Times New Roman" w:hAnsi="Century Schoolbook" w:cs="Times New Roman"/>
        </w:rPr>
        <w:t xml:space="preserve"> However, prior to leaving his job with Yancey, Murphree copied company files to a thumb-drive, and he later copied them to his work computer at his new job with Flint, a competitor of Yancey.</w:t>
      </w:r>
      <w:r w:rsidRPr="004B1B48">
        <w:rPr>
          <w:rFonts w:ascii="Century Schoolbook" w:eastAsia="Times New Roman" w:hAnsi="Century Schoolbook" w:cs="Times New Roman"/>
          <w:vertAlign w:val="superscript"/>
        </w:rPr>
        <w:endnoteReference w:id="304"/>
      </w:r>
      <w:r w:rsidRPr="004B1B48">
        <w:rPr>
          <w:rFonts w:ascii="Century Schoolbook" w:eastAsia="Times New Roman" w:hAnsi="Century Schoolbook" w:cs="Times New Roman"/>
        </w:rPr>
        <w:t xml:space="preserve"> Murphree then contacted his former clients and submitted bids on behalf of Flint.</w:t>
      </w:r>
      <w:r w:rsidRPr="004B1B48">
        <w:rPr>
          <w:rFonts w:ascii="Century Schoolbook" w:eastAsia="Times New Roman" w:hAnsi="Century Schoolbook" w:cs="Times New Roman"/>
          <w:vertAlign w:val="superscript"/>
        </w:rPr>
        <w:endnoteReference w:id="305"/>
      </w:r>
      <w:r w:rsidRPr="004B1B48">
        <w:rPr>
          <w:rFonts w:ascii="Century Schoolbook" w:eastAsia="Times New Roman" w:hAnsi="Century Schoolbook" w:cs="Times New Roman"/>
        </w:rPr>
        <w:t xml:space="preserve"> Yancey sought, and was granted, an interlocutory injunction by the trial court to prevent further compromise of trade secrets.</w:t>
      </w:r>
      <w:r w:rsidRPr="004B1B48">
        <w:rPr>
          <w:rFonts w:ascii="Century Schoolbook" w:eastAsia="Times New Roman" w:hAnsi="Century Schoolbook" w:cs="Times New Roman"/>
          <w:vertAlign w:val="superscript"/>
        </w:rPr>
        <w:endnoteReference w:id="306"/>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court of appeals assessed the duration, territorial coverage, and scope of prohibited activity to determine reasonableness.</w:t>
      </w:r>
      <w:r w:rsidRPr="004B1B48">
        <w:rPr>
          <w:rFonts w:ascii="Century Schoolbook" w:eastAsia="Times New Roman" w:hAnsi="Century Schoolbook" w:cs="Times New Roman"/>
          <w:vertAlign w:val="superscript"/>
        </w:rPr>
        <w:endnoteReference w:id="307"/>
      </w:r>
      <w:r w:rsidRPr="004B1B48">
        <w:rPr>
          <w:rFonts w:ascii="Century Schoolbook" w:eastAsia="Times New Roman" w:hAnsi="Century Schoolbook" w:cs="Times New Roman"/>
        </w:rPr>
        <w:t xml:space="preserve"> Murphree had challenged the restrictive covenant, claiming it is “invalid and unenforceable because it fails to limit or define the scope of activity prohibited.”</w:t>
      </w:r>
      <w:r w:rsidRPr="004B1B48">
        <w:rPr>
          <w:rFonts w:ascii="Century Schoolbook" w:eastAsia="Times New Roman" w:hAnsi="Century Schoolbook" w:cs="Times New Roman"/>
          <w:vertAlign w:val="superscript"/>
        </w:rPr>
        <w:endnoteReference w:id="308"/>
      </w:r>
      <w:r w:rsidRPr="004B1B48">
        <w:rPr>
          <w:rFonts w:ascii="Century Schoolbook" w:eastAsia="Times New Roman" w:hAnsi="Century Schoolbook" w:cs="Times New Roman"/>
        </w:rPr>
        <w:t xml:space="preserve"> The court held that the scope of the activity was properly defined because the contract </w:t>
      </w:r>
      <w:r w:rsidRPr="004B1B48">
        <w:rPr>
          <w:rFonts w:ascii="Century Schoolbook" w:eastAsia="Times New Roman" w:hAnsi="Century Schoolbook" w:cs="Times New Roman"/>
        </w:rPr>
        <w:lastRenderedPageBreak/>
        <w:t>expressly prohibited soliciting clients procured by a former employee for the purposes of competing.</w:t>
      </w:r>
      <w:r w:rsidRPr="004B1B48">
        <w:rPr>
          <w:rFonts w:ascii="Century Schoolbook" w:eastAsia="Times New Roman" w:hAnsi="Century Schoolbook" w:cs="Times New Roman"/>
          <w:vertAlign w:val="superscript"/>
        </w:rPr>
        <w:endnoteReference w:id="309"/>
      </w:r>
      <w:r w:rsidRPr="004B1B48">
        <w:rPr>
          <w:rFonts w:ascii="Century Schoolbook" w:eastAsia="Times New Roman" w:hAnsi="Century Schoolbook" w:cs="Times New Roman"/>
        </w:rPr>
        <w:t xml:space="preserve"> The covenant was reasonable because it “prohibited Murphree from initiating affirmative action to compete with Yancey by contacting former customers, but the clause would not have precluded him from accepting unsolicited business from the forbidden clients.”</w:t>
      </w:r>
      <w:r w:rsidRPr="004B1B48">
        <w:rPr>
          <w:rFonts w:ascii="Century Schoolbook" w:eastAsia="Times New Roman" w:hAnsi="Century Schoolbook" w:cs="Times New Roman"/>
          <w:vertAlign w:val="superscript"/>
        </w:rPr>
        <w:endnoteReference w:id="310"/>
      </w:r>
      <w:r w:rsidRPr="004B1B48">
        <w:rPr>
          <w:rFonts w:ascii="Century Schoolbook" w:eastAsia="Times New Roman" w:hAnsi="Century Schoolbook" w:cs="Times New Roman"/>
        </w:rPr>
        <w:t xml:space="preserve"> Accordingly, the interlocutory junction was affirmed.</w:t>
      </w:r>
      <w:r w:rsidRPr="004B1B48">
        <w:rPr>
          <w:rFonts w:ascii="Century Schoolbook" w:eastAsia="Times New Roman" w:hAnsi="Century Schoolbook" w:cs="Times New Roman"/>
          <w:vertAlign w:val="superscript"/>
        </w:rPr>
        <w:endnoteReference w:id="311"/>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Conversely, in </w:t>
      </w:r>
      <w:r w:rsidRPr="004B1B48">
        <w:rPr>
          <w:rFonts w:ascii="Century Schoolbook" w:eastAsia="Times New Roman" w:hAnsi="Century Schoolbook" w:cs="Times New Roman"/>
          <w:i/>
        </w:rPr>
        <w:t>Fantastic Sams Salons Corp. v. Maxie Enterprises, Inc</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endnoteReference w:id="312"/>
      </w:r>
      <w:r w:rsidRPr="004B1B48">
        <w:rPr>
          <w:rFonts w:ascii="Century Schoolbook" w:eastAsia="Times New Roman" w:hAnsi="Century Schoolbook" w:cs="Times New Roman"/>
        </w:rPr>
        <w:t xml:space="preserve"> a franchisee had signed a restrictive covenant in 2008 that prohibited competing within five miles of the franchise location for two years and competing within two-and-a-half miles of any Fantastic Sams Salon for ten years.</w:t>
      </w:r>
      <w:r w:rsidRPr="004B1B48">
        <w:rPr>
          <w:rFonts w:ascii="Century Schoolbook" w:eastAsia="Times New Roman" w:hAnsi="Century Schoolbook" w:cs="Times New Roman"/>
          <w:vertAlign w:val="superscript"/>
        </w:rPr>
        <w:endnoteReference w:id="313"/>
      </w:r>
      <w:r w:rsidRPr="004B1B48">
        <w:rPr>
          <w:rFonts w:ascii="Century Schoolbook" w:eastAsia="Times New Roman" w:hAnsi="Century Schoolbook" w:cs="Times New Roman"/>
        </w:rPr>
        <w:t xml:space="preserve"> The court held that, applying pre-ratification law, “restrictive covenants in franchise agreements are subject to strict scrutiny, and they ‘must be reasonable as to time, territory, and scope.’”</w:t>
      </w:r>
      <w:r w:rsidRPr="004B1B48">
        <w:rPr>
          <w:rFonts w:ascii="Century Schoolbook" w:eastAsia="Times New Roman" w:hAnsi="Century Schoolbook" w:cs="Times New Roman"/>
          <w:vertAlign w:val="superscript"/>
        </w:rPr>
        <w:endnoteReference w:id="314"/>
      </w:r>
      <w:r w:rsidRPr="004B1B48">
        <w:rPr>
          <w:rFonts w:ascii="Century Schoolbook" w:eastAsia="Times New Roman" w:hAnsi="Century Schoolbook" w:cs="Times New Roman"/>
        </w:rPr>
        <w:t xml:space="preserve"> Moreover, because the covenant prohibited the franchisee from serving in any capacity in any business that engaged in a similar business to Fantastic Sams, the covenant was overbroad and had an unreasonable scope.</w:t>
      </w:r>
      <w:r w:rsidRPr="004B1B48">
        <w:rPr>
          <w:rFonts w:ascii="Century Schoolbook" w:eastAsia="Times New Roman" w:hAnsi="Century Schoolbook" w:cs="Times New Roman"/>
          <w:vertAlign w:val="superscript"/>
        </w:rPr>
        <w:endnoteReference w:id="315"/>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 xml:space="preserve">Similarly, in </w:t>
      </w:r>
      <w:r w:rsidRPr="004B1B48">
        <w:rPr>
          <w:rFonts w:ascii="Century Schoolbook" w:eastAsia="Times New Roman" w:hAnsi="Century Schoolbook" w:cs="Times New Roman"/>
          <w:i/>
        </w:rPr>
        <w:t>Clark v. Johnson Truck Bodies, LLC</w:t>
      </w:r>
      <w:r w:rsidRPr="004B1B48">
        <w:rPr>
          <w:rFonts w:ascii="Century Schoolbook" w:eastAsia="Times New Roman" w:hAnsi="Century Schoolbook" w:cs="Times New Roman"/>
        </w:rPr>
        <w:t>,</w:t>
      </w:r>
      <w:r w:rsidRPr="004B1B48">
        <w:rPr>
          <w:rFonts w:ascii="Century Schoolbook" w:eastAsia="Times New Roman" w:hAnsi="Century Schoolbook" w:cs="Times New Roman"/>
          <w:vertAlign w:val="superscript"/>
        </w:rPr>
        <w:t xml:space="preserve"> </w:t>
      </w:r>
      <w:r w:rsidRPr="004B1B48">
        <w:rPr>
          <w:rFonts w:ascii="Century Schoolbook" w:eastAsia="Times New Roman" w:hAnsi="Century Schoolbook" w:cs="Times New Roman"/>
          <w:vertAlign w:val="superscript"/>
        </w:rPr>
        <w:endnoteReference w:id="316"/>
      </w:r>
      <w:r w:rsidRPr="004B1B48">
        <w:rPr>
          <w:rFonts w:ascii="Century Schoolbook" w:eastAsia="Times New Roman" w:hAnsi="Century Schoolbook" w:cs="Times New Roman"/>
        </w:rPr>
        <w:t xml:space="preserve"> the United States District Court for the Southern District of Georgia examined the reasonableness of a non-compete clause entered into prior to the amended restrictive covenant law in 2011.</w:t>
      </w:r>
      <w:r w:rsidRPr="004B1B48">
        <w:rPr>
          <w:rFonts w:ascii="Century Schoolbook" w:eastAsia="Times New Roman" w:hAnsi="Century Schoolbook" w:cs="Times New Roman"/>
          <w:vertAlign w:val="superscript"/>
        </w:rPr>
        <w:endnoteReference w:id="317"/>
      </w:r>
      <w:r w:rsidRPr="004B1B48">
        <w:rPr>
          <w:rFonts w:ascii="Century Schoolbook" w:eastAsia="Times New Roman" w:hAnsi="Century Schoolbook" w:cs="Times New Roman"/>
        </w:rPr>
        <w:t xml:space="preserve"> Clark had entered into an employment contract that contained a non-compete provision with Johnson.</w:t>
      </w:r>
      <w:r w:rsidRPr="004B1B48">
        <w:rPr>
          <w:rFonts w:ascii="Century Schoolbook" w:eastAsia="Times New Roman" w:hAnsi="Century Schoolbook" w:cs="Times New Roman"/>
          <w:vertAlign w:val="superscript"/>
        </w:rPr>
        <w:endnoteReference w:id="318"/>
      </w:r>
      <w:r w:rsidRPr="004B1B48">
        <w:rPr>
          <w:rFonts w:ascii="Century Schoolbook" w:eastAsia="Times New Roman" w:hAnsi="Century Schoolbook" w:cs="Times New Roman"/>
        </w:rPr>
        <w:t xml:space="preserve"> The agreement prohibited Clark from engaging in any business </w:t>
      </w:r>
      <w:r w:rsidRPr="004B1B48">
        <w:rPr>
          <w:rFonts w:ascii="Century Schoolbook" w:eastAsia="Times New Roman" w:hAnsi="Century Schoolbook" w:cs="Times New Roman"/>
        </w:rPr>
        <w:lastRenderedPageBreak/>
        <w:t>that competes with Johnson’s products for eighteen months and did not contain any limitations to a specified territory.</w:t>
      </w:r>
      <w:r w:rsidRPr="004B1B48">
        <w:rPr>
          <w:rFonts w:ascii="Century Schoolbook" w:eastAsia="Times New Roman" w:hAnsi="Century Schoolbook" w:cs="Times New Roman"/>
          <w:vertAlign w:val="superscript"/>
        </w:rPr>
        <w:endnoteReference w:id="319"/>
      </w:r>
      <w:r w:rsidRPr="004B1B48">
        <w:rPr>
          <w:rFonts w:ascii="Century Schoolbook" w:eastAsia="Times New Roman" w:hAnsi="Century Schoolbook" w:cs="Times New Roman"/>
        </w:rPr>
        <w:t xml:space="preserve"> </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ind w:firstLine="360"/>
        <w:jc w:val="both"/>
        <w:rPr>
          <w:rFonts w:ascii="Century Schoolbook" w:eastAsia="Times New Roman" w:hAnsi="Century Schoolbook" w:cs="Times New Roman"/>
        </w:rPr>
      </w:pPr>
      <w:r w:rsidRPr="004B1B48">
        <w:rPr>
          <w:rFonts w:ascii="Century Schoolbook" w:eastAsia="Times New Roman" w:hAnsi="Century Schoolbook" w:cs="Times New Roman"/>
        </w:rPr>
        <w:t>The court applied Georgia law of restrictive covenants as it existed in 2008, because that is when the agreement was entered into.</w:t>
      </w:r>
      <w:r w:rsidRPr="004B1B48">
        <w:rPr>
          <w:rFonts w:ascii="Century Schoolbook" w:eastAsia="Times New Roman" w:hAnsi="Century Schoolbook" w:cs="Times New Roman"/>
          <w:vertAlign w:val="superscript"/>
        </w:rPr>
        <w:endnoteReference w:id="320"/>
      </w:r>
      <w:r w:rsidRPr="004B1B48">
        <w:rPr>
          <w:rFonts w:ascii="Century Schoolbook" w:eastAsia="Times New Roman" w:hAnsi="Century Schoolbook" w:cs="Times New Roman"/>
        </w:rPr>
        <w:t xml:space="preserve"> The restriction on Clark from involvement in any business that competes with Johnson for eighteen months in any territory was held to be “overly unreasonable on the effects it has.”</w:t>
      </w:r>
      <w:r w:rsidRPr="004B1B48">
        <w:rPr>
          <w:rFonts w:ascii="Century Schoolbook" w:eastAsia="Times New Roman" w:hAnsi="Century Schoolbook" w:cs="Times New Roman"/>
          <w:vertAlign w:val="superscript"/>
        </w:rPr>
        <w:endnoteReference w:id="321"/>
      </w:r>
      <w:r w:rsidRPr="004B1B48">
        <w:rPr>
          <w:rFonts w:ascii="Century Schoolbook" w:eastAsia="Times New Roman" w:hAnsi="Century Schoolbook" w:cs="Times New Roman"/>
        </w:rPr>
        <w:t xml:space="preserve"> The court held that “[b]ecause these provisions are invalid under Georgia’s pre-ratification law, and is not capable of being ‘blue-penciled’ by the Court, the entire covenant must fail.”</w:t>
      </w:r>
      <w:r w:rsidRPr="004B1B48">
        <w:rPr>
          <w:rFonts w:ascii="Century Schoolbook" w:eastAsia="Times New Roman" w:hAnsi="Century Schoolbook" w:cs="Times New Roman"/>
          <w:vertAlign w:val="superscript"/>
        </w:rPr>
        <w:endnoteReference w:id="322"/>
      </w:r>
    </w:p>
    <w:p w:rsidR="004B1B48" w:rsidRDefault="004B1B48" w:rsidP="001B053B">
      <w:pPr>
        <w:spacing w:after="0" w:line="240" w:lineRule="auto"/>
        <w:jc w:val="both"/>
        <w:rPr>
          <w:rFonts w:ascii="Century Schoolbook" w:eastAsia="Times New Roman" w:hAnsi="Century Schoolbook" w:cs="Times New Roman"/>
        </w:rPr>
      </w:pPr>
    </w:p>
    <w:p w:rsidR="001B053B" w:rsidRPr="004B1B48" w:rsidRDefault="001B053B" w:rsidP="001B053B">
      <w:pPr>
        <w:spacing w:after="0" w:line="240" w:lineRule="auto"/>
        <w:jc w:val="both"/>
        <w:rPr>
          <w:rFonts w:ascii="Century Schoolbook" w:eastAsia="Times New Roman" w:hAnsi="Century Schoolbook" w:cs="Times New Roman"/>
        </w:rPr>
      </w:pPr>
      <w:r w:rsidRPr="004B1B48">
        <w:rPr>
          <w:rFonts w:ascii="Century Schoolbook" w:eastAsia="Times New Roman" w:hAnsi="Century Schoolbook" w:cs="Times New Roman"/>
        </w:rPr>
        <w:tab/>
      </w:r>
    </w:p>
    <w:p w:rsidR="001B053B" w:rsidRPr="004B1B48" w:rsidRDefault="001B053B" w:rsidP="001B053B">
      <w:pPr>
        <w:spacing w:after="0" w:line="240" w:lineRule="auto"/>
        <w:ind w:left="540" w:hanging="540"/>
        <w:rPr>
          <w:rFonts w:ascii="Century Schoolbook" w:eastAsia="Times New Roman" w:hAnsi="Century Schoolbook" w:cs="Times New Roman"/>
          <w:b/>
        </w:rPr>
      </w:pPr>
      <w:r w:rsidRPr="004B1B48">
        <w:rPr>
          <w:rFonts w:ascii="Century Schoolbook" w:eastAsia="Times New Roman" w:hAnsi="Century Schoolbook" w:cs="Times New Roman"/>
          <w:b/>
        </w:rPr>
        <w:t xml:space="preserve">VIII. </w:t>
      </w:r>
      <w:r w:rsidRPr="004B1B48">
        <w:rPr>
          <w:rFonts w:ascii="Century Schoolbook" w:eastAsia="Times New Roman" w:hAnsi="Century Schoolbook" w:cs="Times New Roman"/>
          <w:b/>
        </w:rPr>
        <w:tab/>
        <w:t>Conclusion</w:t>
      </w:r>
    </w:p>
    <w:p w:rsidR="001B053B" w:rsidRPr="004B1B48" w:rsidRDefault="001B053B" w:rsidP="001B053B">
      <w:pPr>
        <w:spacing w:after="0" w:line="240" w:lineRule="auto"/>
        <w:jc w:val="both"/>
        <w:rPr>
          <w:rFonts w:ascii="Century Schoolbook" w:eastAsia="Times New Roman" w:hAnsi="Century Schoolbook" w:cs="Times New Roman"/>
        </w:rPr>
      </w:pPr>
    </w:p>
    <w:p w:rsidR="001B053B" w:rsidRPr="001B053B" w:rsidRDefault="001B053B" w:rsidP="001B053B">
      <w:pPr>
        <w:spacing w:after="0" w:line="240" w:lineRule="auto"/>
        <w:ind w:firstLine="360"/>
        <w:jc w:val="both"/>
        <w:rPr>
          <w:rFonts w:ascii="Century Schoolbook" w:eastAsia="Times New Roman" w:hAnsi="Century Schoolbook" w:cs="Times New Roman"/>
          <w:sz w:val="19"/>
          <w:szCs w:val="19"/>
        </w:rPr>
      </w:pPr>
      <w:r w:rsidRPr="004B1B48">
        <w:rPr>
          <w:rFonts w:ascii="Century Schoolbook" w:eastAsia="Times New Roman" w:hAnsi="Century Schoolbook" w:cs="Times New Roman"/>
        </w:rPr>
        <w:t>Although labor and employment issues in Georgia law often are not as complex as their federal counterparts, the issues arising under state law are becoming more challenging with each passing year. Adding to this challenge is growing overlap between state and federal issues. Regardless of whether a practitioner professes to specialize in state, federal, administrative or trial law, it is important to recognize that any one law or legal proceeding can and does impact other relations between employer and employee.</w:t>
      </w:r>
      <w:r w:rsidRPr="001B053B">
        <w:rPr>
          <w:rFonts w:ascii="Century Schoolbook" w:eastAsia="Times New Roman" w:hAnsi="Century Schoolbook" w:cs="Times New Roman"/>
          <w:sz w:val="19"/>
          <w:szCs w:val="19"/>
        </w:rPr>
        <w:t xml:space="preserve"> </w:t>
      </w:r>
    </w:p>
    <w:p w:rsidR="00F376F5" w:rsidRDefault="00F376F5" w:rsidP="00C815FF">
      <w:pPr>
        <w:spacing w:after="0" w:line="240" w:lineRule="auto"/>
        <w:rPr>
          <w:rFonts w:ascii="Times New Roman" w:eastAsia="Times New Roman" w:hAnsi="Times New Roman" w:cs="Times New Roman"/>
          <w:iCs/>
          <w:sz w:val="24"/>
          <w:szCs w:val="26"/>
        </w:rPr>
      </w:pPr>
    </w:p>
    <w:p w:rsidR="00F376F5" w:rsidRDefault="00F376F5" w:rsidP="00F376F5">
      <w:pPr>
        <w:spacing w:after="0" w:line="240" w:lineRule="auto"/>
        <w:jc w:val="center"/>
        <w:rPr>
          <w:rFonts w:ascii="Times New Roman" w:eastAsia="Times New Roman" w:hAnsi="Times New Roman" w:cs="Times New Roman"/>
          <w:b/>
          <w:iCs/>
          <w:sz w:val="24"/>
          <w:szCs w:val="26"/>
          <w:u w:val="single"/>
        </w:rPr>
      </w:pPr>
      <w:r w:rsidRPr="00F376F5">
        <w:rPr>
          <w:rFonts w:ascii="Times New Roman" w:eastAsia="Times New Roman" w:hAnsi="Times New Roman" w:cs="Times New Roman"/>
          <w:b/>
          <w:iCs/>
          <w:sz w:val="24"/>
          <w:szCs w:val="26"/>
          <w:u w:val="single"/>
        </w:rPr>
        <w:t>End Notes</w:t>
      </w:r>
    </w:p>
    <w:p w:rsidR="00F376F5" w:rsidRDefault="00F376F5" w:rsidP="00C815FF">
      <w:pPr>
        <w:spacing w:after="0" w:line="240" w:lineRule="auto"/>
        <w:rPr>
          <w:rFonts w:ascii="Times New Roman" w:eastAsia="Times New Roman" w:hAnsi="Times New Roman" w:cs="Times New Roman"/>
          <w:b/>
          <w:iCs/>
          <w:sz w:val="24"/>
          <w:szCs w:val="26"/>
          <w:u w:val="single"/>
        </w:rPr>
      </w:pPr>
    </w:p>
    <w:p w:rsidR="00F376F5" w:rsidRPr="00F376F5" w:rsidRDefault="00F376F5" w:rsidP="00C815FF">
      <w:pPr>
        <w:spacing w:after="0" w:line="240" w:lineRule="auto"/>
        <w:rPr>
          <w:rFonts w:ascii="Times New Roman" w:eastAsia="Times New Roman" w:hAnsi="Times New Roman" w:cs="Times New Roman"/>
          <w:b/>
          <w:iCs/>
          <w:sz w:val="24"/>
          <w:szCs w:val="26"/>
          <w:u w:val="single"/>
        </w:rPr>
        <w:sectPr w:rsidR="00F376F5" w:rsidRPr="00F376F5" w:rsidSect="001B053B">
          <w:endnotePr>
            <w:numFmt w:val="decimal"/>
            <w:numRestart w:val="eachSect"/>
          </w:endnotePr>
          <w:type w:val="continuous"/>
          <w:pgSz w:w="12240" w:h="15840" w:code="1"/>
          <w:pgMar w:top="1440" w:right="1800" w:bottom="1440" w:left="1800" w:header="720" w:footer="720" w:gutter="0"/>
          <w:cols w:num="2" w:space="720"/>
          <w:docGrid w:linePitch="360"/>
        </w:sectPr>
      </w:pPr>
    </w:p>
    <w:p w:rsidR="00E579FE" w:rsidRPr="00FE60BD" w:rsidRDefault="00E579FE" w:rsidP="0053169E">
      <w:pPr>
        <w:pStyle w:val="GDLA"/>
        <w:outlineLvl w:val="0"/>
        <w:rPr>
          <w:lang w:val="en"/>
        </w:rPr>
      </w:pPr>
      <w:bookmarkStart w:id="19" w:name="_Toc356227236"/>
      <w:r w:rsidRPr="00FE60BD">
        <w:rPr>
          <w:lang w:val="en"/>
        </w:rPr>
        <w:lastRenderedPageBreak/>
        <w:t>The Impact of a Defendant’s V</w:t>
      </w:r>
      <w:r>
        <w:rPr>
          <w:lang w:val="en"/>
        </w:rPr>
        <w:t xml:space="preserve">iolation of a Private </w:t>
      </w:r>
      <w:r w:rsidRPr="00FE60BD">
        <w:rPr>
          <w:lang w:val="en"/>
        </w:rPr>
        <w:t>Guideline</w:t>
      </w:r>
      <w:r>
        <w:rPr>
          <w:lang w:val="en"/>
        </w:rPr>
        <w:t xml:space="preserve"> </w:t>
      </w:r>
      <w:r w:rsidRPr="00FE60BD">
        <w:rPr>
          <w:lang w:val="en"/>
        </w:rPr>
        <w:t xml:space="preserve">on a Motion for Summary Judgment in </w:t>
      </w:r>
      <w:r>
        <w:rPr>
          <w:lang w:val="en"/>
        </w:rPr>
        <w:t xml:space="preserve">a Premises Liability Case: </w:t>
      </w:r>
      <w:r w:rsidRPr="00FE60BD">
        <w:rPr>
          <w:lang w:val="en"/>
        </w:rPr>
        <w:t>Is Change Imminent?</w:t>
      </w:r>
      <w:bookmarkEnd w:id="19"/>
    </w:p>
    <w:p w:rsidR="00E579FE" w:rsidRPr="00E579FE" w:rsidRDefault="00E579FE" w:rsidP="00E579FE">
      <w:pPr>
        <w:spacing w:after="0" w:line="240" w:lineRule="auto"/>
        <w:jc w:val="center"/>
        <w:rPr>
          <w:rFonts w:ascii="Century Schoolbook" w:eastAsia="Times New Roman" w:hAnsi="Century Schoolbook" w:cs="Times New Roman"/>
          <w:b/>
          <w:iCs/>
          <w:sz w:val="24"/>
          <w:szCs w:val="24"/>
          <w:lang w:val="en"/>
        </w:rPr>
      </w:pPr>
    </w:p>
    <w:p w:rsidR="00E579FE" w:rsidRDefault="00E579FE" w:rsidP="0053169E">
      <w:pPr>
        <w:pStyle w:val="Author"/>
        <w:outlineLvl w:val="1"/>
        <w:rPr>
          <w:lang w:val="en"/>
        </w:rPr>
      </w:pPr>
      <w:bookmarkStart w:id="20" w:name="_Toc356227237"/>
      <w:r>
        <w:rPr>
          <w:lang w:val="en"/>
        </w:rPr>
        <w:t>By</w:t>
      </w:r>
      <w:r w:rsidRPr="00FE60BD">
        <w:rPr>
          <w:lang w:val="en"/>
        </w:rPr>
        <w:t xml:space="preserve"> Adam Masarek</w:t>
      </w:r>
      <w:bookmarkEnd w:id="20"/>
    </w:p>
    <w:p w:rsidR="00E579FE" w:rsidRDefault="00E579FE" w:rsidP="00E579FE">
      <w:pPr>
        <w:pStyle w:val="Author"/>
        <w:rPr>
          <w:lang w:val="en"/>
        </w:rPr>
      </w:pPr>
    </w:p>
    <w:p w:rsidR="00E579FE" w:rsidRPr="00FE60BD" w:rsidRDefault="00E579FE" w:rsidP="00E579FE">
      <w:pPr>
        <w:pStyle w:val="Author"/>
        <w:rPr>
          <w:lang w:val="en"/>
        </w:rPr>
      </w:pPr>
    </w:p>
    <w:p w:rsidR="00E579FE" w:rsidRDefault="00E579FE" w:rsidP="00FE60BD">
      <w:pPr>
        <w:spacing w:after="0" w:line="240" w:lineRule="auto"/>
        <w:jc w:val="both"/>
        <w:rPr>
          <w:rFonts w:ascii="Century Schoolbook" w:eastAsia="Times New Roman" w:hAnsi="Century Schoolbook" w:cs="Times New Roman"/>
          <w:iCs/>
        </w:rPr>
        <w:sectPr w:rsidR="00E579FE" w:rsidSect="009F3013">
          <w:footerReference w:type="default" r:id="rId44"/>
          <w:endnotePr>
            <w:numFmt w:val="decimal"/>
            <w:numRestart w:val="eachSect"/>
          </w:endnotePr>
          <w:pgSz w:w="12240" w:h="15840"/>
          <w:pgMar w:top="2520" w:right="1800" w:bottom="1440" w:left="1800" w:header="720" w:footer="720" w:gutter="0"/>
          <w:cols w:space="720"/>
          <w:titlePg/>
          <w:docGrid w:linePitch="360"/>
        </w:sectPr>
      </w:pPr>
    </w:p>
    <w:p w:rsidR="00FE60BD" w:rsidRPr="00FE60BD" w:rsidRDefault="00601B5C" w:rsidP="00E579FE">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iCs/>
          <w:lang w:val="en"/>
        </w:rPr>
      </w:pPr>
      <w:r>
        <w:rPr>
          <w:noProof/>
        </w:rPr>
        <w:drawing>
          <wp:anchor distT="0" distB="0" distL="114300" distR="114300" simplePos="0" relativeHeight="251674624" behindDoc="0" locked="0" layoutInCell="1" allowOverlap="1" wp14:anchorId="6B114570" wp14:editId="10A1BB79">
            <wp:simplePos x="0" y="0"/>
            <wp:positionH relativeFrom="margin">
              <wp:posOffset>-7620</wp:posOffset>
            </wp:positionH>
            <wp:positionV relativeFrom="margin">
              <wp:posOffset>2233930</wp:posOffset>
            </wp:positionV>
            <wp:extent cx="1012190" cy="1327150"/>
            <wp:effectExtent l="76200" t="76200" r="130810" b="139700"/>
            <wp:wrapSquare wrapText="bothSides"/>
            <wp:docPr id="448" name="Picture 448" descr="C:\Users\AR\AppData\Local\Microsoft\Windows\Temporary Internet Files\Content.Word\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ppData\Local\Microsoft\Windows\Temporary Internet Files\Content.Word\thumbnai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2190" cy="132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E60BD" w:rsidRPr="00F376F5">
        <w:rPr>
          <w:rFonts w:ascii="Century Schoolbook" w:eastAsia="Times New Roman" w:hAnsi="Century Schoolbook" w:cs="Times New Roman"/>
          <w:b/>
          <w:iCs/>
        </w:rPr>
        <w:t>Adam Masarek</w:t>
      </w:r>
      <w:r w:rsidR="00FE60BD" w:rsidRPr="00FE60BD">
        <w:rPr>
          <w:rFonts w:ascii="Century Schoolbook" w:eastAsia="Times New Roman" w:hAnsi="Century Schoolbook" w:cs="Times New Roman"/>
          <w:iCs/>
        </w:rPr>
        <w:t xml:space="preserve"> is an associate at Drew, Eckl &amp; Farnham, LLP in Atlanta. He graduated with honors from the Emory University School of Law in 2010, where he served as a managing editor for the Emory International Law Review. His practice is focused primarily on civil defense litigation, and he is a member of the State Bar of Georgia.</w:t>
      </w:r>
    </w:p>
    <w:p w:rsidR="00FE60BD" w:rsidRPr="00FE60BD" w:rsidRDefault="00FE60BD" w:rsidP="00FE60BD">
      <w:pPr>
        <w:spacing w:after="0" w:line="240" w:lineRule="auto"/>
        <w:jc w:val="both"/>
        <w:rPr>
          <w:rFonts w:ascii="Century Schoolbook" w:eastAsia="Times New Roman" w:hAnsi="Century Schoolbook" w:cs="Times New Roman"/>
          <w:iCs/>
          <w:lang w:val="en"/>
        </w:rPr>
      </w:pPr>
    </w:p>
    <w:p w:rsidR="009F3013" w:rsidRDefault="009F3013" w:rsidP="00FE60BD">
      <w:pPr>
        <w:spacing w:after="0" w:line="240" w:lineRule="auto"/>
        <w:ind w:left="540" w:hanging="540"/>
        <w:jc w:val="both"/>
        <w:rPr>
          <w:rFonts w:ascii="Century Schoolbook" w:eastAsia="Times New Roman" w:hAnsi="Century Schoolbook" w:cs="Times New Roman"/>
          <w:b/>
          <w:iCs/>
          <w:lang w:val="en"/>
        </w:rPr>
      </w:pPr>
    </w:p>
    <w:p w:rsidR="00FE60BD" w:rsidRPr="00FE60BD" w:rsidRDefault="00FE60BD" w:rsidP="00FE60BD">
      <w:pPr>
        <w:spacing w:after="0" w:line="240" w:lineRule="auto"/>
        <w:ind w:left="540" w:hanging="540"/>
        <w:jc w:val="both"/>
        <w:rPr>
          <w:rFonts w:ascii="Century Schoolbook" w:eastAsia="Times New Roman" w:hAnsi="Century Schoolbook" w:cs="Times New Roman"/>
          <w:b/>
          <w:iCs/>
          <w:lang w:val="en"/>
        </w:rPr>
      </w:pPr>
      <w:r w:rsidRPr="00FE60BD">
        <w:rPr>
          <w:rFonts w:ascii="Century Schoolbook" w:eastAsia="Times New Roman" w:hAnsi="Century Schoolbook" w:cs="Times New Roman"/>
          <w:b/>
          <w:iCs/>
          <w:lang w:val="en"/>
        </w:rPr>
        <w:t>I.</w:t>
      </w:r>
      <w:r w:rsidRPr="00FE60BD">
        <w:rPr>
          <w:rFonts w:ascii="Century Schoolbook" w:eastAsia="Times New Roman" w:hAnsi="Century Schoolbook" w:cs="Times New Roman"/>
          <w:b/>
          <w:iCs/>
          <w:lang w:val="en"/>
        </w:rPr>
        <w:tab/>
        <w:t>Introduction</w:t>
      </w:r>
    </w:p>
    <w:p w:rsidR="00FE60BD" w:rsidRPr="00FE60BD" w:rsidRDefault="00FE60BD" w:rsidP="00FE60BD">
      <w:pPr>
        <w:spacing w:after="0" w:line="240" w:lineRule="auto"/>
        <w:jc w:val="both"/>
        <w:rPr>
          <w:rFonts w:ascii="Century Schoolbook" w:eastAsia="Times New Roman" w:hAnsi="Century Schoolbook" w:cs="Times New Roman"/>
          <w:iCs/>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 xml:space="preserve">A recent Georgia Court of Appeals decision suggests that a significant change could be coming regarding the impact of evidence that a defendant premises owner has violated its privately established safety, cleaning, or inspection rules.  Traditionally, Georgia law has held that the violation of a private rule does not establish negligence per se.  That is, such evidence does not automatically establish that the defendant breached a duty of care owed to the plaintiff.  Defendants could count on having viable summary judgment motions </w:t>
      </w:r>
      <w:r w:rsidRPr="00FE60BD">
        <w:rPr>
          <w:rFonts w:ascii="Century Schoolbook" w:eastAsia="Times New Roman" w:hAnsi="Century Schoolbook" w:cs="Times New Roman"/>
          <w:iCs/>
          <w:lang w:val="en"/>
        </w:rPr>
        <w:lastRenderedPageBreak/>
        <w:t>despite evidence showing that their representatives violated internal rules or an accreditation body’s standards.  However, a new appellate decision suggests that at least one panel has reinterpreted its understanding of this doctrine in relation to its impact on a defendant’s motion for summary judgment.</w:t>
      </w:r>
    </w:p>
    <w:p w:rsidR="00FE60BD" w:rsidRPr="00FE60BD" w:rsidRDefault="00FE60BD" w:rsidP="00FE60BD">
      <w:pPr>
        <w:spacing w:after="0" w:line="240" w:lineRule="auto"/>
        <w:jc w:val="both"/>
        <w:rPr>
          <w:rFonts w:ascii="Century Schoolbook" w:eastAsia="Times New Roman" w:hAnsi="Century Schoolbook" w:cs="Times New Roman"/>
          <w:iCs/>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The</w:t>
      </w:r>
      <w:r w:rsidRPr="00FE60BD">
        <w:rPr>
          <w:rFonts w:ascii="Century Schoolbook" w:eastAsia="Times New Roman" w:hAnsi="Century Schoolbook" w:cs="Times New Roman"/>
          <w:i/>
          <w:iCs/>
          <w:lang w:val="en"/>
        </w:rPr>
        <w:t xml:space="preserve"> </w:t>
      </w:r>
      <w:r w:rsidRPr="00FE60BD">
        <w:rPr>
          <w:rFonts w:ascii="Century Schoolbook" w:eastAsia="Times New Roman" w:hAnsi="Century Schoolbook" w:cs="Times New Roman"/>
          <w:iCs/>
          <w:lang w:val="en"/>
        </w:rPr>
        <w:t xml:space="preserve">Georgia Court of Appeals in </w:t>
      </w:r>
      <w:r w:rsidRPr="00FE60BD">
        <w:rPr>
          <w:rFonts w:ascii="Century Schoolbook" w:eastAsia="Times New Roman" w:hAnsi="Century Schoolbook" w:cs="Times New Roman"/>
          <w:i/>
          <w:iCs/>
          <w:lang w:val="en"/>
        </w:rPr>
        <w:t>Samuels v. CBOCS Inc.</w:t>
      </w:r>
      <w:r w:rsidRPr="00FE60BD">
        <w:rPr>
          <w:rFonts w:ascii="Century Schoolbook" w:eastAsia="Times New Roman" w:hAnsi="Century Schoolbook" w:cs="Times New Roman"/>
          <w:iCs/>
          <w:vertAlign w:val="superscript"/>
          <w:lang w:val="en"/>
        </w:rPr>
        <w:endnoteReference w:id="323"/>
      </w:r>
      <w:r w:rsidRPr="00FE60BD">
        <w:rPr>
          <w:rFonts w:ascii="Century Schoolbook" w:eastAsia="Times New Roman" w:hAnsi="Century Schoolbook" w:cs="Times New Roman"/>
          <w:iCs/>
          <w:lang w:val="en"/>
        </w:rPr>
        <w:t xml:space="preserve"> suggests that evidence of a violation of a private guideline, by itself, can foreclose a defendant from obtaining summary judgment in premises liability cases.  Such a rule could discourage premises owners from establishing rigid private safety, inspection, and cleaning rules.  In turn, lax safety guidelines could result in an increased frequency of accidents.  The Georgia General Assembly could not have intended such a result for O.C.G.A. § 51-3-2.</w:t>
      </w:r>
    </w:p>
    <w:p w:rsidR="00FE60BD" w:rsidRPr="00FE60BD" w:rsidRDefault="00FE60BD" w:rsidP="00FE60BD">
      <w:pPr>
        <w:spacing w:after="0" w:line="240" w:lineRule="auto"/>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 xml:space="preserve">  </w:t>
      </w: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 xml:space="preserve">This article explains the history of case law in this area, the </w:t>
      </w:r>
      <w:r w:rsidRPr="00FE60BD">
        <w:rPr>
          <w:rFonts w:ascii="Century Schoolbook" w:eastAsia="Times New Roman" w:hAnsi="Century Schoolbook" w:cs="Times New Roman"/>
          <w:i/>
          <w:iCs/>
          <w:lang w:val="en"/>
        </w:rPr>
        <w:t>Samuels</w:t>
      </w:r>
      <w:r w:rsidRPr="00FE60BD">
        <w:rPr>
          <w:rFonts w:ascii="Century Schoolbook" w:eastAsia="Times New Roman" w:hAnsi="Century Schoolbook" w:cs="Times New Roman"/>
          <w:iCs/>
          <w:lang w:val="en"/>
        </w:rPr>
        <w:t xml:space="preserve"> holding, </w:t>
      </w:r>
      <w:r w:rsidRPr="00FE60BD">
        <w:rPr>
          <w:rFonts w:ascii="Century Schoolbook" w:eastAsia="Times New Roman" w:hAnsi="Century Schoolbook" w:cs="Times New Roman"/>
          <w:i/>
          <w:iCs/>
          <w:lang w:val="en"/>
        </w:rPr>
        <w:t>Samuels</w:t>
      </w:r>
      <w:r w:rsidRPr="00FE60BD">
        <w:rPr>
          <w:rFonts w:ascii="Century Schoolbook" w:eastAsia="Times New Roman" w:hAnsi="Century Schoolbook" w:cs="Times New Roman"/>
          <w:iCs/>
          <w:lang w:val="en"/>
        </w:rPr>
        <w:t xml:space="preserve">’ potential effect on the previously established jurisprudence, and suggestions for how defense counsel can compose a motion for summary judgment that will overcome a plaintiff’s reliance on the </w:t>
      </w:r>
      <w:r w:rsidRPr="00FE60BD">
        <w:rPr>
          <w:rFonts w:ascii="Century Schoolbook" w:eastAsia="Times New Roman" w:hAnsi="Century Schoolbook" w:cs="Times New Roman"/>
          <w:i/>
          <w:iCs/>
          <w:lang w:val="en"/>
        </w:rPr>
        <w:t>Samuels</w:t>
      </w:r>
      <w:r w:rsidRPr="00FE60BD">
        <w:rPr>
          <w:rFonts w:ascii="Century Schoolbook" w:eastAsia="Times New Roman" w:hAnsi="Century Schoolbook" w:cs="Times New Roman"/>
          <w:iCs/>
          <w:lang w:val="en"/>
        </w:rPr>
        <w:t xml:space="preserve"> decision.</w:t>
      </w:r>
    </w:p>
    <w:p w:rsidR="00FE60BD" w:rsidRDefault="00FE60BD" w:rsidP="00FE60BD">
      <w:pPr>
        <w:spacing w:after="0" w:line="240" w:lineRule="auto"/>
        <w:jc w:val="both"/>
        <w:rPr>
          <w:rFonts w:ascii="Century Schoolbook" w:eastAsia="Times New Roman" w:hAnsi="Century Schoolbook" w:cs="Times New Roman"/>
          <w:lang w:val="en"/>
        </w:rPr>
      </w:pPr>
    </w:p>
    <w:p w:rsidR="009F3013" w:rsidRPr="00FE60BD" w:rsidRDefault="009F3013" w:rsidP="00FE60BD">
      <w:pPr>
        <w:spacing w:after="0" w:line="240" w:lineRule="auto"/>
        <w:jc w:val="both"/>
        <w:rPr>
          <w:rFonts w:ascii="Century Schoolbook" w:eastAsia="Times New Roman" w:hAnsi="Century Schoolbook" w:cs="Times New Roman"/>
          <w:lang w:val="en"/>
        </w:rPr>
      </w:pPr>
    </w:p>
    <w:p w:rsidR="00FE60BD" w:rsidRPr="00FE60BD" w:rsidRDefault="00FE60BD" w:rsidP="00FE60BD">
      <w:pPr>
        <w:keepNext/>
        <w:spacing w:after="0" w:line="240" w:lineRule="auto"/>
        <w:ind w:left="540" w:hanging="540"/>
        <w:jc w:val="both"/>
        <w:rPr>
          <w:rFonts w:ascii="Century Schoolbook" w:eastAsia="Times New Roman" w:hAnsi="Century Schoolbook" w:cs="Times New Roman"/>
          <w:b/>
          <w:iCs/>
          <w:lang w:val="en"/>
        </w:rPr>
      </w:pPr>
      <w:r w:rsidRPr="00FE60BD">
        <w:rPr>
          <w:rFonts w:ascii="Century Schoolbook" w:eastAsia="Times New Roman" w:hAnsi="Century Schoolbook" w:cs="Times New Roman"/>
          <w:b/>
          <w:iCs/>
          <w:lang w:val="en"/>
        </w:rPr>
        <w:t>II.</w:t>
      </w:r>
      <w:r w:rsidRPr="00FE60BD">
        <w:rPr>
          <w:rFonts w:ascii="Century Schoolbook" w:eastAsia="Times New Roman" w:hAnsi="Century Schoolbook" w:cs="Times New Roman"/>
          <w:b/>
          <w:iCs/>
          <w:lang w:val="en"/>
        </w:rPr>
        <w:tab/>
        <w:t>History</w:t>
      </w:r>
    </w:p>
    <w:p w:rsidR="00FE60BD" w:rsidRPr="00FE60BD" w:rsidRDefault="00FE60BD" w:rsidP="00FE60BD">
      <w:pPr>
        <w:keepNext/>
        <w:spacing w:after="0" w:line="240" w:lineRule="auto"/>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iCs/>
          <w:lang w:val="en"/>
        </w:rPr>
        <w:t xml:space="preserve">A defendant’s violation of privately established rules, standards, or guidelines does not establish negligence per se.  Even if a defendant violates an accreditation body’s standards or an internal store policy, a court will not automatically hold the defendant as having breached a duty of care owed to a plaintiff.  This rule has firmly stood in Georgia law for decades, and Georgia’s appellate courts have repeated the principle often.  For example, in </w:t>
      </w:r>
      <w:r w:rsidRPr="00FE60BD">
        <w:rPr>
          <w:rFonts w:ascii="Century Schoolbook" w:eastAsia="Times New Roman" w:hAnsi="Century Schoolbook" w:cs="Times New Roman"/>
          <w:i/>
          <w:iCs/>
          <w:lang w:val="en"/>
        </w:rPr>
        <w:t>Luckie v. Piggly-Wiggly Southern, Inc.</w:t>
      </w:r>
      <w:r w:rsidRPr="00FE60BD">
        <w:rPr>
          <w:rFonts w:ascii="Century Schoolbook" w:eastAsia="Times New Roman" w:hAnsi="Century Schoolbook" w:cs="Times New Roman"/>
          <w:iCs/>
          <w:lang w:val="en"/>
        </w:rPr>
        <w:t xml:space="preserve">, the court of appeals proclaimed, </w:t>
      </w:r>
      <w:r w:rsidRPr="00FE60BD">
        <w:rPr>
          <w:rFonts w:ascii="Century Schoolbook" w:eastAsia="Times New Roman" w:hAnsi="Century Schoolbook" w:cs="Times New Roman"/>
          <w:lang w:val="en"/>
        </w:rPr>
        <w:t>"Privately established rules are admissible as illustrative of negligence, but the violation of such a rule is not negligence in and of itself."</w:t>
      </w:r>
      <w:r w:rsidRPr="00FE60BD">
        <w:rPr>
          <w:rFonts w:ascii="Century Schoolbook" w:eastAsia="Times New Roman" w:hAnsi="Century Schoolbook" w:cs="Times New Roman"/>
          <w:vertAlign w:val="superscript"/>
          <w:lang w:val="en"/>
        </w:rPr>
        <w:endnoteReference w:id="324"/>
      </w:r>
      <w:r w:rsidRPr="00FE60BD">
        <w:rPr>
          <w:rFonts w:ascii="Century Schoolbook" w:eastAsia="Times New Roman" w:hAnsi="Century Schoolbook" w:cs="Times New Roman"/>
          <w:lang w:val="en"/>
        </w:rPr>
        <w:t xml:space="preserve">  Similarly, the court of appeals in </w:t>
      </w:r>
      <w:r w:rsidRPr="00FE60BD">
        <w:rPr>
          <w:rFonts w:ascii="Century Schoolbook" w:eastAsia="Times New Roman" w:hAnsi="Century Schoolbook" w:cs="Times New Roman"/>
          <w:i/>
          <w:lang w:val="en"/>
        </w:rPr>
        <w:t>Spearman v. Georgia Binding Authority</w:t>
      </w:r>
      <w:r w:rsidRPr="00FE60BD">
        <w:rPr>
          <w:rFonts w:ascii="Century Schoolbook" w:eastAsia="Times New Roman" w:hAnsi="Century Schoolbook" w:cs="Times New Roman"/>
          <w:lang w:val="en"/>
        </w:rPr>
        <w:t xml:space="preserve"> held, "The law in Georgia is that violation of privately set guidelines, although admissible as illustrative of negligence, does not establish negligence."</w:t>
      </w:r>
      <w:r w:rsidRPr="00FE60BD">
        <w:rPr>
          <w:rFonts w:ascii="Century Schoolbook" w:eastAsia="Times New Roman" w:hAnsi="Century Schoolbook" w:cs="Times New Roman"/>
          <w:vertAlign w:val="superscript"/>
          <w:lang w:val="en"/>
        </w:rPr>
        <w:endnoteReference w:id="325"/>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The public policy rationale for the traditional rule is clear.  The courts do not want to penalize premises owners for having crafting internal rules and guidelines that deter accidents.  If the law instead punished premises owners for violating private safety guidelines, then owners would have a diminished incentive to create those private safety guidelines.  Without such private guidelines, customer and employee </w:t>
      </w:r>
      <w:r w:rsidRPr="00FE60BD">
        <w:rPr>
          <w:rFonts w:ascii="Century Schoolbook" w:eastAsia="Times New Roman" w:hAnsi="Century Schoolbook" w:cs="Times New Roman"/>
          <w:lang w:val="en"/>
        </w:rPr>
        <w:lastRenderedPageBreak/>
        <w:t>accidents and injuries presumably would increase.</w:t>
      </w:r>
    </w:p>
    <w:p w:rsidR="00FE60BD" w:rsidRPr="00FE60BD" w:rsidRDefault="00FE60BD" w:rsidP="00FE60BD">
      <w:pPr>
        <w:spacing w:after="0" w:line="240" w:lineRule="auto"/>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ab/>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Georgia’s appellate courts have issued decisions denying summary judgment when, </w:t>
      </w:r>
      <w:r w:rsidRPr="00FE60BD">
        <w:rPr>
          <w:rFonts w:ascii="Century Schoolbook" w:eastAsia="Times New Roman" w:hAnsi="Century Schoolbook" w:cs="Times New Roman"/>
          <w:i/>
          <w:lang w:val="en"/>
        </w:rPr>
        <w:t>among other things</w:t>
      </w:r>
      <w:r w:rsidRPr="00FE60BD">
        <w:rPr>
          <w:rFonts w:ascii="Century Schoolbook" w:eastAsia="Times New Roman" w:hAnsi="Century Schoolbook" w:cs="Times New Roman"/>
          <w:lang w:val="en"/>
        </w:rPr>
        <w:t xml:space="preserve">, the defendant violated a private guideline.  For example, in </w:t>
      </w:r>
      <w:r w:rsidRPr="00FE60BD">
        <w:rPr>
          <w:rFonts w:ascii="Century Schoolbook" w:eastAsia="Times New Roman" w:hAnsi="Century Schoolbook" w:cs="Times New Roman"/>
          <w:i/>
          <w:iCs/>
          <w:lang w:val="en"/>
        </w:rPr>
        <w:t>McGarity v. Hart Electric Membership Corp.</w:t>
      </w:r>
      <w:r w:rsidRPr="00FE60BD">
        <w:rPr>
          <w:rFonts w:ascii="Century Schoolbook" w:eastAsia="Times New Roman" w:hAnsi="Century Schoolbook" w:cs="Times New Roman"/>
          <w:iCs/>
          <w:lang w:val="en"/>
        </w:rPr>
        <w:t>,</w:t>
      </w:r>
      <w:r w:rsidRPr="00FE60BD">
        <w:rPr>
          <w:rFonts w:ascii="Century Schoolbook" w:eastAsia="Times New Roman" w:hAnsi="Century Schoolbook" w:cs="Times New Roman"/>
          <w:iCs/>
          <w:vertAlign w:val="superscript"/>
          <w:lang w:val="en"/>
        </w:rPr>
        <w:endnoteReference w:id="326"/>
      </w:r>
      <w:r w:rsidRPr="00FE60BD">
        <w:rPr>
          <w:rFonts w:ascii="Century Schoolbook" w:eastAsia="Times New Roman" w:hAnsi="Century Schoolbook" w:cs="Times New Roman"/>
          <w:iCs/>
          <w:lang w:val="en"/>
        </w:rPr>
        <w:t xml:space="preserve"> </w:t>
      </w:r>
      <w:r w:rsidRPr="00FE60BD">
        <w:rPr>
          <w:rFonts w:ascii="Century Schoolbook" w:eastAsia="Times New Roman" w:hAnsi="Century Schoolbook" w:cs="Times New Roman"/>
          <w:lang w:val="en"/>
        </w:rPr>
        <w:t>the Georgia Court of Appeals reversed summary judgment that the trial court had granted in favor of the defendant, because several questions of material fact remained.  One of those factual issues involved evidence that the defendant did not follow the inspection procedure that the relevant accreditation body had mandated.  The plaintiff had suffered injuries after inadvertently touching a live electrical wire while he visited a house that was for sale.</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  </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The plaintiff elicited evidence showing that the National Rural Electric Cooperative Association (NRECA) had accreditation standards calling for each electrical company to inspect at least thirty percent of its underground wires per year.  Georgia and federal law apparently did not mandate the given accreditation standard, such that a violation of it would constitute negligence per se.  Evidence showed that the defendant electrical company had violated the private guideline by inspecting less than thirty percent of its underground wires in some years.  The court of appeals reversed the summary judgment in favor of the defendant, having determined that a jury could </w:t>
      </w:r>
      <w:r w:rsidRPr="00FE60BD">
        <w:rPr>
          <w:rFonts w:ascii="Century Schoolbook" w:eastAsia="Times New Roman" w:hAnsi="Century Schoolbook" w:cs="Times New Roman"/>
          <w:lang w:val="en"/>
        </w:rPr>
        <w:lastRenderedPageBreak/>
        <w:t>determine that the violation of the accreditation standard indicated negligence on behalf of the defendant. That said, the court of appeals reversed the trial court’s summary judgment order on other grounds, as well.  Beyond the evidence of a violation of a private guideline, the court also reasoned that other questions of fact remained.  Those other points included whether the plaintiff was an invitee or licensee, whether the frequency of the defendant’s inspections constituted negligence regardless of what private guidelines suggested, and uncertainty regarding the parties’ relative knowledge of the hazard that caused the plaintiff’s injuries.</w:t>
      </w:r>
    </w:p>
    <w:p w:rsidR="00FE60BD" w:rsidRPr="00FE60BD" w:rsidRDefault="00FE60BD" w:rsidP="00FE60BD">
      <w:pPr>
        <w:spacing w:after="0" w:line="240" w:lineRule="auto"/>
        <w:jc w:val="both"/>
        <w:rPr>
          <w:rFonts w:ascii="Century Schoolbook" w:eastAsia="Times New Roman" w:hAnsi="Century Schoolbook" w:cs="Times New Roman"/>
          <w:lang w:val="en"/>
        </w:rPr>
      </w:pPr>
    </w:p>
    <w:p w:rsid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Under similar circumstances, the Georgia Court of Appeals in </w:t>
      </w:r>
      <w:r w:rsidRPr="00FE60BD">
        <w:rPr>
          <w:rFonts w:ascii="Century Schoolbook" w:eastAsia="Times New Roman" w:hAnsi="Century Schoolbook" w:cs="Times New Roman"/>
          <w:i/>
          <w:iCs/>
          <w:lang w:val="en"/>
        </w:rPr>
        <w:t>Davis v. GBR Properties, Inc.</w:t>
      </w:r>
      <w:r w:rsidRPr="00FE60BD">
        <w:rPr>
          <w:rFonts w:ascii="Century Schoolbook" w:eastAsia="Times New Roman" w:hAnsi="Century Schoolbook" w:cs="Times New Roman"/>
          <w:vertAlign w:val="superscript"/>
          <w:lang w:val="en"/>
        </w:rPr>
        <w:endnoteReference w:id="327"/>
      </w:r>
      <w:r w:rsidRPr="00FE60BD">
        <w:rPr>
          <w:rFonts w:ascii="Century Schoolbook" w:eastAsia="Times New Roman" w:hAnsi="Century Schoolbook" w:cs="Times New Roman"/>
          <w:lang w:val="en"/>
        </w:rPr>
        <w:t xml:space="preserve"> reversed summary judgment that the trial court had granted to the defendant.  The plaintiff had presented expert testimony that the defendant’s ramp on which plaintiff had fallen violated American National Standards Institute (ANSI) standards.  An architect testified on behalf of the plaintiff, stating that according to ANSI standards, the ramp’s handrails did not extend the proper distance and that the side slopes for the ramp were too steep.  The court of appeals based its reversal of summary judgment on other factual issues as well, including whether the plaintiff had actual or constructive knowledge of the hazardous condition based on her previously trips on the ramp, and </w:t>
      </w:r>
      <w:r w:rsidRPr="00FE60BD">
        <w:rPr>
          <w:rFonts w:ascii="Century Schoolbook" w:eastAsia="Times New Roman" w:hAnsi="Century Schoolbook" w:cs="Times New Roman"/>
          <w:lang w:val="en"/>
        </w:rPr>
        <w:lastRenderedPageBreak/>
        <w:t>whether the ramp’s failure to comply with ANSI standards proximately caused the plaintiff’s accident and injuries.</w:t>
      </w:r>
    </w:p>
    <w:p w:rsidR="009F3013" w:rsidRPr="00FE60BD" w:rsidRDefault="009F3013"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Despite the decisions in </w:t>
      </w:r>
      <w:r w:rsidRPr="00FE60BD">
        <w:rPr>
          <w:rFonts w:ascii="Century Schoolbook" w:eastAsia="Times New Roman" w:hAnsi="Century Schoolbook" w:cs="Times New Roman"/>
          <w:i/>
          <w:lang w:val="en"/>
        </w:rPr>
        <w:t>McGarity</w:t>
      </w:r>
      <w:r w:rsidRPr="00FE60BD">
        <w:rPr>
          <w:rFonts w:ascii="Century Schoolbook" w:eastAsia="Times New Roman" w:hAnsi="Century Schoolbook" w:cs="Times New Roman"/>
          <w:lang w:val="en"/>
        </w:rPr>
        <w:t xml:space="preserve">, </w:t>
      </w:r>
      <w:r w:rsidRPr="00FE60BD">
        <w:rPr>
          <w:rFonts w:ascii="Century Schoolbook" w:eastAsia="Times New Roman" w:hAnsi="Century Schoolbook" w:cs="Times New Roman"/>
          <w:i/>
          <w:lang w:val="en"/>
        </w:rPr>
        <w:t>Davis</w:t>
      </w:r>
      <w:r w:rsidRPr="00FE60BD">
        <w:rPr>
          <w:rFonts w:ascii="Century Schoolbook" w:eastAsia="Times New Roman" w:hAnsi="Century Schoolbook" w:cs="Times New Roman"/>
          <w:lang w:val="en"/>
        </w:rPr>
        <w:t xml:space="preserve">, and similar cases, Georgia’s appellate courts have not explicitly held that violation of a private guideline, </w:t>
      </w:r>
      <w:r w:rsidRPr="00FE60BD">
        <w:rPr>
          <w:rFonts w:ascii="Century Schoolbook" w:eastAsia="Times New Roman" w:hAnsi="Century Schoolbook" w:cs="Times New Roman"/>
          <w:i/>
          <w:lang w:val="en"/>
        </w:rPr>
        <w:t>by itself</w:t>
      </w:r>
      <w:r w:rsidRPr="00FE60BD">
        <w:rPr>
          <w:rFonts w:ascii="Century Schoolbook" w:eastAsia="Times New Roman" w:hAnsi="Century Schoolbook" w:cs="Times New Roman"/>
          <w:lang w:val="en"/>
        </w:rPr>
        <w:t>, forecloses the availability of summary judgment.  In fact, several decisions have affirmed summary judgment for the defendant despite evidence showing that the defendant had violated a private guideline.</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For example, in </w:t>
      </w:r>
      <w:r w:rsidRPr="00FE60BD">
        <w:rPr>
          <w:rFonts w:ascii="Century Schoolbook" w:eastAsia="Times New Roman" w:hAnsi="Century Schoolbook" w:cs="Times New Roman"/>
          <w:i/>
          <w:iCs/>
          <w:lang w:val="en"/>
        </w:rPr>
        <w:t>Schofield v. Hertz Corp.</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28"/>
      </w:r>
      <w:r w:rsidRPr="00FE60BD">
        <w:rPr>
          <w:rFonts w:ascii="Century Schoolbook" w:eastAsia="Times New Roman" w:hAnsi="Century Schoolbook" w:cs="Times New Roman"/>
          <w:lang w:val="en"/>
        </w:rPr>
        <w:t xml:space="preserve"> the Georgia Court of Appeals affirmed summary judgment for a defendant rental car company as to the plaintiff's claims of negligence and negligent entrustment, despite evidence that the defendant had violated a private guideline.  A co-defendant, visiting Georgia from Great Britain, had driven a rental car on the wrong side of the road, causing a two-car, head-on collision with the plaintiff.  The plaintiff pursued claims against the rental car company, arguing that the company should have known that the driver-defendant was an incompetent and inexperienced driver.  The plaintiff produced evidence showing that one of the rental car company’s employees had violated the company’s internal rules by renting a car to a foreign driver without confirming that the driver had a valid driver’s license and an international driving permit.  The </w:t>
      </w:r>
      <w:r w:rsidRPr="00FE60BD">
        <w:rPr>
          <w:rFonts w:ascii="Century Schoolbook" w:eastAsia="Times New Roman" w:hAnsi="Century Schoolbook" w:cs="Times New Roman"/>
          <w:lang w:val="en"/>
        </w:rPr>
        <w:lastRenderedPageBreak/>
        <w:t>plaintiff argued that the violation of the company’s internal rule constituted evidence of negligence that should have prevented summary judgment.  The trial court and court of appeals disagreed with the plaintiff.  The court of appeals quoted the long-established rule that "[v]iolations of private guidelines do not establish negligence per se[.]”</w:t>
      </w:r>
      <w:r w:rsidRPr="00FE60BD">
        <w:rPr>
          <w:rFonts w:ascii="Century Schoolbook" w:eastAsia="Times New Roman" w:hAnsi="Century Schoolbook" w:cs="Times New Roman"/>
          <w:vertAlign w:val="superscript"/>
          <w:lang w:val="en"/>
        </w:rPr>
        <w:endnoteReference w:id="329"/>
      </w:r>
      <w:r w:rsidRPr="00FE60BD">
        <w:rPr>
          <w:rFonts w:ascii="Century Schoolbook" w:eastAsia="Times New Roman" w:hAnsi="Century Schoolbook" w:cs="Times New Roman"/>
          <w:lang w:val="en"/>
        </w:rPr>
        <w:t xml:space="preserve">  Despite evidence of the defendant having violated a private guideline, the court of appeals held that the plaintiff still had not demonstrated necessary elements of its case, and that the defendant rental car company therefore deserved summary judgment.</w:t>
      </w:r>
    </w:p>
    <w:p w:rsidR="009F3013" w:rsidRPr="00FE60BD" w:rsidRDefault="009F3013"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Along the same lines, in </w:t>
      </w:r>
      <w:r w:rsidRPr="00FE60BD">
        <w:rPr>
          <w:rFonts w:ascii="Century Schoolbook" w:eastAsia="Times New Roman" w:hAnsi="Century Schoolbook" w:cs="Times New Roman"/>
          <w:i/>
          <w:iCs/>
          <w:lang w:val="en"/>
        </w:rPr>
        <w:t>Butler v. South Fulton Medical Center</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30"/>
      </w:r>
      <w:r w:rsidRPr="00FE60BD">
        <w:rPr>
          <w:rFonts w:ascii="Century Schoolbook" w:eastAsia="Times New Roman" w:hAnsi="Century Schoolbook" w:cs="Times New Roman"/>
          <w:lang w:val="en"/>
        </w:rPr>
        <w:t xml:space="preserve"> the Georgia Court of Appeals affirmed summary judgment for the defendant on the plaintiff's negligent hiring and supervision claims.  The plaintiff pursued the claims against a hospital after a physician in the hospital had negligently performed a neurolytic block procedure on the plaintiff, rendering her a quadriplegic.  Before the physician had administered the neurolytic block procedure, hospital staff had incorrectly presented plaintiff with consent forms for an unrelated steroid injection procedure.  The plaintiff admitted in her deposition, however, that she had signed the consent form without reading it.  The plaintiff settled her claim against the physician who had performed the procedure and then filed suit against the hospital.  The plaintiff contended that the hospital </w:t>
      </w:r>
      <w:r w:rsidRPr="00FE60BD">
        <w:rPr>
          <w:rFonts w:ascii="Century Schoolbook" w:eastAsia="Times New Roman" w:hAnsi="Century Schoolbook" w:cs="Times New Roman"/>
          <w:lang w:val="en"/>
        </w:rPr>
        <w:lastRenderedPageBreak/>
        <w:t>had failed to supervise the physician adequately, and that hospital staff had failed to fulfill their duties to present the proper consent forms to the plaintiff.  The trial court granted summary judgment in favor of the hospital, despite evidence that hospital staff had violated internal rules by presenting the plaintiff with incorrect consent forms.  The court of appeals rejected the plaintiff’s argument that such evidence should preclude summary judgment.  The court held, "Even were we to decide, as a matter of law, that [the hospital’s] rules created a duty to [the plaintiff], the failure of the nurses to comply with a rule of the hospital does not give rise to negligence per se.”</w:t>
      </w:r>
      <w:r w:rsidRPr="00FE60BD">
        <w:rPr>
          <w:rFonts w:ascii="Century Schoolbook" w:eastAsia="Times New Roman" w:hAnsi="Century Schoolbook" w:cs="Times New Roman"/>
          <w:vertAlign w:val="superscript"/>
          <w:lang w:val="en"/>
        </w:rPr>
        <w:endnoteReference w:id="331"/>
      </w:r>
      <w:r w:rsidRPr="00FE60BD">
        <w:rPr>
          <w:rFonts w:ascii="Century Schoolbook" w:eastAsia="Times New Roman" w:hAnsi="Century Schoolbook" w:cs="Times New Roman"/>
          <w:lang w:val="en"/>
        </w:rPr>
        <w:t xml:space="preserve">  The fact that hospital staff had violated an internal private rule did not show that the violation proximately caused the plaintiff’s alleged damages, especially considering that the plaintiff admitted that she did not even read the consent form before she signed it.</w:t>
      </w:r>
    </w:p>
    <w:p w:rsidR="00FE60BD" w:rsidRPr="00FE60BD" w:rsidRDefault="00FE60BD" w:rsidP="00FE60BD">
      <w:pPr>
        <w:spacing w:after="0" w:line="240" w:lineRule="auto"/>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Using similar reasoning, the Georgia Court of Appeals in </w:t>
      </w:r>
      <w:r w:rsidRPr="00FE60BD">
        <w:rPr>
          <w:rFonts w:ascii="Century Schoolbook" w:eastAsia="Times New Roman" w:hAnsi="Century Schoolbook" w:cs="Times New Roman"/>
          <w:i/>
          <w:iCs/>
          <w:lang w:val="en"/>
        </w:rPr>
        <w:t>Wages v. Amisub</w:t>
      </w:r>
      <w:r w:rsidRPr="00FE60BD">
        <w:rPr>
          <w:rFonts w:ascii="Century Schoolbook" w:eastAsia="Times New Roman" w:hAnsi="Century Schoolbook" w:cs="Times New Roman"/>
          <w:vertAlign w:val="superscript"/>
          <w:lang w:val="en"/>
        </w:rPr>
        <w:endnoteReference w:id="332"/>
      </w:r>
      <w:r w:rsidRPr="00FE60BD">
        <w:rPr>
          <w:rFonts w:ascii="Century Schoolbook" w:eastAsia="Times New Roman" w:hAnsi="Century Schoolbook" w:cs="Times New Roman"/>
          <w:lang w:val="en"/>
        </w:rPr>
        <w:t xml:space="preserve"> affirmed summary judgment for the defendant on the plaintiff's claim for negligent mishandling of a corpse.  A family member of the plaintiffs had died in a car crash.  Later in the day, the plaintiffs had gone to the defendant’s hospital to see the body.  When hospital staff escorted the plaintiffs to see the body, however, the plaintiffs found it in an extremely unkempt state.  The position in which hospital staff left the body caused rigor mortis to apply in such a way </w:t>
      </w:r>
      <w:r w:rsidRPr="00FE60BD">
        <w:rPr>
          <w:rFonts w:ascii="Century Schoolbook" w:eastAsia="Times New Roman" w:hAnsi="Century Schoolbook" w:cs="Times New Roman"/>
          <w:lang w:val="en"/>
        </w:rPr>
        <w:lastRenderedPageBreak/>
        <w:t xml:space="preserve">that it ultimately affected normal burial.  The plaintiffs produced evidence showing that hospital staff had violated hospital accreditation agency standards, as well as its own internal policies, pertaining to the care of corpses immediately following death.  The trial court rejected the plaintiff’s argument that such evidence should have sufficed for the plaintiffs to survive summary judgment.  The court of appeals affirmed, reasoning: </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left="720" w:right="72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Neither the accreditation organization’s standards nor [the hospital’s] policy concerning the steps to be taken after a patient’s death was imposed upon [the hospital] by a statutory enactment or common-law principle.  Such protocols and procedures do not have the force and effect of a statute or an administrative regulation.</w:t>
      </w:r>
      <w:r w:rsidRPr="00FE60BD">
        <w:rPr>
          <w:rFonts w:ascii="Century Schoolbook" w:eastAsia="Times New Roman" w:hAnsi="Century Schoolbook" w:cs="Times New Roman"/>
          <w:vertAlign w:val="superscript"/>
          <w:lang w:val="en"/>
        </w:rPr>
        <w:endnoteReference w:id="333"/>
      </w:r>
    </w:p>
    <w:p w:rsidR="00FE60BD" w:rsidRPr="00FE60BD" w:rsidRDefault="00FE60BD" w:rsidP="00FE60BD">
      <w:pPr>
        <w:spacing w:after="0" w:line="240" w:lineRule="auto"/>
        <w:jc w:val="both"/>
        <w:rPr>
          <w:rFonts w:ascii="Century Schoolbook" w:eastAsia="Times New Roman" w:hAnsi="Century Schoolbook" w:cs="Times New Roman"/>
          <w:lang w:val="en"/>
        </w:rPr>
      </w:pPr>
    </w:p>
    <w:p w:rsidR="00FE60BD" w:rsidRPr="00FE60BD" w:rsidRDefault="00FE60BD" w:rsidP="00FE60BD">
      <w:pPr>
        <w:spacing w:after="0" w:line="240" w:lineRule="auto"/>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The violations of the private guidelines simply did not substitute for the plaintiffs’ requirement to set out a prima facie case showing that the defendant-hospital had committed a tort, and the court therefore upheld summary judgment in favor of the defendant.</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lastRenderedPageBreak/>
        <w:t xml:space="preserve">The decisions in </w:t>
      </w:r>
      <w:r w:rsidRPr="00FE60BD">
        <w:rPr>
          <w:rFonts w:ascii="Century Schoolbook" w:eastAsia="Times New Roman" w:hAnsi="Century Schoolbook" w:cs="Times New Roman"/>
          <w:i/>
          <w:lang w:val="en"/>
        </w:rPr>
        <w:t>Schofield</w:t>
      </w:r>
      <w:r w:rsidRPr="00FE60BD">
        <w:rPr>
          <w:rFonts w:ascii="Century Schoolbook" w:eastAsia="Times New Roman" w:hAnsi="Century Schoolbook" w:cs="Times New Roman"/>
          <w:lang w:val="en"/>
        </w:rPr>
        <w:t xml:space="preserve">, </w:t>
      </w:r>
      <w:r w:rsidRPr="00FE60BD">
        <w:rPr>
          <w:rFonts w:ascii="Century Schoolbook" w:eastAsia="Times New Roman" w:hAnsi="Century Schoolbook" w:cs="Times New Roman"/>
          <w:i/>
          <w:lang w:val="en"/>
        </w:rPr>
        <w:t>Butler</w:t>
      </w:r>
      <w:r w:rsidRPr="00FE60BD">
        <w:rPr>
          <w:rFonts w:ascii="Century Schoolbook" w:eastAsia="Times New Roman" w:hAnsi="Century Schoolbook" w:cs="Times New Roman"/>
          <w:lang w:val="en"/>
        </w:rPr>
        <w:t xml:space="preserve">, </w:t>
      </w:r>
      <w:r w:rsidRPr="00FE60BD">
        <w:rPr>
          <w:rFonts w:ascii="Century Schoolbook" w:eastAsia="Times New Roman" w:hAnsi="Century Schoolbook" w:cs="Times New Roman"/>
          <w:i/>
          <w:lang w:val="en"/>
        </w:rPr>
        <w:t>Wages</w:t>
      </w:r>
      <w:r w:rsidRPr="00FE60BD">
        <w:rPr>
          <w:rFonts w:ascii="Century Schoolbook" w:eastAsia="Times New Roman" w:hAnsi="Century Schoolbook" w:cs="Times New Roman"/>
          <w:lang w:val="en"/>
        </w:rPr>
        <w:t xml:space="preserve">, and similar cases make sense.  Even before the courts decided those cases, decades of case law had established the still-undisturbed rule that violations of private guidelines do not constitute negligence per se.  If a plaintiff in a negligence action has not made a prima facie case that the defendant’s breach of a legally enforceable duty proximately caused the plaintiff’s damages, then the court should grant summary judgment in favor of the defendant, regardless of whether the defendant violated an internal rule or an accreditation body’s standards.  The Georgia Court of Appeals’ recent decision in </w:t>
      </w:r>
      <w:r w:rsidRPr="00FE60BD">
        <w:rPr>
          <w:rFonts w:ascii="Century Schoolbook" w:eastAsia="Times New Roman" w:hAnsi="Century Schoolbook" w:cs="Times New Roman"/>
          <w:i/>
          <w:lang w:val="en"/>
        </w:rPr>
        <w:t>Samuels v. CBOCS, Inc.</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34"/>
      </w:r>
      <w:r w:rsidRPr="00FE60BD">
        <w:rPr>
          <w:rFonts w:ascii="Century Schoolbook" w:eastAsia="Times New Roman" w:hAnsi="Century Schoolbook" w:cs="Times New Roman"/>
          <w:lang w:val="en"/>
        </w:rPr>
        <w:t xml:space="preserve"> however, might weaken these axioms.</w:t>
      </w:r>
    </w:p>
    <w:p w:rsidR="00FE60BD" w:rsidRPr="00FE60BD" w:rsidRDefault="00FE60BD" w:rsidP="00FE60BD">
      <w:pPr>
        <w:spacing w:after="0" w:line="240" w:lineRule="auto"/>
        <w:jc w:val="both"/>
        <w:rPr>
          <w:rFonts w:ascii="Century Schoolbook" w:eastAsia="Times New Roman" w:hAnsi="Century Schoolbook" w:cs="Times New Roman"/>
          <w:lang w:val="en"/>
        </w:rPr>
      </w:pPr>
    </w:p>
    <w:p w:rsidR="00FE60BD" w:rsidRPr="00FE60BD" w:rsidRDefault="00FE60BD" w:rsidP="00FE60BD">
      <w:pPr>
        <w:keepNext/>
        <w:spacing w:after="0" w:line="240" w:lineRule="auto"/>
        <w:jc w:val="center"/>
        <w:rPr>
          <w:rFonts w:ascii="Century Schoolbook" w:eastAsia="Times New Roman" w:hAnsi="Century Schoolbook" w:cs="Times New Roman"/>
          <w:b/>
          <w:iCs/>
          <w:lang w:val="en"/>
        </w:rPr>
      </w:pPr>
      <w:r w:rsidRPr="00FE60BD">
        <w:rPr>
          <w:rFonts w:ascii="Century Schoolbook" w:eastAsia="Times New Roman" w:hAnsi="Century Schoolbook" w:cs="Times New Roman"/>
          <w:b/>
          <w:iCs/>
          <w:lang w:val="en"/>
        </w:rPr>
        <w:t xml:space="preserve">The </w:t>
      </w:r>
      <w:r w:rsidRPr="00FE60BD">
        <w:rPr>
          <w:rFonts w:ascii="Century Schoolbook" w:eastAsia="Times New Roman" w:hAnsi="Century Schoolbook" w:cs="Times New Roman"/>
          <w:b/>
          <w:i/>
          <w:iCs/>
          <w:lang w:val="en"/>
        </w:rPr>
        <w:t>Samuels</w:t>
      </w:r>
      <w:r w:rsidRPr="00FE60BD">
        <w:rPr>
          <w:rFonts w:ascii="Century Schoolbook" w:eastAsia="Times New Roman" w:hAnsi="Century Schoolbook" w:cs="Times New Roman"/>
          <w:b/>
          <w:iCs/>
          <w:lang w:val="en"/>
        </w:rPr>
        <w:t xml:space="preserve"> Case</w:t>
      </w:r>
    </w:p>
    <w:p w:rsidR="00FE60BD" w:rsidRPr="00FE60BD" w:rsidRDefault="00FE60BD" w:rsidP="00FE60BD">
      <w:pPr>
        <w:keepNext/>
        <w:spacing w:after="0" w:line="240" w:lineRule="auto"/>
        <w:jc w:val="both"/>
        <w:rPr>
          <w:rFonts w:ascii="Century Schoolbook" w:eastAsia="Times New Roman" w:hAnsi="Century Schoolbook" w:cs="Times New Roman"/>
          <w:b/>
          <w:iCs/>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As Ms. Samuels walked through the defendant’s parking lot, she stepped on a piece of wood that caused her to fall.  The defendant had an internal policy calling for the manager on duty to inspect the grounds every thirty to sixty minutes during his entire shift.  Evidence, however, showed that the manager on duty at the time of the incident had not inspected the parking lot at all during the seven-hour period between the start of his shift and the time of the plaintiff’s fall.</w:t>
      </w: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 xml:space="preserve">The trial court granted summary judgment in favor of the defendant premises owner, determining that no evidence showed that the defendant </w:t>
      </w:r>
      <w:r w:rsidRPr="00FE60BD">
        <w:rPr>
          <w:rFonts w:ascii="Century Schoolbook" w:eastAsia="Times New Roman" w:hAnsi="Century Schoolbook" w:cs="Times New Roman"/>
          <w:iCs/>
          <w:lang w:val="en"/>
        </w:rPr>
        <w:lastRenderedPageBreak/>
        <w:t>had knowledge of a hazardous condition.  However, in an opinion written by Judge Lisa Branch, the Georgia Court of Appeals reversed summary judgment.  The court reasoned that the defendant’s failure to follow its own internal inspection procedure created a factual issue regarding whether it possessed constructive knowledge:</w:t>
      </w:r>
    </w:p>
    <w:p w:rsidR="00FE60BD" w:rsidRPr="00FE60BD" w:rsidRDefault="00FE60BD" w:rsidP="00FE60BD">
      <w:pPr>
        <w:spacing w:after="0" w:line="240" w:lineRule="auto"/>
        <w:ind w:firstLine="360"/>
        <w:jc w:val="both"/>
        <w:rPr>
          <w:rFonts w:ascii="Century Schoolbook" w:eastAsia="Times New Roman" w:hAnsi="Century Schoolbook" w:cs="Times New Roman"/>
          <w:iCs/>
          <w:lang w:val="en"/>
        </w:rPr>
      </w:pPr>
    </w:p>
    <w:p w:rsidR="00FE60BD" w:rsidRPr="00FE60BD" w:rsidRDefault="00FE60BD" w:rsidP="00FE60BD">
      <w:pPr>
        <w:spacing w:after="0" w:line="240" w:lineRule="auto"/>
        <w:ind w:left="720" w:right="720"/>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Constructive knowledge may be inferred when there is evidence that the owner lacked a reasonable inspection procedure . . . .  In order to prevail at summary judgment based on lack of constructive knowledge, the owner must demonstrate not only that it had a reasonable inspection program in place, but that such program was actually carried out at the time of the incident.</w:t>
      </w:r>
      <w:r w:rsidRPr="00FE60BD">
        <w:rPr>
          <w:rFonts w:ascii="Century Schoolbook" w:eastAsia="Times New Roman" w:hAnsi="Century Schoolbook" w:cs="Times New Roman"/>
          <w:iCs/>
          <w:vertAlign w:val="superscript"/>
          <w:lang w:val="en"/>
        </w:rPr>
        <w:endnoteReference w:id="335"/>
      </w:r>
      <w:r w:rsidRPr="00FE60BD">
        <w:rPr>
          <w:rFonts w:ascii="Century Schoolbook" w:eastAsia="Times New Roman" w:hAnsi="Century Schoolbook" w:cs="Times New Roman"/>
          <w:iCs/>
          <w:lang w:val="en"/>
        </w:rPr>
        <w:t xml:space="preserve">  </w:t>
      </w:r>
    </w:p>
    <w:p w:rsidR="00FE60BD" w:rsidRPr="00FE60BD" w:rsidRDefault="00FE60BD" w:rsidP="00FE60BD">
      <w:pPr>
        <w:spacing w:after="0" w:line="240" w:lineRule="auto"/>
        <w:ind w:left="720" w:right="720"/>
        <w:jc w:val="both"/>
        <w:rPr>
          <w:rFonts w:ascii="Century Schoolbook" w:eastAsia="Times New Roman" w:hAnsi="Century Schoolbook" w:cs="Times New Roman"/>
          <w:iCs/>
          <w:lang w:val="en"/>
        </w:rPr>
      </w:pPr>
    </w:p>
    <w:p w:rsidR="00FE60BD" w:rsidRPr="00FE60BD" w:rsidRDefault="00FE60BD" w:rsidP="00FE60BD">
      <w:pPr>
        <w:spacing w:after="0" w:line="240" w:lineRule="auto"/>
        <w:jc w:val="both"/>
        <w:rPr>
          <w:rFonts w:ascii="Century Schoolbook" w:eastAsia="Times New Roman" w:hAnsi="Century Schoolbook" w:cs="Times New Roman"/>
          <w:iCs/>
          <w:lang w:val="en"/>
        </w:rPr>
      </w:pPr>
      <w:r w:rsidRPr="00FE60BD">
        <w:rPr>
          <w:rFonts w:ascii="Century Schoolbook" w:eastAsia="Times New Roman" w:hAnsi="Century Schoolbook" w:cs="Times New Roman"/>
          <w:iCs/>
          <w:lang w:val="en"/>
        </w:rPr>
        <w:t>Presiding Judge Yvette Miller and Judge William Ray concurred in the judgment.</w:t>
      </w:r>
    </w:p>
    <w:p w:rsidR="00FE60BD" w:rsidRPr="00FE60BD" w:rsidRDefault="00FE60BD" w:rsidP="00FE60BD">
      <w:pPr>
        <w:spacing w:after="0" w:line="240" w:lineRule="auto"/>
        <w:jc w:val="both"/>
        <w:rPr>
          <w:rFonts w:ascii="Century Schoolbook" w:eastAsia="Times New Roman" w:hAnsi="Century Schoolbook" w:cs="Times New Roman"/>
          <w:iCs/>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iCs/>
          <w:lang w:val="en"/>
        </w:rPr>
        <w:t xml:space="preserve">The court of appeals distinguished other decisions, in which the court had held that a defendant who “failed to follow a reasonable inspection schedule may still obtain summary judgment if there is no evidence that the foreign object could have been discovered during a reasonable </w:t>
      </w:r>
      <w:r w:rsidRPr="00FE60BD">
        <w:rPr>
          <w:rFonts w:ascii="Century Schoolbook" w:eastAsia="Times New Roman" w:hAnsi="Century Schoolbook" w:cs="Times New Roman"/>
          <w:iCs/>
          <w:lang w:val="en"/>
        </w:rPr>
        <w:lastRenderedPageBreak/>
        <w:t>inspection.”</w:t>
      </w:r>
      <w:r w:rsidRPr="00FE60BD">
        <w:rPr>
          <w:rFonts w:ascii="Century Schoolbook" w:eastAsia="Times New Roman" w:hAnsi="Century Schoolbook" w:cs="Times New Roman"/>
          <w:iCs/>
          <w:vertAlign w:val="superscript"/>
          <w:lang w:val="en"/>
        </w:rPr>
        <w:endnoteReference w:id="336"/>
      </w:r>
      <w:r w:rsidRPr="00FE60BD">
        <w:rPr>
          <w:rFonts w:ascii="Century Schoolbook" w:eastAsia="Times New Roman" w:hAnsi="Century Schoolbook" w:cs="Times New Roman"/>
          <w:iCs/>
          <w:lang w:val="en"/>
        </w:rPr>
        <w:t xml:space="preserve">  The </w:t>
      </w:r>
      <w:r w:rsidRPr="00FE60BD">
        <w:rPr>
          <w:rFonts w:ascii="Century Schoolbook" w:eastAsia="Times New Roman" w:hAnsi="Century Schoolbook" w:cs="Times New Roman"/>
          <w:i/>
          <w:iCs/>
          <w:lang w:val="en"/>
        </w:rPr>
        <w:t>Samuels</w:t>
      </w:r>
      <w:r w:rsidRPr="00FE60BD">
        <w:rPr>
          <w:rFonts w:ascii="Century Schoolbook" w:eastAsia="Times New Roman" w:hAnsi="Century Schoolbook" w:cs="Times New Roman"/>
          <w:iCs/>
          <w:lang w:val="en"/>
        </w:rPr>
        <w:t xml:space="preserve"> court</w:t>
      </w:r>
      <w:r w:rsidRPr="00FE60BD">
        <w:rPr>
          <w:rFonts w:ascii="Century Schoolbook" w:eastAsia="Times New Roman" w:hAnsi="Century Schoolbook" w:cs="Times New Roman"/>
          <w:lang w:val="en"/>
        </w:rPr>
        <w:t xml:space="preserve"> distinguished those other cases “because in each case the plaintiff essentially admitted that the foreign object or other obstruction could not be seen upon a reasonable inspection.”</w:t>
      </w:r>
      <w:r w:rsidRPr="00FE60BD">
        <w:rPr>
          <w:rFonts w:ascii="Century Schoolbook" w:eastAsia="Times New Roman" w:hAnsi="Century Schoolbook" w:cs="Times New Roman"/>
          <w:vertAlign w:val="superscript"/>
          <w:lang w:val="en"/>
        </w:rPr>
        <w:endnoteReference w:id="337"/>
      </w:r>
      <w:r w:rsidRPr="00FE60BD">
        <w:rPr>
          <w:rFonts w:ascii="Century Schoolbook" w:eastAsia="Times New Roman" w:hAnsi="Century Schoolbook" w:cs="Times New Roman"/>
          <w:lang w:val="en"/>
        </w:rPr>
        <w:t xml:space="preserve"> After determining that Ms. Samuels had not admitted that the defendant’s representatives could not have seen the foreign object during a reasonable inspection, the court held that an issue of material fact remained, and the plaintiff accordingly should have survived summary judgment.</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The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court’s reading of the cases in which the plaintiffs “essentially admitted that the foreign object or other obstruction could not be seen upon a reasonable inspection” seems questionable.  In </w:t>
      </w:r>
      <w:r w:rsidRPr="00FE60BD">
        <w:rPr>
          <w:rFonts w:ascii="Century Schoolbook" w:eastAsia="Times New Roman" w:hAnsi="Century Schoolbook" w:cs="Times New Roman"/>
          <w:i/>
          <w:lang w:val="en"/>
        </w:rPr>
        <w:t>Brown v. Host/Taco Joint Venture</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38"/>
      </w:r>
      <w:r w:rsidRPr="00FE60BD">
        <w:rPr>
          <w:rFonts w:ascii="Century Schoolbook" w:eastAsia="Times New Roman" w:hAnsi="Century Schoolbook" w:cs="Times New Roman"/>
          <w:lang w:val="en"/>
        </w:rPr>
        <w:t xml:space="preserve"> one of the cases cited by the court for this proposition, the plaintiff testified that the grease spot in which he slipped “was not obvious” until after he had fallen, and the plaintiff’s counsel acknowledged in a brief that the spot “was not initially easily visible.”  However, there is no indication in the reported opinion that the plaintiff had gone so far as to admit that the defendant would not have discovered the hazard in an inspection.  Similarly, in </w:t>
      </w:r>
      <w:r w:rsidRPr="00FE60BD">
        <w:rPr>
          <w:rFonts w:ascii="Century Schoolbook" w:eastAsia="Times New Roman" w:hAnsi="Century Schoolbook" w:cs="Times New Roman"/>
          <w:i/>
          <w:lang w:val="en"/>
        </w:rPr>
        <w:t>Rodriquez v. City of Augusta</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39"/>
      </w:r>
      <w:r w:rsidRPr="00FE60BD">
        <w:rPr>
          <w:rFonts w:ascii="Century Schoolbook" w:eastAsia="Times New Roman" w:hAnsi="Century Schoolbook" w:cs="Times New Roman"/>
          <w:lang w:val="en"/>
        </w:rPr>
        <w:t xml:space="preserve"> the plaintiff did not actively admit that the defendant’s staff could not have discovered the slip hazard during a reasonable inspection.  In fact, the plaintiff alleged via affidavit that store employees should have noticed the alleged hazard on </w:t>
      </w:r>
      <w:r w:rsidRPr="00FE60BD">
        <w:rPr>
          <w:rFonts w:ascii="Century Schoolbook" w:eastAsia="Times New Roman" w:hAnsi="Century Schoolbook" w:cs="Times New Roman"/>
          <w:lang w:val="en"/>
        </w:rPr>
        <w:lastRenderedPageBreak/>
        <w:t xml:space="preserve">which he slipped.  The court of appeals in </w:t>
      </w:r>
      <w:r w:rsidRPr="00FE60BD">
        <w:rPr>
          <w:rFonts w:ascii="Century Schoolbook" w:eastAsia="Times New Roman" w:hAnsi="Century Schoolbook" w:cs="Times New Roman"/>
          <w:i/>
          <w:lang w:val="en"/>
        </w:rPr>
        <w:t>Rodriquez</w:t>
      </w:r>
      <w:r w:rsidRPr="00FE60BD">
        <w:rPr>
          <w:rFonts w:ascii="Century Schoolbook" w:eastAsia="Times New Roman" w:hAnsi="Century Schoolbook" w:cs="Times New Roman"/>
          <w:lang w:val="en"/>
        </w:rPr>
        <w:t xml:space="preserve"> discounted the plaintiff’s affidavit after determining that other evidence in the record did not support it.</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Regardless of the validity of its reading of the defense’s cited cases, the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court ostensibly distinguished those cases on the grounds that Ms. Samuels had not “admitted” that the defendant’s staff could not have not found the stick as part of a reasonable inspection procedure.  However, this will not comfort a defendant that encounters a plaintiff who will argue that the defendant could have found an alleged hazard in a reasonable inspection procedure.  Of course, if a foreign object could be seen with reasonable inspection, then the defendant can raise a comparative fault issue as to why the plaintiff failed to see it.  Nevertheless, given a plaintiff’s option of either losing on summary judgment or instead facing a potentially diminished reward based on the percentage of comparative fault a jury might ultimately assign, we can expect many premises liability plaintiffs responding to summary judgment motions to make sure to allege that the defendant could have discovered the alleged hazard as part of a reasonable inspection procedure.</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Whereas some previous Georgia appellate cases have denied summary judgment in favor of a defendant premises owner </w:t>
      </w:r>
      <w:r w:rsidRPr="00FE60BD">
        <w:rPr>
          <w:rFonts w:ascii="Century Schoolbook" w:eastAsia="Times New Roman" w:hAnsi="Century Schoolbook" w:cs="Times New Roman"/>
          <w:i/>
          <w:lang w:val="en"/>
        </w:rPr>
        <w:t>in part</w:t>
      </w:r>
      <w:r w:rsidRPr="00FE60BD">
        <w:rPr>
          <w:rFonts w:ascii="Century Schoolbook" w:eastAsia="Times New Roman" w:hAnsi="Century Schoolbook" w:cs="Times New Roman"/>
          <w:lang w:val="en"/>
        </w:rPr>
        <w:t xml:space="preserve"> because of evidence that the defendant had </w:t>
      </w:r>
      <w:r w:rsidRPr="00FE60BD">
        <w:rPr>
          <w:rFonts w:ascii="Century Schoolbook" w:eastAsia="Times New Roman" w:hAnsi="Century Schoolbook" w:cs="Times New Roman"/>
          <w:lang w:val="en"/>
        </w:rPr>
        <w:lastRenderedPageBreak/>
        <w:t xml:space="preserve">violated private guidelines,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suggests that trial courts might correctly deny a summary judgment motion based solely on evidence that the defendant had violated a private guideline.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therefore weakens the incentive for premises owners to establish clear, concrete safety and cleaning procedures that help to prevent accidents.</w:t>
      </w:r>
    </w:p>
    <w:p w:rsidR="009F3013" w:rsidRPr="00FE60BD" w:rsidRDefault="009F3013"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jc w:val="both"/>
        <w:rPr>
          <w:rFonts w:ascii="Century Schoolbook" w:eastAsia="Times New Roman" w:hAnsi="Century Schoolbook" w:cs="Times New Roman"/>
          <w:lang w:val="en"/>
        </w:rPr>
      </w:pPr>
    </w:p>
    <w:p w:rsidR="00FE60BD" w:rsidRPr="00FE60BD" w:rsidRDefault="00FE60BD" w:rsidP="00FE60BD">
      <w:pPr>
        <w:spacing w:after="0" w:line="240" w:lineRule="auto"/>
        <w:ind w:left="540" w:hanging="540"/>
        <w:jc w:val="both"/>
        <w:rPr>
          <w:rFonts w:ascii="Century Schoolbook" w:eastAsia="Times New Roman" w:hAnsi="Century Schoolbook" w:cs="Times New Roman"/>
          <w:b/>
          <w:lang w:val="en"/>
        </w:rPr>
      </w:pPr>
      <w:r w:rsidRPr="00FE60BD">
        <w:rPr>
          <w:rFonts w:ascii="Century Schoolbook" w:eastAsia="Times New Roman" w:hAnsi="Century Schoolbook" w:cs="Times New Roman"/>
          <w:b/>
          <w:lang w:val="en"/>
        </w:rPr>
        <w:t>III.</w:t>
      </w:r>
      <w:r w:rsidRPr="00FE60BD">
        <w:rPr>
          <w:rFonts w:ascii="Century Schoolbook" w:eastAsia="Times New Roman" w:hAnsi="Century Schoolbook" w:cs="Times New Roman"/>
          <w:b/>
          <w:lang w:val="en"/>
        </w:rPr>
        <w:tab/>
        <w:t>Overcoming the Potential Shift</w:t>
      </w:r>
    </w:p>
    <w:p w:rsidR="00FE60BD" w:rsidRPr="00FE60BD" w:rsidRDefault="00FE60BD" w:rsidP="00FE60BD">
      <w:pPr>
        <w:spacing w:after="0" w:line="240" w:lineRule="auto"/>
        <w:jc w:val="both"/>
        <w:rPr>
          <w:rFonts w:ascii="Century Schoolbook" w:eastAsia="Times New Roman" w:hAnsi="Century Schoolbook" w:cs="Times New Roman"/>
          <w:b/>
          <w:i/>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The Georgia Court of Appeals’ decision in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contravenes the public policy rationale for the traditional rule that a violation of a private guideline does not constitute negligence per se.  The premises owner in </w:t>
      </w:r>
      <w:r w:rsidRPr="00FE60BD">
        <w:rPr>
          <w:rFonts w:ascii="Century Schoolbook" w:eastAsia="Times New Roman" w:hAnsi="Century Schoolbook" w:cs="Times New Roman"/>
          <w:i/>
          <w:lang w:val="en"/>
        </w:rPr>
        <w:t xml:space="preserve">Samuels </w:t>
      </w:r>
      <w:r w:rsidRPr="00FE60BD">
        <w:rPr>
          <w:rFonts w:ascii="Century Schoolbook" w:eastAsia="Times New Roman" w:hAnsi="Century Schoolbook" w:cs="Times New Roman"/>
          <w:lang w:val="en"/>
        </w:rPr>
        <w:t xml:space="preserve">had an internal rule that store managers should inspect the parking lot for trip or slip hazards every thirty to sixty minutes.  The company presumably enacted the rule to deter accidents and injuries.  However, the result of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suggests that the defendant might have fared better in that particular case if the company had not enacted such a rule, or if it instead had a less stringent standard for its employees.  For example, if the company had enacted a rule calling for the manager on duty to inspect the parking lot “periodically” or “at least once per shift,” then the trial court’s summary judgment order might have been affirmed.  Regardless of whether the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plaintiff would have fallen if the premises owner had a rule calling </w:t>
      </w:r>
      <w:r w:rsidRPr="00FE60BD">
        <w:rPr>
          <w:rFonts w:ascii="Century Schoolbook" w:eastAsia="Times New Roman" w:hAnsi="Century Schoolbook" w:cs="Times New Roman"/>
          <w:lang w:val="en"/>
        </w:rPr>
        <w:lastRenderedPageBreak/>
        <w:t xml:space="preserve">for managers to inspect “periodically” as opposed to “at least once every thirty to sixty minutes,” presumably fewer accidents will occur in general when a premises owner follows an established inspection or cleaning schedule.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however, signals that premises owners should think twice before enacting the rigid safety, inspection, and cleaning guidelines that are designed to prevent personal injury events.</w:t>
      </w:r>
    </w:p>
    <w:p w:rsidR="00FE60BD" w:rsidRPr="00FE60BD" w:rsidRDefault="00FE60BD" w:rsidP="00FE60BD">
      <w:pPr>
        <w:spacing w:after="0" w:line="240" w:lineRule="auto"/>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ab/>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For premises liability cases in which the defendant has violated rigid private safety, inspection, or cleaning guidelines, defense counsel can attempt to overcome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in a motion for summary judgment in a variety of ways.</w:t>
      </w:r>
    </w:p>
    <w:p w:rsidR="00FE60BD" w:rsidRPr="00FE60BD" w:rsidRDefault="00FE60BD" w:rsidP="00FE60BD">
      <w:pPr>
        <w:spacing w:after="0" w:line="240" w:lineRule="auto"/>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ab/>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First, the defense can cite and discuss the various cases in which the courts have upheld summary judgment in favor of the defendant despite evidence that the defendant violated private guidelines.  </w:t>
      </w:r>
      <w:r w:rsidRPr="00FE60BD">
        <w:rPr>
          <w:rFonts w:ascii="Century Schoolbook" w:eastAsia="Times New Roman" w:hAnsi="Century Schoolbook" w:cs="Times New Roman"/>
          <w:iCs/>
          <w:lang w:val="en"/>
        </w:rPr>
        <w:t xml:space="preserve">For example, as discussed above, the Georgia Court of Appeals in </w:t>
      </w:r>
      <w:r w:rsidRPr="00FE60BD">
        <w:rPr>
          <w:rFonts w:ascii="Century Schoolbook" w:eastAsia="Times New Roman" w:hAnsi="Century Schoolbook" w:cs="Times New Roman"/>
          <w:i/>
          <w:iCs/>
          <w:lang w:val="en"/>
        </w:rPr>
        <w:t>Wages v. Amisub</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40"/>
      </w:r>
      <w:r w:rsidRPr="00FE60BD">
        <w:rPr>
          <w:rFonts w:ascii="Century Schoolbook" w:eastAsia="Times New Roman" w:hAnsi="Century Schoolbook" w:cs="Times New Roman"/>
          <w:i/>
          <w:iCs/>
          <w:lang w:val="en"/>
        </w:rPr>
        <w:t xml:space="preserve"> Butler v. South Fulton Medical Center</w:t>
      </w:r>
      <w:r w:rsidRPr="00FE60BD">
        <w:rPr>
          <w:rFonts w:ascii="Century Schoolbook" w:eastAsia="Times New Roman" w:hAnsi="Century Schoolbook" w:cs="Times New Roman"/>
          <w:lang w:val="en"/>
        </w:rPr>
        <w:t>,</w:t>
      </w:r>
      <w:r w:rsidRPr="00FE60BD">
        <w:rPr>
          <w:rFonts w:ascii="Century Schoolbook" w:eastAsia="Times New Roman" w:hAnsi="Century Schoolbook" w:cs="Times New Roman"/>
          <w:vertAlign w:val="superscript"/>
          <w:lang w:val="en"/>
        </w:rPr>
        <w:endnoteReference w:id="341"/>
      </w:r>
      <w:r w:rsidRPr="00FE60BD">
        <w:rPr>
          <w:rFonts w:ascii="Century Schoolbook" w:eastAsia="Times New Roman" w:hAnsi="Century Schoolbook" w:cs="Times New Roman"/>
          <w:lang w:val="en"/>
        </w:rPr>
        <w:t xml:space="preserve"> and </w:t>
      </w:r>
      <w:r w:rsidRPr="00FE60BD">
        <w:rPr>
          <w:rFonts w:ascii="Century Schoolbook" w:eastAsia="Times New Roman" w:hAnsi="Century Schoolbook" w:cs="Times New Roman"/>
          <w:i/>
          <w:iCs/>
          <w:lang w:val="en"/>
        </w:rPr>
        <w:t>Schofield v. Hertz Corp.</w:t>
      </w:r>
      <w:r w:rsidRPr="00FE60BD">
        <w:rPr>
          <w:rFonts w:ascii="Century Schoolbook" w:eastAsia="Times New Roman" w:hAnsi="Century Schoolbook" w:cs="Times New Roman"/>
          <w:iCs/>
          <w:vertAlign w:val="superscript"/>
          <w:lang w:val="en"/>
        </w:rPr>
        <w:endnoteReference w:id="342"/>
      </w:r>
      <w:r w:rsidRPr="00FE60BD">
        <w:rPr>
          <w:rFonts w:ascii="Century Schoolbook" w:eastAsia="Times New Roman" w:hAnsi="Century Schoolbook" w:cs="Times New Roman"/>
          <w:lang w:val="en"/>
        </w:rPr>
        <w:t xml:space="preserve"> affirmed summary judgment for the defendants despite evidence that the defendants had violated private guidelines.  Along the same lines, the defendant can reference the extensive case law (such as </w:t>
      </w:r>
      <w:r w:rsidRPr="00FE60BD">
        <w:rPr>
          <w:rFonts w:ascii="Century Schoolbook" w:eastAsia="Times New Roman" w:hAnsi="Century Schoolbook" w:cs="Times New Roman"/>
          <w:i/>
          <w:iCs/>
          <w:lang w:val="en"/>
        </w:rPr>
        <w:t>Spearman v. Georgia Building Authority</w:t>
      </w:r>
      <w:r w:rsidRPr="00FE60BD">
        <w:rPr>
          <w:rFonts w:ascii="Century Schoolbook" w:eastAsia="Times New Roman" w:hAnsi="Century Schoolbook" w:cs="Times New Roman"/>
          <w:vertAlign w:val="superscript"/>
          <w:lang w:val="en"/>
        </w:rPr>
        <w:endnoteReference w:id="343"/>
      </w:r>
      <w:r w:rsidRPr="00FE60BD">
        <w:rPr>
          <w:rFonts w:ascii="Century Schoolbook" w:eastAsia="Times New Roman" w:hAnsi="Century Schoolbook" w:cs="Times New Roman"/>
          <w:lang w:val="en"/>
        </w:rPr>
        <w:t xml:space="preserve"> and </w:t>
      </w:r>
      <w:r w:rsidRPr="00FE60BD">
        <w:rPr>
          <w:rFonts w:ascii="Century Schoolbook" w:eastAsia="Times New Roman" w:hAnsi="Century Schoolbook" w:cs="Times New Roman"/>
          <w:i/>
          <w:iCs/>
          <w:lang w:val="en"/>
        </w:rPr>
        <w:t>Luckie v. Piggly-Wiggly Southern, Inc.</w:t>
      </w:r>
      <w:r w:rsidRPr="00FE60BD">
        <w:rPr>
          <w:rFonts w:ascii="Century Schoolbook" w:eastAsia="Times New Roman" w:hAnsi="Century Schoolbook" w:cs="Times New Roman"/>
          <w:iCs/>
          <w:vertAlign w:val="superscript"/>
          <w:lang w:val="en"/>
        </w:rPr>
        <w:endnoteReference w:id="344"/>
      </w:r>
      <w:r w:rsidRPr="00FE60BD">
        <w:rPr>
          <w:rFonts w:ascii="Century Schoolbook" w:eastAsia="Times New Roman" w:hAnsi="Century Schoolbook" w:cs="Times New Roman"/>
          <w:lang w:val="en"/>
        </w:rPr>
        <w:t xml:space="preserve">) in which the courts have held that violation of a private guideline, by itself, does not </w:t>
      </w:r>
      <w:r w:rsidRPr="00FE60BD">
        <w:rPr>
          <w:rFonts w:ascii="Century Schoolbook" w:eastAsia="Times New Roman" w:hAnsi="Century Schoolbook" w:cs="Times New Roman"/>
          <w:lang w:val="en"/>
        </w:rPr>
        <w:lastRenderedPageBreak/>
        <w:t xml:space="preserve">constitute negligence per se.  If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disallows summary judgment in every case in which the plaintiff claims the defendant’s staff could have discovered a hazard as part of a reasonable inspection, then the case has in effect overruled decades of Georgia law.  The court of appeals could not have intended to overrule that much established jurisprudence.</w:t>
      </w:r>
    </w:p>
    <w:p w:rsidR="00FE60BD" w:rsidRPr="00FE60BD" w:rsidRDefault="00FE60BD" w:rsidP="00FE60BD">
      <w:pPr>
        <w:spacing w:after="0" w:line="240" w:lineRule="auto"/>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ab/>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Second, defense counsel can emphasize the public policy reasons for the traditional rule that violation of a private guideline does not constitute negligence per se and does not inherently suffice to defeat summary judgment.  That is, the General Assembly could not have intended to discourage private entities from making rules and guidelines that deter accidents.  The courts should therefore also refuse to deter premises owners from creating strong internal safety rules.</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Third, the defense should distinguish the facts of </w:t>
      </w:r>
      <w:r w:rsidRPr="00FE60BD">
        <w:rPr>
          <w:rFonts w:ascii="Century Schoolbook" w:eastAsia="Times New Roman" w:hAnsi="Century Schoolbook" w:cs="Times New Roman"/>
          <w:i/>
          <w:lang w:val="en"/>
        </w:rPr>
        <w:t xml:space="preserve">Samuels </w:t>
      </w:r>
      <w:r w:rsidRPr="00FE60BD">
        <w:rPr>
          <w:rFonts w:ascii="Century Schoolbook" w:eastAsia="Times New Roman" w:hAnsi="Century Schoolbook" w:cs="Times New Roman"/>
          <w:lang w:val="en"/>
        </w:rPr>
        <w:t xml:space="preserve">as much as possible.  The defendant’s manager in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failed to inspect the parking for seven hours despite the private guidelines calling for him to inspect every half-hour to hour.  Many other premises liability cases do not involve as egregious a violation of private guidelines.  The defendant can argue that a comparatively minor violation of a private guideline cannot substitute for the plaintiff’s failure to make a prima facie showing that the defendant’s alleged acts or omissions proximately caused the plaintiff’s </w:t>
      </w:r>
      <w:r w:rsidRPr="00FE60BD">
        <w:rPr>
          <w:rFonts w:ascii="Century Schoolbook" w:eastAsia="Times New Roman" w:hAnsi="Century Schoolbook" w:cs="Times New Roman"/>
          <w:lang w:val="en"/>
        </w:rPr>
        <w:lastRenderedPageBreak/>
        <w:t>damages.  The defendant also can argue that the defendant’s inspection procedure is not the only sufficiently reasonable procedure that exists, and that the inspection efforts of the defendant on the specific occasion were sufficient to satisfy the requirement of making a reasonable inspection.</w:t>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Fourth, at least as a contingency plan, the defendant can raise questions about the plaintiff’s actions and comparative fault if the plaintiff claims that inspections would have uncovered the condition.  In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the plaintiff argued that the defendant’s manager would have discovered and removed the stick that the plaintiff tripped on if the manager had simply followed the store’s internal rules regarding the frequency of parking lot inspections.  The court of appeals cited this fact as significant in its decision for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If a plaintiff in another case takes up a similar argument, the defense can turn the plaintiff’s argument against the plaintiff.  If the defendant’s employees could have easily discovered the alleged hazard, then why did the plaintiff not see and avoid the hazard?  After all, a </w:t>
      </w:r>
      <w:r w:rsidRPr="00FE60BD">
        <w:rPr>
          <w:rFonts w:ascii="Century Schoolbook" w:eastAsia="Times New Roman" w:hAnsi="Century Schoolbook" w:cs="Times New Roman"/>
        </w:rPr>
        <w:t>plaintiff cannot recover on a premises liability claim without showing that she exercised ordinary care for her own safety.</w:t>
      </w:r>
      <w:r w:rsidRPr="00FE60BD">
        <w:rPr>
          <w:rFonts w:ascii="Century Schoolbook" w:eastAsia="Times New Roman" w:hAnsi="Century Schoolbook" w:cs="Times New Roman"/>
          <w:vertAlign w:val="superscript"/>
        </w:rPr>
        <w:endnoteReference w:id="345"/>
      </w:r>
      <w:r w:rsidRPr="00FE60BD">
        <w:rPr>
          <w:rFonts w:ascii="Century Schoolbook" w:eastAsia="Times New Roman" w:hAnsi="Century Schoolbook" w:cs="Times New Roman"/>
        </w:rPr>
        <w:t xml:space="preserve">  Even if the plaintiff survives summary judgment, the defendant can continue to argue comparative fault to a jury to diminish the plaintiff’s ultimate recovery based on the percentage of fault which the jury </w:t>
      </w:r>
      <w:r w:rsidRPr="00FE60BD">
        <w:rPr>
          <w:rFonts w:ascii="Century Schoolbook" w:eastAsia="Times New Roman" w:hAnsi="Century Schoolbook" w:cs="Times New Roman"/>
        </w:rPr>
        <w:lastRenderedPageBreak/>
        <w:t>assigns to the plaintiff.  Of course, if the jury assigns fifty percent or more fault to the plaintiff, then the plaintiff cannot recover at all.</w:t>
      </w:r>
      <w:r w:rsidRPr="00FE60BD">
        <w:rPr>
          <w:rFonts w:ascii="Century Schoolbook" w:eastAsia="Times New Roman" w:hAnsi="Century Schoolbook" w:cs="Times New Roman"/>
          <w:vertAlign w:val="superscript"/>
        </w:rPr>
        <w:endnoteReference w:id="346"/>
      </w:r>
    </w:p>
    <w:p w:rsidR="00FE60BD" w:rsidRPr="00FE60BD" w:rsidRDefault="00FE60BD" w:rsidP="00FE60BD">
      <w:pPr>
        <w:spacing w:after="0" w:line="240" w:lineRule="auto"/>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ab/>
      </w:r>
    </w:p>
    <w:p w:rsidR="00FE60BD" w:rsidRPr="00FE60BD" w:rsidRDefault="00FE60BD" w:rsidP="00FE60BD">
      <w:pPr>
        <w:spacing w:after="0" w:line="240" w:lineRule="auto"/>
        <w:ind w:firstLine="360"/>
        <w:jc w:val="both"/>
        <w:rPr>
          <w:rFonts w:ascii="Century Schoolbook" w:eastAsia="Times New Roman" w:hAnsi="Century Schoolbook" w:cs="Times New Roman"/>
          <w:lang w:val="en"/>
        </w:rPr>
      </w:pPr>
      <w:r w:rsidRPr="00FE60BD">
        <w:rPr>
          <w:rFonts w:ascii="Century Schoolbook" w:eastAsia="Times New Roman" w:hAnsi="Century Schoolbook" w:cs="Times New Roman"/>
          <w:lang w:val="en"/>
        </w:rPr>
        <w:t xml:space="preserve">We can hope that the Georgia Court of Appeals’ decision in </w:t>
      </w:r>
      <w:r w:rsidRPr="00FE60BD">
        <w:rPr>
          <w:rFonts w:ascii="Century Schoolbook" w:eastAsia="Times New Roman" w:hAnsi="Century Schoolbook" w:cs="Times New Roman"/>
          <w:i/>
          <w:lang w:val="en"/>
        </w:rPr>
        <w:t>Samuels</w:t>
      </w:r>
      <w:r w:rsidRPr="00FE60BD">
        <w:rPr>
          <w:rFonts w:ascii="Century Schoolbook" w:eastAsia="Times New Roman" w:hAnsi="Century Schoolbook" w:cs="Times New Roman"/>
          <w:lang w:val="en"/>
        </w:rPr>
        <w:t xml:space="preserve"> does not erode defendants’ chances for summary judgment in cases in which the defendant violated a private guideline.  In the meantime, defense counsel should work to alleviate the case’s impact by following the above suggestions.</w:t>
      </w:r>
    </w:p>
    <w:p w:rsidR="00AB16BD" w:rsidRDefault="00AB16BD" w:rsidP="005C3E72">
      <w:pPr>
        <w:tabs>
          <w:tab w:val="left" w:pos="540"/>
        </w:tabs>
        <w:spacing w:after="0"/>
        <w:rPr>
          <w:rFonts w:ascii="Century Schoolbook" w:eastAsia="Times New Roman" w:hAnsi="Century Schoolbook" w:cs="Times New Roman"/>
          <w:sz w:val="19"/>
          <w:szCs w:val="19"/>
        </w:rPr>
      </w:pPr>
    </w:p>
    <w:p w:rsidR="00044ECB" w:rsidRDefault="00044ECB" w:rsidP="00044ECB">
      <w:pPr>
        <w:tabs>
          <w:tab w:val="left" w:pos="540"/>
        </w:tabs>
        <w:spacing w:after="0"/>
        <w:jc w:val="center"/>
        <w:rPr>
          <w:rFonts w:ascii="Century Schoolbook" w:eastAsia="Times New Roman" w:hAnsi="Century Schoolbook" w:cs="Times New Roman"/>
          <w:b/>
          <w:u w:val="single"/>
        </w:rPr>
      </w:pPr>
      <w:r w:rsidRPr="00044ECB">
        <w:rPr>
          <w:rFonts w:ascii="Century Schoolbook" w:eastAsia="Times New Roman" w:hAnsi="Century Schoolbook" w:cs="Times New Roman"/>
          <w:b/>
          <w:u w:val="single"/>
        </w:rPr>
        <w:t>End Notes</w:t>
      </w:r>
    </w:p>
    <w:p w:rsidR="00044ECB" w:rsidRDefault="00044ECB" w:rsidP="00044ECB">
      <w:pPr>
        <w:tabs>
          <w:tab w:val="left" w:pos="540"/>
        </w:tabs>
        <w:spacing w:after="0"/>
        <w:jc w:val="center"/>
        <w:rPr>
          <w:rFonts w:ascii="Century Schoolbook" w:eastAsia="Times New Roman" w:hAnsi="Century Schoolbook" w:cs="Times New Roman"/>
          <w:b/>
          <w:u w:val="single"/>
        </w:rPr>
      </w:pPr>
    </w:p>
    <w:p w:rsidR="00044ECB" w:rsidRPr="00044ECB" w:rsidRDefault="00044ECB" w:rsidP="00044ECB">
      <w:pPr>
        <w:tabs>
          <w:tab w:val="left" w:pos="540"/>
        </w:tabs>
        <w:spacing w:after="0"/>
        <w:jc w:val="center"/>
        <w:rPr>
          <w:rFonts w:ascii="Century Schoolbook" w:eastAsia="Times New Roman" w:hAnsi="Century Schoolbook" w:cs="Times New Roman"/>
          <w:b/>
          <w:u w:val="single"/>
        </w:rPr>
        <w:sectPr w:rsidR="00044ECB" w:rsidRPr="00044ECB" w:rsidSect="009F3013">
          <w:endnotePr>
            <w:numFmt w:val="decimal"/>
            <w:numRestart w:val="eachSect"/>
          </w:endnotePr>
          <w:type w:val="continuous"/>
          <w:pgSz w:w="12240" w:h="15840"/>
          <w:pgMar w:top="2520" w:right="1800" w:bottom="1440" w:left="1800" w:header="720" w:footer="720" w:gutter="0"/>
          <w:cols w:num="2" w:space="720"/>
          <w:docGrid w:linePitch="360"/>
        </w:sectPr>
      </w:pPr>
    </w:p>
    <w:p w:rsidR="00AB16BD" w:rsidRPr="00BA506A" w:rsidRDefault="00AB16BD" w:rsidP="00AB16BD">
      <w:pPr>
        <w:pStyle w:val="GDLA"/>
        <w:outlineLvl w:val="0"/>
      </w:pPr>
      <w:bookmarkStart w:id="21" w:name="_Toc356227238"/>
      <w:r w:rsidRPr="00BA506A">
        <w:lastRenderedPageBreak/>
        <w:t xml:space="preserve">Insurance </w:t>
      </w:r>
      <w:r w:rsidRPr="008F2B2C">
        <w:t>Coverage</w:t>
      </w:r>
      <w:r w:rsidRPr="00BA506A">
        <w:t xml:space="preserve"> Update</w:t>
      </w:r>
      <w:bookmarkEnd w:id="21"/>
    </w:p>
    <w:p w:rsidR="00AB16BD" w:rsidRPr="00BA506A" w:rsidRDefault="00AB16BD" w:rsidP="00AB16BD">
      <w:pPr>
        <w:tabs>
          <w:tab w:val="left" w:pos="540"/>
        </w:tabs>
        <w:spacing w:after="0"/>
        <w:jc w:val="center"/>
        <w:rPr>
          <w:rFonts w:ascii="Century Schoolbook" w:eastAsia="Times New Roman" w:hAnsi="Century Schoolbook" w:cs="Times New Roman"/>
          <w:b/>
          <w:bCs/>
          <w:sz w:val="24"/>
          <w:szCs w:val="24"/>
        </w:rPr>
      </w:pPr>
    </w:p>
    <w:p w:rsidR="00AB16BD" w:rsidRDefault="00AB16BD" w:rsidP="00AB16BD">
      <w:pPr>
        <w:pStyle w:val="Author"/>
        <w:outlineLvl w:val="1"/>
      </w:pPr>
      <w:bookmarkStart w:id="22" w:name="_Toc356227239"/>
      <w:r w:rsidRPr="00BA506A">
        <w:t>By Edward R. “Ed” Stabell, III and Britton G. White</w:t>
      </w:r>
      <w:bookmarkEnd w:id="22"/>
    </w:p>
    <w:p w:rsidR="00AB16BD" w:rsidRDefault="00AB16BD" w:rsidP="00AB16BD">
      <w:pPr>
        <w:pStyle w:val="Author"/>
        <w:outlineLvl w:val="1"/>
      </w:pPr>
    </w:p>
    <w:p w:rsidR="00AB16BD" w:rsidRDefault="00AB16BD" w:rsidP="00AB16BD">
      <w:pPr>
        <w:pStyle w:val="Author"/>
      </w:pPr>
    </w:p>
    <w:p w:rsidR="00AB16BD" w:rsidRDefault="00AB16BD" w:rsidP="00AB16BD">
      <w:pPr>
        <w:pStyle w:val="Author"/>
        <w:sectPr w:rsidR="00AB16BD" w:rsidSect="00AB16BD">
          <w:footerReference w:type="even" r:id="rId46"/>
          <w:endnotePr>
            <w:numFmt w:val="decimal"/>
            <w:numRestart w:val="eachSect"/>
          </w:endnotePr>
          <w:pgSz w:w="12240" w:h="15840"/>
          <w:pgMar w:top="2520" w:right="1800" w:bottom="1440" w:left="1800" w:header="720" w:footer="720" w:gutter="0"/>
          <w:cols w:space="720"/>
          <w:docGrid w:linePitch="360"/>
        </w:sectPr>
      </w:pPr>
    </w:p>
    <w:p w:rsidR="00AB16BD" w:rsidRDefault="00092EA6" w:rsidP="003A4EF4">
      <w:pPr>
        <w:pBdr>
          <w:top w:val="single" w:sz="4" w:space="1" w:color="auto"/>
          <w:left w:val="single" w:sz="4" w:space="4" w:color="auto"/>
          <w:bottom w:val="single" w:sz="4" w:space="1" w:color="auto"/>
          <w:right w:val="single" w:sz="4" w:space="4" w:color="auto"/>
        </w:pBdr>
        <w:shd w:val="clear" w:color="auto" w:fill="81BAC5"/>
        <w:tabs>
          <w:tab w:val="left" w:pos="540"/>
        </w:tabs>
        <w:spacing w:after="0" w:line="20" w:lineRule="atLeast"/>
        <w:jc w:val="both"/>
        <w:rPr>
          <w:rFonts w:ascii="Century Schoolbook" w:eastAsia="Times New Roman" w:hAnsi="Century Schoolbook" w:cs="Times New Roman"/>
        </w:rPr>
      </w:pPr>
      <w:r w:rsidRPr="003A4EF4">
        <w:rPr>
          <w:b/>
          <w:noProof/>
        </w:rPr>
        <w:drawing>
          <wp:anchor distT="0" distB="0" distL="114300" distR="114300" simplePos="0" relativeHeight="251668480" behindDoc="0" locked="0" layoutInCell="1" allowOverlap="1" wp14:anchorId="27A1C615" wp14:editId="0438E528">
            <wp:simplePos x="0" y="0"/>
            <wp:positionH relativeFrom="margin">
              <wp:posOffset>-47625</wp:posOffset>
            </wp:positionH>
            <wp:positionV relativeFrom="margin">
              <wp:posOffset>1619250</wp:posOffset>
            </wp:positionV>
            <wp:extent cx="933450" cy="1189355"/>
            <wp:effectExtent l="76200" t="76200" r="133350" b="125095"/>
            <wp:wrapSquare wrapText="bothSides"/>
            <wp:docPr id="2" name="Picture 2" descr="C:\Users\AR\AppData\Local\Microsoft\Windows\Temporary Internet Files\Content.Word\Edward-Sta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ppData\Local\Microsoft\Windows\Temporary Internet Files\Content.Word\Edward-Stabell.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7477" t="4348" r="7477" b="13043"/>
                    <a:stretch/>
                  </pic:blipFill>
                  <pic:spPr bwMode="auto">
                    <a:xfrm>
                      <a:off x="0" y="0"/>
                      <a:ext cx="933450" cy="118935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6BD" w:rsidRPr="003A4EF4">
        <w:rPr>
          <w:rFonts w:ascii="Century Schoolbook" w:eastAsia="Times New Roman" w:hAnsi="Century Schoolbook" w:cs="Times New Roman"/>
          <w:b/>
        </w:rPr>
        <w:t>Edward R. Stabell, III</w:t>
      </w:r>
      <w:r w:rsidR="00AB16BD" w:rsidRPr="00D40664">
        <w:rPr>
          <w:rFonts w:ascii="Century Schoolbook" w:eastAsia="Times New Roman" w:hAnsi="Century Schoolbook" w:cs="Times New Roman"/>
        </w:rPr>
        <w:t xml:space="preserve"> is a partner with Brennan, Harris &amp; Rominger LLP in Savannah. For the past twenty years, he has represented clients throughout the State of Georgia in the areas of insurance defense, </w:t>
      </w:r>
      <w:r w:rsidR="00875BEC" w:rsidRPr="00D40664">
        <w:rPr>
          <w:rFonts w:ascii="Century Schoolbook" w:eastAsia="Times New Roman" w:hAnsi="Century Schoolbook" w:cs="Times New Roman"/>
        </w:rPr>
        <w:t xml:space="preserve">professional malpractice, </w:t>
      </w:r>
      <w:r w:rsidR="00514DB5" w:rsidRPr="00D40664">
        <w:rPr>
          <w:rFonts w:ascii="Century Schoolbook" w:eastAsia="Times New Roman" w:hAnsi="Century Schoolbook" w:cs="Times New Roman"/>
        </w:rPr>
        <w:t xml:space="preserve">bad faith, </w:t>
      </w:r>
      <w:r w:rsidR="00875BEC" w:rsidRPr="00D40664">
        <w:rPr>
          <w:rFonts w:ascii="Century Schoolbook" w:eastAsia="Times New Roman" w:hAnsi="Century Schoolbook" w:cs="Times New Roman"/>
        </w:rPr>
        <w:t>construction, coverage</w:t>
      </w:r>
      <w:r w:rsidR="00875BEC">
        <w:rPr>
          <w:rFonts w:ascii="Century Schoolbook" w:eastAsia="Times New Roman" w:hAnsi="Century Schoolbook" w:cs="Times New Roman"/>
        </w:rPr>
        <w:t>,</w:t>
      </w:r>
      <w:r w:rsidR="00875BEC" w:rsidRPr="00D40664">
        <w:rPr>
          <w:rFonts w:ascii="Century Schoolbook" w:eastAsia="Times New Roman" w:hAnsi="Century Schoolbook" w:cs="Times New Roman"/>
        </w:rPr>
        <w:t xml:space="preserve"> </w:t>
      </w:r>
      <w:r w:rsidR="00AB16BD" w:rsidRPr="00D40664">
        <w:rPr>
          <w:rFonts w:ascii="Century Schoolbook" w:eastAsia="Times New Roman" w:hAnsi="Century Schoolbook" w:cs="Times New Roman"/>
        </w:rPr>
        <w:t xml:space="preserve">transportation, and complex commercial and bankruptcy litigation. He is a graduate of the Walter F. Georgia School of Law, Mercer University, where he was a Member of the </w:t>
      </w:r>
      <w:r w:rsidR="00AB16BD" w:rsidRPr="00875BEC">
        <w:rPr>
          <w:rFonts w:ascii="Century Schoolbook" w:eastAsia="Times New Roman" w:hAnsi="Century Schoolbook" w:cs="Times New Roman"/>
          <w:i/>
        </w:rPr>
        <w:t>Mercer Law Review</w:t>
      </w:r>
      <w:r w:rsidR="00AB16BD" w:rsidRPr="00D40664">
        <w:rPr>
          <w:rFonts w:ascii="Century Schoolbook" w:eastAsia="Times New Roman" w:hAnsi="Century Schoolbook" w:cs="Times New Roman"/>
        </w:rPr>
        <w:t xml:space="preserve">. </w:t>
      </w:r>
      <w:r w:rsidR="00514DB5">
        <w:rPr>
          <w:rFonts w:ascii="Century Schoolbook" w:eastAsia="Times New Roman" w:hAnsi="Century Schoolbook" w:cs="Times New Roman"/>
        </w:rPr>
        <w:t xml:space="preserve"> </w:t>
      </w:r>
    </w:p>
    <w:p w:rsidR="00AB16BD" w:rsidRPr="00D40664" w:rsidRDefault="00AB16BD" w:rsidP="003A4EF4">
      <w:pPr>
        <w:pBdr>
          <w:top w:val="single" w:sz="4" w:space="1" w:color="auto"/>
          <w:left w:val="single" w:sz="4" w:space="4" w:color="auto"/>
          <w:bottom w:val="single" w:sz="4" w:space="1" w:color="auto"/>
          <w:right w:val="single" w:sz="4" w:space="4" w:color="auto"/>
        </w:pBdr>
        <w:shd w:val="clear" w:color="auto" w:fill="81BAC5"/>
        <w:tabs>
          <w:tab w:val="left" w:pos="540"/>
        </w:tabs>
        <w:spacing w:after="0" w:line="20" w:lineRule="atLeast"/>
        <w:jc w:val="both"/>
        <w:rPr>
          <w:rFonts w:ascii="Century Schoolbook" w:eastAsia="Times New Roman" w:hAnsi="Century Schoolbook" w:cs="Times New Roman"/>
        </w:rPr>
      </w:pPr>
    </w:p>
    <w:p w:rsidR="00AB16BD" w:rsidRPr="00BA506A" w:rsidRDefault="00AB16BD" w:rsidP="00AB16BD">
      <w:pPr>
        <w:tabs>
          <w:tab w:val="left" w:pos="540"/>
        </w:tabs>
        <w:spacing w:after="0" w:line="20" w:lineRule="atLeast"/>
        <w:jc w:val="both"/>
        <w:rPr>
          <w:rFonts w:ascii="Century Schoolbook" w:eastAsia="Times New Roman" w:hAnsi="Century Schoolbook" w:cs="Times New Roman"/>
        </w:rPr>
      </w:pPr>
    </w:p>
    <w:p w:rsidR="00AB16BD" w:rsidRPr="003A4EF4" w:rsidRDefault="00875BEC" w:rsidP="003A4EF4">
      <w:pPr>
        <w:pBdr>
          <w:top w:val="single" w:sz="4" w:space="1" w:color="auto"/>
          <w:left w:val="single" w:sz="4" w:space="4" w:color="auto"/>
          <w:bottom w:val="single" w:sz="4" w:space="1" w:color="auto"/>
          <w:right w:val="single" w:sz="4" w:space="4" w:color="auto"/>
        </w:pBdr>
        <w:shd w:val="clear" w:color="auto" w:fill="81BAC5"/>
        <w:tabs>
          <w:tab w:val="left" w:pos="540"/>
        </w:tabs>
        <w:spacing w:after="0" w:line="20" w:lineRule="atLeast"/>
        <w:jc w:val="both"/>
        <w:rPr>
          <w:rFonts w:ascii="Century Schoolbook" w:eastAsia="Times New Roman" w:hAnsi="Century Schoolbook" w:cs="Times New Roman"/>
        </w:rPr>
      </w:pPr>
      <w:r w:rsidRPr="003A4EF4">
        <w:rPr>
          <w:b/>
          <w:noProof/>
        </w:rPr>
        <w:drawing>
          <wp:anchor distT="0" distB="0" distL="114300" distR="114300" simplePos="0" relativeHeight="251669504" behindDoc="0" locked="0" layoutInCell="1" allowOverlap="1" wp14:anchorId="15BBD4A0" wp14:editId="61D8AE3A">
            <wp:simplePos x="0" y="0"/>
            <wp:positionH relativeFrom="margin">
              <wp:posOffset>-48260</wp:posOffset>
            </wp:positionH>
            <wp:positionV relativeFrom="margin">
              <wp:posOffset>4867275</wp:posOffset>
            </wp:positionV>
            <wp:extent cx="885825" cy="1272540"/>
            <wp:effectExtent l="76200" t="76200" r="142875" b="137160"/>
            <wp:wrapSquare wrapText="bothSides"/>
            <wp:docPr id="3" name="Picture 3" descr="C:\Users\AR\AppData\Local\Microsoft\Windows\Temporary Internet Files\Content.Word\Britt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ppData\Local\Microsoft\Windows\Temporary Internet Files\Content.Word\Britton-White.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855" r="8602" b="8621"/>
                    <a:stretch/>
                  </pic:blipFill>
                  <pic:spPr bwMode="auto">
                    <a:xfrm>
                      <a:off x="0" y="0"/>
                      <a:ext cx="885825" cy="127254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6BD" w:rsidRPr="003A4EF4">
        <w:rPr>
          <w:rFonts w:ascii="Century Schoolbook" w:eastAsia="Times New Roman" w:hAnsi="Century Schoolbook" w:cs="Times New Roman"/>
          <w:b/>
        </w:rPr>
        <w:t>Britton G. White</w:t>
      </w:r>
      <w:r w:rsidR="00AB16BD" w:rsidRPr="003A4EF4">
        <w:rPr>
          <w:rFonts w:ascii="Century Schoolbook" w:eastAsia="Times New Roman" w:hAnsi="Century Schoolbook" w:cs="Times New Roman"/>
        </w:rPr>
        <w:t xml:space="preserve"> is an associate at Brennan, Harris &amp; Rominger, LLP in Savannah.  He is a graduate of the University of Ge</w:t>
      </w:r>
      <w:r w:rsidR="003A4EF4" w:rsidRPr="003A4EF4">
        <w:rPr>
          <w:rFonts w:ascii="Century Schoolbook" w:eastAsia="Times New Roman" w:hAnsi="Century Schoolbook" w:cs="Times New Roman"/>
        </w:rPr>
        <w:t xml:space="preserve">orgia School of Law.  Mr. White </w:t>
      </w:r>
      <w:r w:rsidR="00AB16BD" w:rsidRPr="003A4EF4">
        <w:rPr>
          <w:rFonts w:ascii="Century Schoolbook" w:eastAsia="Times New Roman" w:hAnsi="Century Schoolbook" w:cs="Times New Roman"/>
        </w:rPr>
        <w:t>practice</w:t>
      </w:r>
      <w:r w:rsidR="003A4EF4" w:rsidRPr="003A4EF4">
        <w:rPr>
          <w:rFonts w:ascii="Century Schoolbook" w:eastAsia="Times New Roman" w:hAnsi="Century Schoolbook" w:cs="Times New Roman"/>
        </w:rPr>
        <w:t xml:space="preserve">s </w:t>
      </w:r>
      <w:r w:rsidR="00AB16BD" w:rsidRPr="003A4EF4">
        <w:rPr>
          <w:rFonts w:ascii="Century Schoolbook" w:eastAsia="Times New Roman" w:hAnsi="Century Schoolbook" w:cs="Times New Roman"/>
        </w:rPr>
        <w:t>primarily in the areas of insurance defense and civil l</w:t>
      </w:r>
      <w:r w:rsidR="00092EA6" w:rsidRPr="003A4EF4">
        <w:rPr>
          <w:rFonts w:ascii="Century Schoolbook" w:eastAsia="Times New Roman" w:hAnsi="Century Schoolbook" w:cs="Times New Roman"/>
        </w:rPr>
        <w:t>i</w:t>
      </w:r>
      <w:r w:rsidR="00AB16BD" w:rsidRPr="003A4EF4">
        <w:rPr>
          <w:rFonts w:ascii="Century Schoolbook" w:eastAsia="Times New Roman" w:hAnsi="Century Schoolbook" w:cs="Times New Roman"/>
        </w:rPr>
        <w:t xml:space="preserve">tigation. </w:t>
      </w:r>
    </w:p>
    <w:p w:rsidR="00AB16BD" w:rsidRDefault="00AB16BD" w:rsidP="00AB16BD">
      <w:pPr>
        <w:tabs>
          <w:tab w:val="left" w:pos="540"/>
        </w:tabs>
        <w:spacing w:after="0" w:line="20" w:lineRule="atLeast"/>
        <w:jc w:val="both"/>
        <w:rPr>
          <w:rFonts w:ascii="Century Schoolbook" w:eastAsia="Times New Roman" w:hAnsi="Century Schoolbook" w:cs="Times New Roman"/>
          <w:bCs/>
        </w:rPr>
      </w:pPr>
    </w:p>
    <w:p w:rsidR="00AB16BD" w:rsidRDefault="00AB16BD" w:rsidP="00AB16BD">
      <w:pPr>
        <w:tabs>
          <w:tab w:val="left" w:pos="540"/>
        </w:tabs>
        <w:spacing w:after="0" w:line="20" w:lineRule="atLeast"/>
        <w:jc w:val="both"/>
        <w:rPr>
          <w:rFonts w:ascii="Century Schoolbook" w:eastAsia="Times New Roman" w:hAnsi="Century Schoolbook" w:cs="Times New Roman"/>
          <w:bCs/>
        </w:rPr>
      </w:pPr>
    </w:p>
    <w:p w:rsidR="002607FA" w:rsidRPr="00BA506A" w:rsidRDefault="002607FA" w:rsidP="00AB16BD">
      <w:pPr>
        <w:tabs>
          <w:tab w:val="left" w:pos="540"/>
        </w:tabs>
        <w:spacing w:after="0" w:line="20" w:lineRule="atLeast"/>
        <w:jc w:val="both"/>
        <w:rPr>
          <w:rFonts w:ascii="Century Schoolbook" w:eastAsia="Times New Roman" w:hAnsi="Century Schoolbook" w:cs="Times New Roman"/>
          <w:bCs/>
        </w:rPr>
      </w:pPr>
    </w:p>
    <w:p w:rsidR="00AB16BD" w:rsidRPr="00BA506A" w:rsidRDefault="00AB16BD" w:rsidP="00AB16BD">
      <w:pPr>
        <w:tabs>
          <w:tab w:val="left" w:pos="540"/>
        </w:tabs>
        <w:spacing w:after="0" w:line="20" w:lineRule="atLeast"/>
        <w:jc w:val="center"/>
        <w:rPr>
          <w:rFonts w:ascii="Century Schoolbook" w:eastAsia="Times New Roman" w:hAnsi="Century Schoolbook" w:cs="Times New Roman"/>
          <w:b/>
          <w:bCs/>
        </w:rPr>
      </w:pPr>
      <w:r w:rsidRPr="00BA506A">
        <w:rPr>
          <w:rFonts w:ascii="Century Schoolbook" w:eastAsia="Times New Roman" w:hAnsi="Century Schoolbook" w:cs="Times New Roman"/>
          <w:b/>
          <w:bCs/>
        </w:rPr>
        <w:lastRenderedPageBreak/>
        <w:t>Introduction</w:t>
      </w:r>
    </w:p>
    <w:p w:rsidR="00AB16BD" w:rsidRPr="00BA506A" w:rsidRDefault="00AB16BD" w:rsidP="00AB16BD">
      <w:pPr>
        <w:tabs>
          <w:tab w:val="left" w:pos="540"/>
        </w:tabs>
        <w:spacing w:after="0" w:line="20" w:lineRule="atLeast"/>
        <w:jc w:val="both"/>
        <w:rPr>
          <w:rFonts w:ascii="Century Schoolbook" w:eastAsia="Times New Roman" w:hAnsi="Century Schoolbook" w:cs="Times New Roman"/>
        </w:rPr>
      </w:pPr>
    </w:p>
    <w:p w:rsidR="00AB16BD" w:rsidRDefault="00AB16BD" w:rsidP="00AB16BD">
      <w:pPr>
        <w:tabs>
          <w:tab w:val="left" w:pos="540"/>
        </w:tabs>
        <w:spacing w:after="0" w:line="20" w:lineRule="atLeast"/>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There have been several important decisions in 2012 and early 2013 from the appellate courts in Georgia regarding insurance coverage.  This article will explore and discuss those cases, as well as focus on what appears to be the most pressing issues affecting insurance coverage: interpretation of certain provisions of commercial general liability insurance policies in the context of construction and other litigation.  </w:t>
      </w:r>
    </w:p>
    <w:p w:rsidR="003A4EF4" w:rsidRPr="00BA506A" w:rsidRDefault="003A4EF4" w:rsidP="00AB16BD">
      <w:pPr>
        <w:tabs>
          <w:tab w:val="left" w:pos="540"/>
        </w:tabs>
        <w:spacing w:after="0" w:line="20" w:lineRule="atLeast"/>
        <w:ind w:firstLine="360"/>
        <w:jc w:val="both"/>
        <w:rPr>
          <w:rFonts w:ascii="Century Schoolbook" w:eastAsia="Times New Roman" w:hAnsi="Century Schoolbook" w:cs="Times New Roman"/>
        </w:rPr>
      </w:pPr>
    </w:p>
    <w:p w:rsidR="00AB16BD" w:rsidRPr="00BA506A" w:rsidRDefault="00AB16BD" w:rsidP="00AB16BD">
      <w:pPr>
        <w:tabs>
          <w:tab w:val="left" w:pos="540"/>
        </w:tabs>
        <w:spacing w:after="0" w:line="20" w:lineRule="atLeast"/>
        <w:jc w:val="both"/>
        <w:rPr>
          <w:rFonts w:ascii="Century Schoolbook" w:eastAsia="Times New Roman" w:hAnsi="Century Schoolbook" w:cs="Times New Roman"/>
        </w:rPr>
      </w:pPr>
    </w:p>
    <w:p w:rsidR="00AB16BD" w:rsidRPr="00BA506A" w:rsidRDefault="00AB16BD" w:rsidP="003A4EF4">
      <w:pPr>
        <w:tabs>
          <w:tab w:val="left" w:pos="540"/>
        </w:tabs>
        <w:spacing w:after="0" w:line="20" w:lineRule="atLeast"/>
        <w:ind w:left="540" w:hanging="540"/>
        <w:rPr>
          <w:rFonts w:ascii="Century Schoolbook" w:eastAsia="Times New Roman" w:hAnsi="Century Schoolbook" w:cs="Times New Roman"/>
          <w:b/>
        </w:rPr>
      </w:pPr>
      <w:r w:rsidRPr="00BA506A">
        <w:rPr>
          <w:rFonts w:ascii="Century Schoolbook" w:eastAsia="Times New Roman" w:hAnsi="Century Schoolbook" w:cs="Times New Roman"/>
          <w:b/>
        </w:rPr>
        <w:t>I.</w:t>
      </w:r>
      <w:r w:rsidRPr="00BA506A">
        <w:rPr>
          <w:rFonts w:ascii="Century Schoolbook" w:eastAsia="Times New Roman" w:hAnsi="Century Schoolbook" w:cs="Times New Roman"/>
          <w:b/>
        </w:rPr>
        <w:tab/>
        <w:t>Automobile Liability Coverage</w:t>
      </w:r>
    </w:p>
    <w:p w:rsidR="00AB16BD" w:rsidRPr="00BA506A" w:rsidRDefault="00AB16BD" w:rsidP="00AB16BD">
      <w:pPr>
        <w:tabs>
          <w:tab w:val="left" w:pos="540"/>
        </w:tabs>
        <w:spacing w:after="0" w:line="20" w:lineRule="atLeast"/>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Nuvell National Auto Finance, LLC v. Monroe Guaranty Insurance Co.</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347"/>
      </w:r>
      <w:r w:rsidRPr="00BA506A">
        <w:rPr>
          <w:rFonts w:ascii="Century Schoolbook" w:eastAsia="Times New Roman" w:hAnsi="Century Schoolbook" w:cs="Times New Roman"/>
        </w:rPr>
        <w:t xml:space="preserve"> the Georgia Court of Appeals applied a separation-of-insureds clause in a commercial automobile policy to conclude that a repossession company’s ownership of a tow truck did not render the truck a “nonowned” auto as to the repossession management company with whom the repossession company had contracted.  A financing company had contracted with a repossession management company, Renaissance, to repossess a truck that had been sold to a customer at a dealership.</w:t>
      </w:r>
      <w:r w:rsidRPr="00BA506A">
        <w:rPr>
          <w:rFonts w:ascii="Century Schoolbook" w:eastAsia="Times New Roman" w:hAnsi="Century Schoolbook" w:cs="Times New Roman"/>
          <w:vertAlign w:val="superscript"/>
        </w:rPr>
        <w:endnoteReference w:id="348"/>
      </w:r>
      <w:r w:rsidRPr="00BA506A">
        <w:rPr>
          <w:rFonts w:ascii="Century Schoolbook" w:eastAsia="Times New Roman" w:hAnsi="Century Schoolbook" w:cs="Times New Roman"/>
        </w:rPr>
        <w:t xml:space="preserve">  Renaissance had </w:t>
      </w:r>
      <w:r w:rsidRPr="00BA506A">
        <w:rPr>
          <w:rFonts w:ascii="Century Schoolbook" w:eastAsia="Times New Roman" w:hAnsi="Century Schoolbook" w:cs="Times New Roman"/>
        </w:rPr>
        <w:lastRenderedPageBreak/>
        <w:t>then contracted with a repossession company, Renovo, to accomplish the repossession.</w:t>
      </w:r>
      <w:r w:rsidRPr="00BA506A">
        <w:rPr>
          <w:rFonts w:ascii="Century Schoolbook" w:eastAsia="Times New Roman" w:hAnsi="Century Schoolbook" w:cs="Times New Roman"/>
          <w:vertAlign w:val="superscript"/>
        </w:rPr>
        <w:endnoteReference w:id="349"/>
      </w:r>
      <w:r w:rsidRPr="00BA506A">
        <w:rPr>
          <w:rFonts w:ascii="Century Schoolbook" w:eastAsia="Times New Roman" w:hAnsi="Century Schoolbook" w:cs="Times New Roman"/>
        </w:rPr>
        <w:t xml:space="preserve">  Renovo owned the tow truck that was used in the repossession, and it supplied a driver with whom Renovo had independently contracted.</w:t>
      </w:r>
      <w:r w:rsidRPr="00BA506A">
        <w:rPr>
          <w:rFonts w:ascii="Century Schoolbook" w:eastAsia="Times New Roman" w:hAnsi="Century Schoolbook" w:cs="Times New Roman"/>
          <w:vertAlign w:val="superscript"/>
        </w:rPr>
        <w:endnoteReference w:id="350"/>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Renaissance’s commercial automobile policy contained a provision limiting coverage to nonowned autos, which stated that “nonowned” were “only those ‘autos’ you do not own, lease, hire, rent or borrow that are used in connection with your business . . .”</w:t>
      </w:r>
      <w:r w:rsidRPr="00BA506A">
        <w:rPr>
          <w:rFonts w:ascii="Century Schoolbook" w:eastAsia="Times New Roman" w:hAnsi="Century Schoolbook" w:cs="Times New Roman"/>
          <w:vertAlign w:val="superscript"/>
        </w:rPr>
        <w:endnoteReference w:id="351"/>
      </w:r>
      <w:r w:rsidRPr="00BA506A">
        <w:rPr>
          <w:rFonts w:ascii="Century Schoolbook" w:eastAsia="Times New Roman" w:hAnsi="Century Schoolbook" w:cs="Times New Roman"/>
        </w:rPr>
        <w:t xml:space="preserve">  The policy also contained a separation-of-insureds clause, providing that “the coverage afforded applies separately to each insured who is seeking coverage or against whom a claim or ‘suit’ is brought.”</w:t>
      </w:r>
      <w:r w:rsidRPr="00BA506A">
        <w:rPr>
          <w:rFonts w:ascii="Century Schoolbook" w:eastAsia="Times New Roman" w:hAnsi="Century Schoolbook" w:cs="Times New Roman"/>
          <w:vertAlign w:val="superscript"/>
        </w:rPr>
        <w:endnoteReference w:id="352"/>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During the repossession, the vehicle owner’s friend was run over by Renovo’s tow truck.  Suit was filed against Renaissance and Renovo, and the insurer for Renaissance was added as a third-party defendant.  The trial court had ruled that Renaissance was not covered for the underlying tort incident because Renovo was an insured under the policy, and it owned the truck.</w:t>
      </w:r>
      <w:r w:rsidRPr="00BA506A">
        <w:rPr>
          <w:rFonts w:ascii="Century Schoolbook" w:eastAsia="Times New Roman" w:hAnsi="Century Schoolbook" w:cs="Times New Roman"/>
          <w:vertAlign w:val="superscript"/>
        </w:rPr>
        <w:endnoteReference w:id="353"/>
      </w:r>
      <w:r w:rsidRPr="00BA506A">
        <w:rPr>
          <w:rFonts w:ascii="Century Schoolbook" w:eastAsia="Times New Roman" w:hAnsi="Century Schoolbook" w:cs="Times New Roman"/>
        </w:rPr>
        <w:t xml:space="preserve">  However, the court of appeals reversed this decision and held that Renovo’s tow truck was a “nonowned” auto as to Renaissance, largely because the court found the policy’s terms “nonowned” and “named insured” to be ambiguous, resulting in a construction of the policy in favor of the insured.</w:t>
      </w:r>
      <w:r w:rsidRPr="00BA506A">
        <w:rPr>
          <w:rFonts w:ascii="Century Schoolbook" w:eastAsia="Times New Roman" w:hAnsi="Century Schoolbook" w:cs="Times New Roman"/>
          <w:vertAlign w:val="superscript"/>
        </w:rPr>
        <w:endnoteReference w:id="354"/>
      </w:r>
      <w:r w:rsidRPr="00BA506A">
        <w:rPr>
          <w:rFonts w:ascii="Century Schoolbook" w:eastAsia="Times New Roman" w:hAnsi="Century Schoolbook" w:cs="Times New Roman"/>
        </w:rPr>
        <w:t xml:space="preserve">  The court also held that </w:t>
      </w:r>
      <w:r w:rsidRPr="00BA506A">
        <w:rPr>
          <w:rFonts w:ascii="Century Schoolbook" w:eastAsia="Times New Roman" w:hAnsi="Century Schoolbook" w:cs="Times New Roman"/>
        </w:rPr>
        <w:lastRenderedPageBreak/>
        <w:t>the tow truck was used “in connection with” the business of Renaissance within the meaning of the definition of a “nonowned” auto, despite the fact that Renaissance had acted as a “middle-man” between finance companies and repossession companies, because to hold otherwise would have meant that only the individual who physically repossessed the vehicle could be considered to be in the repossession business.</w:t>
      </w:r>
      <w:r w:rsidRPr="00BA506A">
        <w:rPr>
          <w:rFonts w:ascii="Century Schoolbook" w:eastAsia="Times New Roman" w:hAnsi="Century Schoolbook" w:cs="Times New Roman"/>
          <w:vertAlign w:val="superscript"/>
        </w:rPr>
        <w:endnoteReference w:id="355"/>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State Farm Mutual Auto Insurance Co. v. Myers</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356"/>
      </w:r>
      <w:r w:rsidRPr="00BA506A">
        <w:rPr>
          <w:rFonts w:ascii="Century Schoolbook" w:eastAsia="Times New Roman" w:hAnsi="Century Schoolbook" w:cs="Times New Roman"/>
        </w:rPr>
        <w:t xml:space="preserve"> a victim of a sexual assault brought a tort action against the driver of the vehicle in which the assault had occurred.  The insurer sought a declaratory judgment that the policy which it had issued to the driver’s spouse did not provide coverage for the damages alleged in the underlying action.</w:t>
      </w:r>
      <w:r w:rsidRPr="00BA506A">
        <w:rPr>
          <w:rFonts w:ascii="Century Schoolbook" w:eastAsia="Times New Roman" w:hAnsi="Century Schoolbook" w:cs="Times New Roman"/>
          <w:vertAlign w:val="superscript"/>
        </w:rPr>
        <w:endnoteReference w:id="357"/>
      </w:r>
      <w:r w:rsidRPr="00BA506A">
        <w:rPr>
          <w:rFonts w:ascii="Century Schoolbook" w:eastAsia="Times New Roman" w:hAnsi="Century Schoolbook" w:cs="Times New Roman"/>
        </w:rPr>
        <w:t xml:space="preserve">  The central dispute in the coverage action was whether the injury “resulted from the use” of the insured’s vehicle, within the meaning of the policy.</w:t>
      </w:r>
      <w:r w:rsidRPr="00BA506A">
        <w:rPr>
          <w:rFonts w:ascii="Century Schoolbook" w:eastAsia="Times New Roman" w:hAnsi="Century Schoolbook" w:cs="Times New Roman"/>
          <w:vertAlign w:val="superscript"/>
        </w:rPr>
        <w:endnoteReference w:id="358"/>
      </w:r>
      <w:r w:rsidRPr="00BA506A">
        <w:rPr>
          <w:rFonts w:ascii="Century Schoolbook" w:eastAsia="Times New Roman" w:hAnsi="Century Schoolbook" w:cs="Times New Roman"/>
        </w:rPr>
        <w:t xml:space="preserve">  The insured attempted to distinguish a previous case</w:t>
      </w:r>
      <w:r w:rsidRPr="00BA506A">
        <w:rPr>
          <w:rFonts w:ascii="Century Schoolbook" w:eastAsia="Times New Roman" w:hAnsi="Century Schoolbook" w:cs="Times New Roman"/>
          <w:vertAlign w:val="superscript"/>
        </w:rPr>
        <w:endnoteReference w:id="359"/>
      </w:r>
      <w:r w:rsidRPr="00BA506A">
        <w:rPr>
          <w:rFonts w:ascii="Century Schoolbook" w:eastAsia="Times New Roman" w:hAnsi="Century Schoolbook" w:cs="Times New Roman"/>
        </w:rPr>
        <w:t xml:space="preserve"> which had involved an attack by one passenger on another in a school bus, by asserting that the smaller size of the vehicle in </w:t>
      </w:r>
      <w:r w:rsidRPr="00BA506A">
        <w:rPr>
          <w:rFonts w:ascii="Century Schoolbook" w:eastAsia="Times New Roman" w:hAnsi="Century Schoolbook" w:cs="Times New Roman"/>
          <w:i/>
        </w:rPr>
        <w:t>Myers</w:t>
      </w:r>
      <w:r w:rsidRPr="00BA506A">
        <w:rPr>
          <w:rFonts w:ascii="Century Schoolbook" w:eastAsia="Times New Roman" w:hAnsi="Century Schoolbook" w:cs="Times New Roman"/>
        </w:rPr>
        <w:t xml:space="preserve"> and the presence of seatbelts made the vehicle “inextricably linked” to the assault.</w:t>
      </w:r>
      <w:r w:rsidRPr="00BA506A">
        <w:rPr>
          <w:rFonts w:ascii="Century Schoolbook" w:eastAsia="Times New Roman" w:hAnsi="Century Schoolbook" w:cs="Times New Roman"/>
          <w:vertAlign w:val="superscript"/>
        </w:rPr>
        <w:endnoteReference w:id="360"/>
      </w:r>
      <w:r w:rsidRPr="00BA506A">
        <w:rPr>
          <w:rFonts w:ascii="Century Schoolbook" w:eastAsia="Times New Roman" w:hAnsi="Century Schoolbook" w:cs="Times New Roman"/>
        </w:rPr>
        <w:t xml:space="preserve">  However, the court ultimately held that the car was only tangentially connected to the victim’s injuries as the situs of the attack, and thus the insurer was entitled to summary judgment.</w:t>
      </w:r>
      <w:r w:rsidRPr="00BA506A">
        <w:rPr>
          <w:rFonts w:ascii="Century Schoolbook" w:eastAsia="Times New Roman" w:hAnsi="Century Schoolbook" w:cs="Times New Roman"/>
          <w:vertAlign w:val="superscript"/>
        </w:rPr>
        <w:endnoteReference w:id="361"/>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540" w:hanging="540"/>
        <w:jc w:val="both"/>
        <w:rPr>
          <w:rFonts w:ascii="Century Schoolbook" w:eastAsia="Times New Roman" w:hAnsi="Century Schoolbook" w:cs="Times New Roman"/>
          <w:b/>
        </w:rPr>
      </w:pPr>
      <w:r w:rsidRPr="00BA506A">
        <w:rPr>
          <w:rFonts w:ascii="Century Schoolbook" w:eastAsia="Times New Roman" w:hAnsi="Century Schoolbook" w:cs="Times New Roman"/>
          <w:b/>
        </w:rPr>
        <w:lastRenderedPageBreak/>
        <w:t>II.</w:t>
      </w:r>
      <w:r w:rsidRPr="00BA506A">
        <w:rPr>
          <w:rFonts w:ascii="Century Schoolbook" w:eastAsia="Times New Roman" w:hAnsi="Century Schoolbook" w:cs="Times New Roman"/>
          <w:b/>
        </w:rPr>
        <w:tab/>
        <w:t>Reservation of Rights</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Hoover v. Maxum Indemnity Company</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362"/>
      </w:r>
      <w:r w:rsidRPr="00BA506A">
        <w:rPr>
          <w:rFonts w:ascii="Century Schoolbook" w:eastAsia="Times New Roman" w:hAnsi="Century Schoolbook" w:cs="Times New Roman"/>
        </w:rPr>
        <w:t xml:space="preserve"> the insured’s employee was injured when he fell from a ladder.  Shortly after the incident, the employer was contacted about a potential claim.</w:t>
      </w:r>
      <w:r w:rsidRPr="00BA506A">
        <w:rPr>
          <w:rFonts w:ascii="Century Schoolbook" w:eastAsia="Times New Roman" w:hAnsi="Century Schoolbook" w:cs="Times New Roman"/>
          <w:vertAlign w:val="superscript"/>
        </w:rPr>
        <w:endnoteReference w:id="363"/>
      </w:r>
      <w:r w:rsidRPr="00BA506A">
        <w:rPr>
          <w:rFonts w:ascii="Century Schoolbook" w:eastAsia="Times New Roman" w:hAnsi="Century Schoolbook" w:cs="Times New Roman"/>
        </w:rPr>
        <w:t xml:space="preserve">  Nearly two years later, the employee filed a personal injury action against the employer, and the employer’s counsel forwarded the suit papers to its insurer.</w:t>
      </w:r>
      <w:r w:rsidRPr="00BA506A">
        <w:rPr>
          <w:rFonts w:ascii="Century Schoolbook" w:eastAsia="Times New Roman" w:hAnsi="Century Schoolbook" w:cs="Times New Roman"/>
          <w:vertAlign w:val="superscript"/>
        </w:rPr>
        <w:endnoteReference w:id="364"/>
      </w:r>
      <w:r w:rsidRPr="00BA506A">
        <w:rPr>
          <w:rFonts w:ascii="Century Schoolbook" w:eastAsia="Times New Roman" w:hAnsi="Century Schoolbook" w:cs="Times New Roman"/>
        </w:rPr>
        <w:t xml:space="preserve">  The insurer sent a letter denying coverage pursuant to the policy’s Employers Liability Exclusion, and the letter further purported to reserve the insurer’s rights to assert other coverage defenses, including defenses based upon untimely notice of the occurrence.</w:t>
      </w:r>
      <w:r w:rsidRPr="00BA506A">
        <w:rPr>
          <w:rFonts w:ascii="Century Schoolbook" w:eastAsia="Times New Roman" w:hAnsi="Century Schoolbook" w:cs="Times New Roman"/>
          <w:vertAlign w:val="superscript"/>
        </w:rPr>
        <w:endnoteReference w:id="365"/>
      </w:r>
      <w:r w:rsidRPr="00BA506A">
        <w:rPr>
          <w:rFonts w:ascii="Century Schoolbook" w:eastAsia="Times New Roman" w:hAnsi="Century Schoolbook" w:cs="Times New Roman"/>
        </w:rPr>
        <w:t xml:space="preserve">  After the employee obtained a judgment against the employer in the personal injury action, the employee obtained an assignment from the employer for its claims against the insurer for breach of duty to defend and for indemnification.</w:t>
      </w:r>
      <w:r w:rsidRPr="00BA506A">
        <w:rPr>
          <w:rFonts w:ascii="Century Schoolbook" w:eastAsia="Times New Roman" w:hAnsi="Century Schoolbook" w:cs="Times New Roman"/>
          <w:vertAlign w:val="superscript"/>
        </w:rPr>
        <w:endnoteReference w:id="366"/>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The Georgia Supreme Court held that the disclaimer language in the insurer’s denial letter was </w:t>
      </w:r>
      <w:r w:rsidRPr="00BA506A">
        <w:rPr>
          <w:rFonts w:ascii="Century Schoolbook" w:eastAsia="Times New Roman" w:hAnsi="Century Schoolbook" w:cs="Times New Roman"/>
          <w:iCs/>
        </w:rPr>
        <w:t>not</w:t>
      </w:r>
      <w:r w:rsidRPr="00BA506A">
        <w:rPr>
          <w:rFonts w:ascii="Century Schoolbook" w:eastAsia="Times New Roman" w:hAnsi="Century Schoolbook" w:cs="Times New Roman"/>
        </w:rPr>
        <w:t> a valid reservation of rights.</w:t>
      </w:r>
      <w:r w:rsidRPr="00BA506A">
        <w:rPr>
          <w:rFonts w:ascii="Century Schoolbook" w:eastAsia="Times New Roman" w:hAnsi="Century Schoolbook" w:cs="Times New Roman"/>
          <w:vertAlign w:val="superscript"/>
        </w:rPr>
        <w:endnoteReference w:id="367"/>
      </w:r>
      <w:r w:rsidRPr="00BA506A">
        <w:rPr>
          <w:rFonts w:ascii="Century Schoolbook" w:eastAsia="Times New Roman" w:hAnsi="Century Schoolbook" w:cs="Times New Roman"/>
        </w:rPr>
        <w:t xml:space="preserve">  The supreme court held that the insurer could not both deny the claim and reserve its right to assert other defenses later,</w:t>
      </w:r>
      <w:r w:rsidRPr="00BA506A">
        <w:rPr>
          <w:rFonts w:ascii="Century Schoolbook" w:eastAsia="Times New Roman" w:hAnsi="Century Schoolbook" w:cs="Times New Roman"/>
          <w:vertAlign w:val="superscript"/>
        </w:rPr>
        <w:endnoteReference w:id="368"/>
      </w:r>
      <w:r w:rsidRPr="00BA506A">
        <w:rPr>
          <w:rFonts w:ascii="Century Schoolbook" w:eastAsia="Times New Roman" w:hAnsi="Century Schoolbook" w:cs="Times New Roman"/>
        </w:rPr>
        <w:t xml:space="preserve"> reasoning that a “reservation of rights does not exist so that an insurer who has </w:t>
      </w:r>
      <w:r w:rsidRPr="00BA506A">
        <w:rPr>
          <w:rFonts w:ascii="Century Schoolbook" w:eastAsia="Times New Roman" w:hAnsi="Century Schoolbook" w:cs="Times New Roman"/>
          <w:i/>
          <w:iCs/>
        </w:rPr>
        <w:t>denied coverage</w:t>
      </w:r>
      <w:r w:rsidRPr="00BA506A">
        <w:rPr>
          <w:rFonts w:ascii="Century Schoolbook" w:eastAsia="Times New Roman" w:hAnsi="Century Schoolbook" w:cs="Times New Roman"/>
        </w:rPr>
        <w:t> may continue to investigate to come up with additional reasons on which the denial could be based if challenged.”</w:t>
      </w:r>
      <w:r w:rsidRPr="00BA506A">
        <w:rPr>
          <w:rFonts w:ascii="Century Schoolbook" w:eastAsia="Times New Roman" w:hAnsi="Century Schoolbook" w:cs="Times New Roman"/>
          <w:vertAlign w:val="superscript"/>
        </w:rPr>
        <w:endnoteReference w:id="369"/>
      </w:r>
      <w:r w:rsidRPr="00BA506A">
        <w:rPr>
          <w:rFonts w:ascii="Century Schoolbook" w:eastAsia="Times New Roman" w:hAnsi="Century Schoolbook" w:cs="Times New Roman"/>
        </w:rPr>
        <w:t xml:space="preserve">  The court also held that even if the insurer were allowed to deny coverage and </w:t>
      </w:r>
      <w:r w:rsidRPr="00BA506A">
        <w:rPr>
          <w:rFonts w:ascii="Century Schoolbook" w:eastAsia="Times New Roman" w:hAnsi="Century Schoolbook" w:cs="Times New Roman"/>
        </w:rPr>
        <w:lastRenderedPageBreak/>
        <w:t>simultaneously reserve its rights, the purported notice was invalid because it failed to unambiguously inform the insured that the insurer intended to pursue a defense based upon untimely notice.</w:t>
      </w:r>
      <w:r w:rsidRPr="00BA506A">
        <w:rPr>
          <w:rFonts w:ascii="Century Schoolbook" w:eastAsia="Times New Roman" w:hAnsi="Century Schoolbook" w:cs="Times New Roman"/>
          <w:vertAlign w:val="superscript"/>
        </w:rPr>
        <w:endnoteReference w:id="370"/>
      </w:r>
      <w:r w:rsidRPr="00BA506A">
        <w:rPr>
          <w:rFonts w:ascii="Century Schoolbook" w:eastAsia="Times New Roman" w:hAnsi="Century Schoolbook" w:cs="Times New Roman"/>
        </w:rPr>
        <w:t xml:space="preserve">  The court described the insurer’s reservation language as “boilerplate,” and therefore the insurer had failed to fairly inform the insured of the insurer’s position regarding its coverage defenses.</w:t>
      </w:r>
      <w:r w:rsidRPr="00BA506A">
        <w:rPr>
          <w:rFonts w:ascii="Century Schoolbook" w:eastAsia="Times New Roman" w:hAnsi="Century Schoolbook" w:cs="Times New Roman"/>
          <w:vertAlign w:val="superscript"/>
        </w:rPr>
        <w:endnoteReference w:id="371"/>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Facility Investments, LP v. Homeland Insurance Co.</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372"/>
      </w:r>
      <w:r w:rsidRPr="00BA506A">
        <w:rPr>
          <w:rFonts w:ascii="Century Schoolbook" w:eastAsia="Times New Roman" w:hAnsi="Century Schoolbook" w:cs="Times New Roman"/>
        </w:rPr>
        <w:t xml:space="preserve"> a nursing home was sued for professional negligence arising out of the care of one of its patients.  The claims against the nursing home included allegations that it had engaged in fraud, intentional misconduct, and willful and wanton conduct.</w:t>
      </w:r>
      <w:r w:rsidRPr="00BA506A">
        <w:rPr>
          <w:rFonts w:ascii="Century Schoolbook" w:eastAsia="Times New Roman" w:hAnsi="Century Schoolbook" w:cs="Times New Roman"/>
          <w:vertAlign w:val="superscript"/>
        </w:rPr>
        <w:endnoteReference w:id="373"/>
      </w:r>
      <w:r w:rsidRPr="00BA506A">
        <w:rPr>
          <w:rFonts w:ascii="Century Schoolbook" w:eastAsia="Times New Roman" w:hAnsi="Century Schoolbook" w:cs="Times New Roman"/>
        </w:rPr>
        <w:t xml:space="preserve">  The nursing home’s liability insurance policy excluded coverage for dishonest, fraudulent, criminal or intentionally malicious acts or omissions, and willful violations of law, statutes, rules, or regulations.</w:t>
      </w:r>
      <w:r w:rsidRPr="00BA506A">
        <w:rPr>
          <w:rFonts w:ascii="Century Schoolbook" w:eastAsia="Times New Roman" w:hAnsi="Century Schoolbook" w:cs="Times New Roman"/>
          <w:vertAlign w:val="superscript"/>
        </w:rPr>
        <w:endnoteReference w:id="374"/>
      </w:r>
      <w:r w:rsidRPr="00BA506A">
        <w:rPr>
          <w:rFonts w:ascii="Century Schoolbook" w:eastAsia="Times New Roman" w:hAnsi="Century Schoolbook" w:cs="Times New Roman"/>
        </w:rPr>
        <w:t xml:space="preserve">  The insurer agreed to defend the nursing home under a reservation of rights, and it expressly reserved its rights with regard to losses or defense expenses arising out of allegations of fraud, malice, or violations of state or federal regulations.</w:t>
      </w:r>
      <w:r w:rsidRPr="00BA506A">
        <w:rPr>
          <w:rFonts w:ascii="Century Schoolbook" w:eastAsia="Times New Roman" w:hAnsi="Century Schoolbook" w:cs="Times New Roman"/>
          <w:vertAlign w:val="superscript"/>
        </w:rPr>
        <w:endnoteReference w:id="375"/>
      </w:r>
      <w:r w:rsidRPr="00BA506A">
        <w:rPr>
          <w:rFonts w:ascii="Century Schoolbook" w:eastAsia="Times New Roman" w:hAnsi="Century Schoolbook" w:cs="Times New Roman"/>
        </w:rPr>
        <w:t xml:space="preserve">  However, it did not reserve its right to pursue claims against its insured for breach of contract, recoupment, allocation, or contribution.</w:t>
      </w:r>
      <w:r w:rsidRPr="00BA506A">
        <w:rPr>
          <w:rFonts w:ascii="Century Schoolbook" w:eastAsia="Times New Roman" w:hAnsi="Century Schoolbook" w:cs="Times New Roman"/>
          <w:vertAlign w:val="superscript"/>
        </w:rPr>
        <w:endnoteReference w:id="376"/>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plaintiffs in the underlying case served a time-limited demand for the policy limit, which indicated that if </w:t>
      </w:r>
      <w:r w:rsidRPr="00BA506A">
        <w:rPr>
          <w:rFonts w:ascii="Century Schoolbook" w:eastAsia="Times New Roman" w:hAnsi="Century Schoolbook" w:cs="Times New Roman"/>
        </w:rPr>
        <w:lastRenderedPageBreak/>
        <w:t>the demand was not accepted, they intended to pursue and enforce a verdict in excess of the policy limit.</w:t>
      </w:r>
      <w:r w:rsidRPr="00BA506A">
        <w:rPr>
          <w:rFonts w:ascii="Century Schoolbook" w:eastAsia="Times New Roman" w:hAnsi="Century Schoolbook" w:cs="Times New Roman"/>
          <w:vertAlign w:val="superscript"/>
        </w:rPr>
        <w:endnoteReference w:id="377"/>
      </w:r>
      <w:r w:rsidRPr="00BA506A">
        <w:rPr>
          <w:rFonts w:ascii="Century Schoolbook" w:eastAsia="Times New Roman" w:hAnsi="Century Schoolbook" w:cs="Times New Roman"/>
        </w:rPr>
        <w:t xml:space="preserve">  The insurer requested that the nursing home contribute 50 percent of the settlement amount, based on the insurer’s position that a significant portion of the claimed loss was not covered under the policy.</w:t>
      </w:r>
      <w:r w:rsidRPr="00BA506A">
        <w:rPr>
          <w:rFonts w:ascii="Century Schoolbook" w:eastAsia="Times New Roman" w:hAnsi="Century Schoolbook" w:cs="Times New Roman"/>
          <w:vertAlign w:val="superscript"/>
        </w:rPr>
        <w:endnoteReference w:id="378"/>
      </w:r>
      <w:r w:rsidRPr="00BA506A">
        <w:rPr>
          <w:rFonts w:ascii="Century Schoolbook" w:eastAsia="Times New Roman" w:hAnsi="Century Schoolbook" w:cs="Times New Roman"/>
        </w:rPr>
        <w:t xml:space="preserve">  The insurer also asserted for the first time that it would pursue recoupment and contribution from the insured in event that it did not pay its share for the non-covered losses.</w:t>
      </w:r>
      <w:r w:rsidRPr="00BA506A">
        <w:rPr>
          <w:rFonts w:ascii="Century Schoolbook" w:eastAsia="Times New Roman" w:hAnsi="Century Schoolbook" w:cs="Times New Roman"/>
          <w:vertAlign w:val="superscript"/>
        </w:rPr>
        <w:endnoteReference w:id="379"/>
      </w:r>
      <w:r w:rsidRPr="00BA506A">
        <w:rPr>
          <w:rFonts w:ascii="Century Schoolbook" w:eastAsia="Times New Roman" w:hAnsi="Century Schoolbook" w:cs="Times New Roman"/>
        </w:rPr>
        <w:t xml:space="preserve">  After it became apparent that the insured would not contribute to the settlement, the insurer sent another letter to the insured, indicating its reservation of rights to pursue claims for breach of contract, recoupment, allocation, and contribution.</w:t>
      </w:r>
      <w:r w:rsidRPr="00BA506A">
        <w:rPr>
          <w:rFonts w:ascii="Century Schoolbook" w:eastAsia="Times New Roman" w:hAnsi="Century Schoolbook" w:cs="Times New Roman"/>
          <w:vertAlign w:val="superscript"/>
        </w:rPr>
        <w:endnoteReference w:id="380"/>
      </w:r>
      <w:r w:rsidRPr="00BA506A">
        <w:rPr>
          <w:rFonts w:ascii="Century Schoolbook" w:eastAsia="Times New Roman" w:hAnsi="Century Schoolbook" w:cs="Times New Roman"/>
        </w:rPr>
        <w:t xml:space="preserve">  The insurer thereafter settled the underlying case and filed suit against its insured. The insured moved to dismiss the suit, asserting that the insurer had not properly preserved its right to seek contribution.</w:t>
      </w:r>
      <w:r w:rsidRPr="00BA506A">
        <w:rPr>
          <w:rFonts w:ascii="Century Schoolbook" w:eastAsia="Times New Roman" w:hAnsi="Century Schoolbook" w:cs="Times New Roman"/>
          <w:vertAlign w:val="superscript"/>
        </w:rPr>
        <w:t xml:space="preserve"> </w:t>
      </w:r>
      <w:r w:rsidRPr="00BA506A">
        <w:rPr>
          <w:rFonts w:ascii="Century Schoolbook" w:eastAsia="Times New Roman" w:hAnsi="Century Schoolbook" w:cs="Times New Roman"/>
          <w:vertAlign w:val="superscript"/>
        </w:rPr>
        <w:endnoteReference w:id="381"/>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The court of appeals reversed the denial of the insured’s motion to dismiss, holding that where an insurer does not unambiguously reserve its rights, the insurer may waive its right to pursue recovery from the insured for non-covered claims if it assumes or continues the defense with knowledge that the claims are not covered.</w:t>
      </w:r>
      <w:r w:rsidRPr="00BA506A">
        <w:rPr>
          <w:rFonts w:ascii="Century Schoolbook" w:eastAsia="Times New Roman" w:hAnsi="Century Schoolbook" w:cs="Times New Roman"/>
          <w:vertAlign w:val="superscript"/>
        </w:rPr>
        <w:endnoteReference w:id="382"/>
      </w:r>
      <w:r w:rsidRPr="00BA506A">
        <w:rPr>
          <w:rFonts w:ascii="Century Schoolbook" w:eastAsia="Times New Roman" w:hAnsi="Century Schoolbook" w:cs="Times New Roman"/>
        </w:rPr>
        <w:t xml:space="preserve">  The attempt of the insurer to reserve its rights under the “boilerplate” language of the initial reservation of rights notice was ineffective.</w:t>
      </w:r>
      <w:r w:rsidRPr="00BA506A">
        <w:rPr>
          <w:rFonts w:ascii="Century Schoolbook" w:eastAsia="Times New Roman" w:hAnsi="Century Schoolbook" w:cs="Times New Roman"/>
          <w:vertAlign w:val="superscript"/>
        </w:rPr>
        <w:endnoteReference w:id="383"/>
      </w:r>
      <w:r w:rsidRPr="00BA506A">
        <w:rPr>
          <w:rFonts w:ascii="Century Schoolbook" w:eastAsia="Times New Roman" w:hAnsi="Century Schoolbook" w:cs="Times New Roman"/>
        </w:rPr>
        <w:t xml:space="preserve">  Additionally, the subsequent </w:t>
      </w:r>
      <w:r w:rsidRPr="00BA506A">
        <w:rPr>
          <w:rFonts w:ascii="Century Schoolbook" w:eastAsia="Times New Roman" w:hAnsi="Century Schoolbook" w:cs="Times New Roman"/>
        </w:rPr>
        <w:lastRenderedPageBreak/>
        <w:t>reservation of rights notice did not change the result, because the insured had already expressed a refusal to contribute to the settlement, at which point the insurer had only two options: deny coverage or seek immediate declaratory relief.</w:t>
      </w:r>
      <w:r w:rsidRPr="00BA506A">
        <w:rPr>
          <w:rFonts w:ascii="Century Schoolbook" w:eastAsia="Times New Roman" w:hAnsi="Century Schoolbook" w:cs="Times New Roman"/>
          <w:vertAlign w:val="superscript"/>
        </w:rPr>
        <w:endnoteReference w:id="384"/>
      </w:r>
    </w:p>
    <w:p w:rsidR="00AB16BD" w:rsidRDefault="00AB16BD" w:rsidP="00AB16BD">
      <w:pPr>
        <w:tabs>
          <w:tab w:val="left" w:pos="540"/>
        </w:tabs>
        <w:spacing w:after="0" w:line="240" w:lineRule="auto"/>
        <w:jc w:val="both"/>
        <w:rPr>
          <w:rFonts w:ascii="Century Schoolbook" w:eastAsia="Times New Roman" w:hAnsi="Century Schoolbook" w:cs="Times New Roman"/>
        </w:rPr>
      </w:pPr>
    </w:p>
    <w:p w:rsidR="00CB516E" w:rsidRPr="00BA506A" w:rsidRDefault="00CB516E"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540" w:hanging="540"/>
        <w:jc w:val="both"/>
        <w:rPr>
          <w:rFonts w:ascii="Century Schoolbook" w:eastAsia="Times New Roman" w:hAnsi="Century Schoolbook" w:cs="Times New Roman"/>
          <w:b/>
        </w:rPr>
      </w:pPr>
      <w:r w:rsidRPr="00BA506A">
        <w:rPr>
          <w:rFonts w:ascii="Century Schoolbook" w:eastAsia="Times New Roman" w:hAnsi="Century Schoolbook" w:cs="Times New Roman"/>
          <w:b/>
        </w:rPr>
        <w:t>III.</w:t>
      </w:r>
      <w:r w:rsidRPr="00BA506A">
        <w:rPr>
          <w:rFonts w:ascii="Century Schoolbook" w:eastAsia="Times New Roman" w:hAnsi="Century Schoolbook" w:cs="Times New Roman"/>
          <w:b/>
        </w:rPr>
        <w:tab/>
        <w:t>Commercial General Liability Coverage</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b/>
        </w:rPr>
      </w:pPr>
    </w:p>
    <w:p w:rsidR="00CB37A0"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Perhaps the most intriguing area of insurance coverage law in Georgia and in other jurisdictions currently is found in the context of Commercial General Liability (“CGL”) policies, most commonly in the context of construction litigation.  Although most of the cases involve an interpretation of language identical to that in the standard CGL policy published by the Insurance Services Office (“ISO”), the result is a sharp split of authorities across these jurisdictions, with some courts focusing on the definition of an “occurrence” under the policy, and others construing the so-called “business risk exclusions” in the policy.</w:t>
      </w:r>
      <w:r w:rsidRPr="00BA506A">
        <w:rPr>
          <w:rFonts w:ascii="Century Schoolbook" w:eastAsia="Times New Roman" w:hAnsi="Century Schoolbook" w:cs="Times New Roman"/>
          <w:vertAlign w:val="superscript"/>
        </w:rPr>
        <w:endnoteReference w:id="385"/>
      </w:r>
      <w:r w:rsidRPr="00BA506A">
        <w:rPr>
          <w:rFonts w:ascii="Century Schoolbook" w:eastAsia="Times New Roman" w:hAnsi="Century Schoolbook" w:cs="Times New Roman"/>
        </w:rPr>
        <w:t xml:space="preserve">  As discussed below, these provisions in standard CGL policies are often construed together in analyzing whether there is coverage.  This “muddling” of the definition of “occurrence” with the business risk exclusions has led to an interesting debate.  </w:t>
      </w:r>
    </w:p>
    <w:p w:rsidR="00CB37A0" w:rsidRDefault="00CB37A0" w:rsidP="00AB16BD">
      <w:pPr>
        <w:tabs>
          <w:tab w:val="left" w:pos="540"/>
        </w:tabs>
        <w:spacing w:after="0" w:line="240" w:lineRule="auto"/>
        <w:ind w:firstLine="360"/>
        <w:jc w:val="both"/>
        <w:rPr>
          <w:rFonts w:ascii="Century Schoolbook" w:eastAsia="Times New Roman" w:hAnsi="Century Schoolbook" w:cs="Times New Roman"/>
        </w:rPr>
      </w:pPr>
    </w:p>
    <w:p w:rsidR="00AB16BD"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The pertinent portions of the standard CGL policy are:</w:t>
      </w:r>
    </w:p>
    <w:p w:rsidR="00CB37A0" w:rsidRDefault="00CB37A0" w:rsidP="00AB16BD">
      <w:pPr>
        <w:tabs>
          <w:tab w:val="left" w:pos="540"/>
        </w:tabs>
        <w:spacing w:after="0" w:line="240" w:lineRule="auto"/>
        <w:ind w:firstLine="36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p>
    <w:p w:rsidR="00AB16BD" w:rsidRPr="00BA506A" w:rsidRDefault="00AB16BD" w:rsidP="00CB37A0">
      <w:pPr>
        <w:tabs>
          <w:tab w:val="left" w:pos="540"/>
        </w:tabs>
        <w:spacing w:after="0" w:line="240" w:lineRule="auto"/>
        <w:ind w:left="720"/>
        <w:jc w:val="both"/>
        <w:rPr>
          <w:rFonts w:ascii="Century Schoolbook" w:eastAsia="Times New Roman" w:hAnsi="Century Schoolbook" w:cs="Times New Roman"/>
          <w:b/>
        </w:rPr>
      </w:pPr>
      <w:r w:rsidRPr="00CB37A0">
        <w:rPr>
          <w:rFonts w:ascii="Century Schoolbook" w:eastAsia="Times New Roman" w:hAnsi="Century Schoolbook" w:cs="Times New Roman"/>
          <w:b/>
        </w:rPr>
        <w:lastRenderedPageBreak/>
        <w:t>SECTION I –</w:t>
      </w:r>
      <w:r w:rsidR="00CB37A0" w:rsidRPr="00CB37A0">
        <w:rPr>
          <w:rFonts w:ascii="Century Schoolbook" w:eastAsia="Times New Roman" w:hAnsi="Century Schoolbook" w:cs="Times New Roman"/>
          <w:b/>
        </w:rPr>
        <w:t xml:space="preserve"> </w:t>
      </w:r>
      <w:r w:rsidRPr="00CB37A0">
        <w:rPr>
          <w:rFonts w:ascii="Century Schoolbook" w:eastAsia="Times New Roman" w:hAnsi="Century Schoolbook" w:cs="Times New Roman"/>
          <w:b/>
        </w:rPr>
        <w:t>COVERAGES</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r w:rsidRPr="00BA506A">
        <w:rPr>
          <w:rFonts w:ascii="Century Schoolbook" w:eastAsia="Times New Roman" w:hAnsi="Century Schoolbook" w:cs="Times New Roman"/>
          <w:b/>
        </w:rPr>
        <w:t xml:space="preserve">COVERAGE A.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r w:rsidRPr="00BA506A">
        <w:rPr>
          <w:rFonts w:ascii="Century Schoolbook" w:eastAsia="Times New Roman" w:hAnsi="Century Schoolbook" w:cs="Times New Roman"/>
          <w:b/>
        </w:rPr>
        <w:t>BODILY INJURY AND PROPERTY DAMAGE LIABILITY</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p>
    <w:p w:rsidR="00AB16BD" w:rsidRPr="00BA506A" w:rsidRDefault="00AB16BD" w:rsidP="00AB16BD">
      <w:pPr>
        <w:tabs>
          <w:tab w:val="left" w:pos="540"/>
          <w:tab w:val="left" w:pos="1080"/>
        </w:tabs>
        <w:spacing w:after="0" w:line="240" w:lineRule="auto"/>
        <w:ind w:left="720" w:right="360"/>
        <w:jc w:val="both"/>
        <w:rPr>
          <w:rFonts w:ascii="Century Schoolbook" w:eastAsia="Times New Roman" w:hAnsi="Century Schoolbook" w:cs="Times New Roman"/>
          <w:b/>
        </w:rPr>
      </w:pPr>
      <w:r>
        <w:rPr>
          <w:rFonts w:ascii="Century Schoolbook" w:eastAsia="Times New Roman" w:hAnsi="Century Schoolbook" w:cs="Times New Roman"/>
          <w:b/>
        </w:rPr>
        <w:t xml:space="preserve">1. </w:t>
      </w:r>
      <w:r w:rsidRPr="00BA506A">
        <w:rPr>
          <w:rFonts w:ascii="Century Schoolbook" w:eastAsia="Times New Roman" w:hAnsi="Century Schoolbook" w:cs="Times New Roman"/>
          <w:b/>
        </w:rPr>
        <w:t>Insuring Agreement</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r w:rsidRPr="00BA506A">
        <w:rPr>
          <w:rFonts w:ascii="Century Schoolbook" w:eastAsia="Times New Roman" w:hAnsi="Century Schoolbook" w:cs="Times New Roman"/>
          <w:b/>
        </w:rPr>
        <w:t xml:space="preserve">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b/>
        </w:rPr>
        <w:t>a.</w:t>
      </w:r>
      <w:r w:rsidRPr="00BA506A">
        <w:rPr>
          <w:rFonts w:ascii="Century Schoolbook" w:eastAsia="Times New Roman" w:hAnsi="Century Schoolbook" w:cs="Times New Roman"/>
        </w:rPr>
        <w:t xml:space="preserve"> We will pay those sums that the insured becomes legally obligated to pay as damages because of “bodily injury” or “property damage” to which this insurance applies . .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900" w:right="720"/>
        <w:jc w:val="both"/>
        <w:rPr>
          <w:rFonts w:ascii="Century Schoolbook" w:eastAsia="Times New Roman" w:hAnsi="Century Schoolbook" w:cs="Times New Roman"/>
        </w:rPr>
      </w:pPr>
      <w:r w:rsidRPr="00BA506A">
        <w:rPr>
          <w:rFonts w:ascii="Century Schoolbook" w:eastAsia="Times New Roman" w:hAnsi="Century Schoolbook" w:cs="Times New Roman"/>
          <w:b/>
        </w:rPr>
        <w:t>b.</w:t>
      </w:r>
      <w:r w:rsidRPr="00BA506A">
        <w:rPr>
          <w:rFonts w:ascii="Century Schoolbook" w:eastAsia="Times New Roman" w:hAnsi="Century Schoolbook" w:cs="Times New Roman"/>
        </w:rPr>
        <w:t xml:space="preserve"> This insurance applies to “bodily injury” and “property damage” only if:</w:t>
      </w:r>
    </w:p>
    <w:p w:rsidR="00AB16BD"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Default="00AB16BD" w:rsidP="00AB16BD">
      <w:pPr>
        <w:tabs>
          <w:tab w:val="left" w:pos="540"/>
        </w:tabs>
        <w:spacing w:after="0" w:line="240" w:lineRule="auto"/>
        <w:ind w:left="1080" w:right="72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(1) </w:t>
      </w:r>
      <w:r w:rsidRPr="00BA506A">
        <w:rPr>
          <w:rFonts w:ascii="Century Schoolbook" w:eastAsia="Times New Roman" w:hAnsi="Century Schoolbook" w:cs="Times New Roman"/>
        </w:rPr>
        <w:tab/>
        <w:t>The “bodily injury” or “property damage” is caused by an “occurrence”. . . [and]</w:t>
      </w:r>
    </w:p>
    <w:p w:rsidR="00AB16BD" w:rsidRDefault="00AB16BD" w:rsidP="00AB16BD">
      <w:pPr>
        <w:tabs>
          <w:tab w:val="left" w:pos="540"/>
        </w:tabs>
        <w:spacing w:after="0" w:line="240" w:lineRule="auto"/>
        <w:ind w:left="108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1080" w:right="72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(2) </w:t>
      </w:r>
      <w:r w:rsidRPr="00BA506A">
        <w:rPr>
          <w:rFonts w:ascii="Century Schoolbook" w:eastAsia="Times New Roman" w:hAnsi="Century Schoolbook" w:cs="Times New Roman"/>
        </w:rPr>
        <w:tab/>
        <w:t xml:space="preserve">The “bodily injury” or “property damage” occurs during the policy period; . . .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Default="00AB16BD" w:rsidP="00AB16BD">
      <w:pPr>
        <w:tabs>
          <w:tab w:val="left" w:pos="540"/>
        </w:tabs>
        <w:spacing w:after="0" w:line="240" w:lineRule="auto"/>
        <w:ind w:left="720" w:right="720"/>
        <w:jc w:val="both"/>
        <w:rPr>
          <w:rFonts w:ascii="Century Schoolbook" w:eastAsia="Times New Roman" w:hAnsi="Century Schoolbook" w:cs="Times New Roman"/>
          <w:b/>
        </w:rPr>
      </w:pPr>
      <w:r>
        <w:rPr>
          <w:rFonts w:ascii="Century Schoolbook" w:eastAsia="Times New Roman" w:hAnsi="Century Schoolbook" w:cs="Times New Roman"/>
          <w:b/>
        </w:rPr>
        <w:t xml:space="preserve">2. </w:t>
      </w:r>
      <w:r w:rsidRPr="00BA506A">
        <w:rPr>
          <w:rFonts w:ascii="Century Schoolbook" w:eastAsia="Times New Roman" w:hAnsi="Century Schoolbook" w:cs="Times New Roman"/>
          <w:b/>
        </w:rPr>
        <w:t>Exclusions</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This insurance does not apply to: . .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rPr>
          <w:rFonts w:ascii="Century Schoolbook" w:eastAsia="Times New Roman" w:hAnsi="Century Schoolbook" w:cs="Times New Roman"/>
          <w:b/>
        </w:rPr>
      </w:pPr>
      <w:r>
        <w:rPr>
          <w:rFonts w:ascii="Century Schoolbook" w:eastAsia="Times New Roman" w:hAnsi="Century Schoolbook" w:cs="Times New Roman"/>
          <w:b/>
        </w:rPr>
        <w:lastRenderedPageBreak/>
        <w:t xml:space="preserve">a. </w:t>
      </w:r>
      <w:r w:rsidRPr="00BA506A">
        <w:rPr>
          <w:rFonts w:ascii="Century Schoolbook" w:eastAsia="Times New Roman" w:hAnsi="Century Schoolbook" w:cs="Times New Roman"/>
          <w:b/>
        </w:rPr>
        <w:t>Expected or Intended Injury</w:t>
      </w:r>
    </w:p>
    <w:p w:rsidR="00AB16BD"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“Bodily injury” or “property damage” expected or intended from the standpoint of the insured. . . .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r w:rsidRPr="00BA506A">
        <w:rPr>
          <w:rFonts w:ascii="Century Schoolbook" w:eastAsia="Times New Roman" w:hAnsi="Century Schoolbook" w:cs="Times New Roman"/>
          <w:b/>
        </w:rPr>
        <w:t>j. Damage to Property</w:t>
      </w:r>
    </w:p>
    <w:p w:rsidR="00AB16BD" w:rsidRDefault="00AB16BD" w:rsidP="00AB16BD">
      <w:pPr>
        <w:tabs>
          <w:tab w:val="left" w:pos="540"/>
        </w:tabs>
        <w:spacing w:after="0" w:line="240" w:lineRule="auto"/>
        <w:ind w:left="720" w:right="540"/>
        <w:rPr>
          <w:rFonts w:ascii="Century Schoolbook" w:eastAsia="Times New Roman" w:hAnsi="Century Schoolbook" w:cs="Times New Roman"/>
        </w:rPr>
      </w:pPr>
      <w:r w:rsidRPr="00BA506A">
        <w:rPr>
          <w:rFonts w:ascii="Century Schoolbook" w:eastAsia="Times New Roman" w:hAnsi="Century Schoolbook" w:cs="Times New Roman"/>
        </w:rPr>
        <w:t xml:space="preserve">“Property damage” to: . . . </w:t>
      </w:r>
    </w:p>
    <w:p w:rsidR="00AB16BD" w:rsidRPr="00BA506A" w:rsidRDefault="00AB16BD" w:rsidP="00AB16BD">
      <w:pPr>
        <w:tabs>
          <w:tab w:val="left" w:pos="540"/>
        </w:tabs>
        <w:spacing w:after="0" w:line="240" w:lineRule="auto"/>
        <w:ind w:left="720" w:right="540"/>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900" w:right="720"/>
        <w:jc w:val="both"/>
        <w:rPr>
          <w:rFonts w:ascii="Century Schoolbook" w:eastAsia="Times New Roman" w:hAnsi="Century Schoolbook" w:cs="Times New Roman"/>
        </w:rPr>
      </w:pPr>
      <w:r w:rsidRPr="00BA506A">
        <w:rPr>
          <w:rFonts w:ascii="Century Schoolbook" w:eastAsia="Times New Roman" w:hAnsi="Century Schoolbook" w:cs="Times New Roman"/>
          <w:b/>
        </w:rPr>
        <w:t>(5)</w:t>
      </w:r>
      <w:r w:rsidRPr="00BA506A">
        <w:rPr>
          <w:rFonts w:ascii="Century Schoolbook" w:eastAsia="Times New Roman" w:hAnsi="Century Schoolbook" w:cs="Times New Roman"/>
        </w:rPr>
        <w:t xml:space="preserve"> That particular part of real property on which you or any contractors or subcontractors working directly or indirectly on your behalf are performing operations, if the “property damage” arises out of those operations; or</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900" w:right="720"/>
        <w:jc w:val="both"/>
        <w:rPr>
          <w:rFonts w:ascii="Century Schoolbook" w:eastAsia="Times New Roman" w:hAnsi="Century Schoolbook" w:cs="Times New Roman"/>
        </w:rPr>
      </w:pPr>
      <w:r w:rsidRPr="00BA506A">
        <w:rPr>
          <w:rFonts w:ascii="Century Schoolbook" w:eastAsia="Times New Roman" w:hAnsi="Century Schoolbook" w:cs="Times New Roman"/>
          <w:b/>
        </w:rPr>
        <w:t>(6)</w:t>
      </w:r>
      <w:r w:rsidRPr="00BA506A">
        <w:rPr>
          <w:rFonts w:ascii="Century Schoolbook" w:eastAsia="Times New Roman" w:hAnsi="Century Schoolbook" w:cs="Times New Roman"/>
        </w:rPr>
        <w:t xml:space="preserve"> That particular part of any property that must be restored, repaired or replaced because “your work” was incorrectly performed on it.</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Paragraph </w:t>
      </w:r>
      <w:r w:rsidRPr="00BA506A">
        <w:rPr>
          <w:rFonts w:ascii="Century Schoolbook" w:eastAsia="Times New Roman" w:hAnsi="Century Schoolbook" w:cs="Times New Roman"/>
          <w:b/>
        </w:rPr>
        <w:t>(6)</w:t>
      </w:r>
      <w:r w:rsidRPr="00BA506A">
        <w:rPr>
          <w:rFonts w:ascii="Century Schoolbook" w:eastAsia="Times New Roman" w:hAnsi="Century Schoolbook" w:cs="Times New Roman"/>
        </w:rPr>
        <w:t xml:space="preserve"> of this exclusion does not apply to “property damage” included in the “products-completed operations hazard.”</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ab/>
        <w:t>. . .</w:t>
      </w:r>
    </w:p>
    <w:p w:rsidR="00CB37A0" w:rsidRDefault="00CB37A0"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ab/>
      </w:r>
    </w:p>
    <w:p w:rsidR="00AB16BD" w:rsidRPr="00BA506A" w:rsidRDefault="00AB16BD" w:rsidP="00AB16BD">
      <w:pPr>
        <w:tabs>
          <w:tab w:val="left" w:pos="540"/>
        </w:tabs>
        <w:spacing w:after="0" w:line="240" w:lineRule="auto"/>
        <w:ind w:left="720" w:right="720"/>
        <w:rPr>
          <w:rFonts w:ascii="Century Schoolbook" w:eastAsia="Times New Roman" w:hAnsi="Century Schoolbook" w:cs="Times New Roman"/>
        </w:rPr>
      </w:pPr>
      <w:r w:rsidRPr="00BA506A">
        <w:rPr>
          <w:rFonts w:ascii="Century Schoolbook" w:eastAsia="Times New Roman" w:hAnsi="Century Schoolbook" w:cs="Times New Roman"/>
          <w:b/>
        </w:rPr>
        <w:lastRenderedPageBreak/>
        <w:t>l. Damage To Your Work</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“Property damage” to “your work” arising out of it or any part of it and included in the “products-completed operations hazard.”</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This exclusion does not apply if the damaged work or the work out of which the damage arises was performed on your behalf by a subcontractor.</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r w:rsidRPr="00BA506A">
        <w:rPr>
          <w:rFonts w:ascii="Century Schoolbook" w:eastAsia="Times New Roman" w:hAnsi="Century Schoolbook" w:cs="Times New Roman"/>
          <w:b/>
        </w:rPr>
        <w:t>SECTION IV – DEFINITIONS</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b/>
        </w:rPr>
        <w:t>13.</w:t>
      </w:r>
      <w:r w:rsidRPr="00BA506A">
        <w:rPr>
          <w:rFonts w:ascii="Century Schoolbook" w:eastAsia="Times New Roman" w:hAnsi="Century Schoolbook" w:cs="Times New Roman"/>
        </w:rPr>
        <w:t xml:space="preserve"> “Occurrence” means an accident, including continuous or repeated exposure to substantially the same general harmful conditions. . .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b/>
        </w:rPr>
        <w:t>16.</w:t>
      </w:r>
      <w:r w:rsidRPr="00BA506A">
        <w:rPr>
          <w:rFonts w:ascii="Century Schoolbook" w:eastAsia="Times New Roman" w:hAnsi="Century Schoolbook" w:cs="Times New Roman"/>
        </w:rPr>
        <w:t xml:space="preserve"> “Products-completed operations hazard”:</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900" w:right="720"/>
        <w:jc w:val="both"/>
        <w:rPr>
          <w:rFonts w:ascii="Century Schoolbook" w:eastAsia="Times New Roman" w:hAnsi="Century Schoolbook" w:cs="Times New Roman"/>
        </w:rPr>
      </w:pPr>
      <w:r w:rsidRPr="00BA506A">
        <w:rPr>
          <w:rFonts w:ascii="Century Schoolbook" w:eastAsia="Times New Roman" w:hAnsi="Century Schoolbook" w:cs="Times New Roman"/>
          <w:b/>
        </w:rPr>
        <w:t xml:space="preserve">a. </w:t>
      </w:r>
      <w:r w:rsidRPr="00BA506A">
        <w:rPr>
          <w:rFonts w:ascii="Century Schoolbook" w:eastAsia="Times New Roman" w:hAnsi="Century Schoolbook" w:cs="Times New Roman"/>
        </w:rPr>
        <w:t>Includes all “bodily injury” and “property damage” occurring away from premises you own or rent and arising out of “your product” or “your work” except: . .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1080" w:right="720"/>
        <w:jc w:val="both"/>
        <w:rPr>
          <w:rFonts w:ascii="Century Schoolbook" w:eastAsia="Times New Roman" w:hAnsi="Century Schoolbook" w:cs="Times New Roman"/>
        </w:rPr>
      </w:pPr>
      <w:r w:rsidRPr="00BA506A">
        <w:rPr>
          <w:rFonts w:ascii="Century Schoolbook" w:eastAsia="Times New Roman" w:hAnsi="Century Schoolbook" w:cs="Times New Roman"/>
          <w:b/>
        </w:rPr>
        <w:t>(2)</w:t>
      </w:r>
      <w:r w:rsidRPr="00BA506A">
        <w:rPr>
          <w:rFonts w:ascii="Century Schoolbook" w:eastAsia="Times New Roman" w:hAnsi="Century Schoolbook" w:cs="Times New Roman"/>
        </w:rPr>
        <w:t xml:space="preserve"> Work that has not yet been </w:t>
      </w:r>
      <w:r w:rsidRPr="00BA506A">
        <w:rPr>
          <w:rFonts w:ascii="Century Schoolbook" w:eastAsia="Times New Roman" w:hAnsi="Century Schoolbook" w:cs="Times New Roman"/>
        </w:rPr>
        <w:lastRenderedPageBreak/>
        <w:t>completed or abandoned.  However, “your work” will be deemed completed at the earliest of the following times:</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1260" w:right="720"/>
        <w:jc w:val="both"/>
        <w:rPr>
          <w:rFonts w:ascii="Century Schoolbook" w:eastAsia="Times New Roman" w:hAnsi="Century Schoolbook" w:cs="Times New Roman"/>
        </w:rPr>
      </w:pPr>
      <w:r w:rsidRPr="00BA506A">
        <w:rPr>
          <w:rFonts w:ascii="Century Schoolbook" w:eastAsia="Times New Roman" w:hAnsi="Century Schoolbook" w:cs="Times New Roman"/>
          <w:b/>
        </w:rPr>
        <w:t>(a)</w:t>
      </w:r>
      <w:r w:rsidRPr="00BA506A">
        <w:rPr>
          <w:rFonts w:ascii="Century Schoolbook" w:eastAsia="Times New Roman" w:hAnsi="Century Schoolbook" w:cs="Times New Roman"/>
        </w:rPr>
        <w:tab/>
        <w:t xml:space="preserve">When all of the work called for in your contract has been completed. </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1260" w:right="720"/>
        <w:jc w:val="both"/>
        <w:rPr>
          <w:rFonts w:ascii="Century Schoolbook" w:eastAsia="Times New Roman" w:hAnsi="Century Schoolbook" w:cs="Times New Roman"/>
        </w:rPr>
      </w:pPr>
      <w:r w:rsidRPr="00BA506A">
        <w:rPr>
          <w:rFonts w:ascii="Century Schoolbook" w:eastAsia="Times New Roman" w:hAnsi="Century Schoolbook" w:cs="Times New Roman"/>
          <w:b/>
        </w:rPr>
        <w:t>(b)</w:t>
      </w:r>
      <w:r w:rsidRPr="00BA506A">
        <w:rPr>
          <w:rFonts w:ascii="Century Schoolbook" w:eastAsia="Times New Roman" w:hAnsi="Century Schoolbook" w:cs="Times New Roman"/>
        </w:rPr>
        <w:tab/>
        <w:t>When all of the work to be done at the job site has been completed if your contract calls for work at more than one job site.</w:t>
      </w: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1260" w:right="720"/>
        <w:jc w:val="both"/>
        <w:rPr>
          <w:rFonts w:ascii="Century Schoolbook" w:eastAsia="Times New Roman" w:hAnsi="Century Schoolbook" w:cs="Times New Roman"/>
        </w:rPr>
      </w:pPr>
      <w:r w:rsidRPr="00BA506A">
        <w:rPr>
          <w:rFonts w:ascii="Century Schoolbook" w:eastAsia="Times New Roman" w:hAnsi="Century Schoolbook" w:cs="Times New Roman"/>
          <w:b/>
        </w:rPr>
        <w:t>(c)</w:t>
      </w:r>
      <w:r w:rsidRPr="00BA506A">
        <w:rPr>
          <w:rFonts w:ascii="Century Schoolbook" w:eastAsia="Times New Roman" w:hAnsi="Century Schoolbook" w:cs="Times New Roman"/>
        </w:rPr>
        <w:tab/>
        <w:t xml:space="preserve">When that part of the work done at a job site has </w:t>
      </w:r>
      <w:r w:rsidRPr="00BA506A">
        <w:rPr>
          <w:rFonts w:ascii="Century Schoolbook" w:eastAsia="Times New Roman" w:hAnsi="Century Schoolbook" w:cs="Times New Roman"/>
        </w:rPr>
        <w:tab/>
        <w:t xml:space="preserve">been put to its intended use by any person or </w:t>
      </w:r>
      <w:r w:rsidRPr="00BA506A">
        <w:rPr>
          <w:rFonts w:ascii="Century Schoolbook" w:eastAsia="Times New Roman" w:hAnsi="Century Schoolbook" w:cs="Times New Roman"/>
        </w:rPr>
        <w:tab/>
        <w:t xml:space="preserve">organization other than another contractor or </w:t>
      </w:r>
      <w:r w:rsidRPr="00BA506A">
        <w:rPr>
          <w:rFonts w:ascii="Century Schoolbook" w:eastAsia="Times New Roman" w:hAnsi="Century Schoolbook" w:cs="Times New Roman"/>
        </w:rPr>
        <w:tab/>
        <w:t>subcontractor working on the same project.</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1080" w:right="54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Work that may need service, maintenance, correction, repair or replacement, but which is otherwise </w:t>
      </w:r>
      <w:r w:rsidRPr="00BA506A">
        <w:rPr>
          <w:rFonts w:ascii="Century Schoolbook" w:eastAsia="Times New Roman" w:hAnsi="Century Schoolbook" w:cs="Times New Roman"/>
        </w:rPr>
        <w:lastRenderedPageBreak/>
        <w:t>completed, will be treated as completed.</w:t>
      </w:r>
      <w:r w:rsidRPr="00BA506A">
        <w:rPr>
          <w:rFonts w:ascii="Century Schoolbook" w:eastAsia="Times New Roman" w:hAnsi="Century Schoolbook" w:cs="Times New Roman"/>
          <w:vertAlign w:val="superscript"/>
        </w:rPr>
        <w:endnoteReference w:id="386"/>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r w:rsidRPr="00BA506A">
        <w:rPr>
          <w:rFonts w:ascii="Century Schoolbook" w:eastAsia="Times New Roman" w:hAnsi="Century Schoolbook" w:cs="Times New Roman"/>
        </w:rPr>
        <w:tab/>
      </w: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The business risk exclusions can be broken down into three separate parts.  First, the ongoing operations exclusion, which relates to the property that is being worked on, can be found in subsection j(5) above.  Second, the faulty workmanship exclusion is contained in subsection j(6) above.  Third, the “your work” exclusion, which applies to completed operations, is found in subsection l.  Significantly, there are exceptions to the exclusions, most notably the “products-completed operations hazard” exception in paragraph 16 of Section IV and the subcontractor exception found in the “your work” exclusion of subsection l above.  The effect of these exceptions is not to create a separate category of coverage, but rather they are a category of losses that are covered even though they might otherwise be excluded.</w:t>
      </w:r>
      <w:r w:rsidRPr="00BA506A">
        <w:rPr>
          <w:rFonts w:ascii="Century Schoolbook" w:eastAsia="Times New Roman" w:hAnsi="Century Schoolbook" w:cs="Times New Roman"/>
          <w:vertAlign w:val="superscript"/>
        </w:rPr>
        <w:endnoteReference w:id="387"/>
      </w:r>
      <w:r w:rsidRPr="00BA506A">
        <w:rPr>
          <w:rFonts w:ascii="Century Schoolbook" w:eastAsia="Times New Roman" w:hAnsi="Century Schoolbook" w:cs="Times New Roman"/>
        </w:rPr>
        <w:tab/>
      </w:r>
    </w:p>
    <w:p w:rsidR="00AB16BD" w:rsidRPr="00BA506A" w:rsidRDefault="00AB16BD" w:rsidP="00AB16BD">
      <w:pPr>
        <w:tabs>
          <w:tab w:val="left" w:pos="540"/>
        </w:tabs>
        <w:spacing w:after="0" w:line="240" w:lineRule="auto"/>
        <w:jc w:val="both"/>
        <w:rPr>
          <w:rFonts w:ascii="Century Schoolbook" w:eastAsia="Times New Roman" w:hAnsi="Century Schoolbook" w:cs="Times New Roman"/>
          <w:b/>
        </w:rPr>
      </w:pPr>
    </w:p>
    <w:p w:rsidR="00AB16BD" w:rsidRDefault="00AB16BD" w:rsidP="00AB16BD">
      <w:pPr>
        <w:tabs>
          <w:tab w:val="left" w:pos="540"/>
        </w:tabs>
        <w:spacing w:after="0" w:line="240" w:lineRule="auto"/>
        <w:jc w:val="center"/>
        <w:rPr>
          <w:rFonts w:ascii="Century Schoolbook" w:eastAsia="Times New Roman" w:hAnsi="Century Schoolbook" w:cs="Times New Roman"/>
          <w:b/>
        </w:rPr>
      </w:pPr>
      <w:r w:rsidRPr="00BA506A">
        <w:rPr>
          <w:rFonts w:ascii="Century Schoolbook" w:eastAsia="Times New Roman" w:hAnsi="Century Schoolbook" w:cs="Times New Roman"/>
          <w:b/>
        </w:rPr>
        <w:t>A.  Recent Cases Discussing the “Occurrence” Requirement</w:t>
      </w:r>
    </w:p>
    <w:p w:rsidR="00AB16BD" w:rsidRPr="00BA506A" w:rsidRDefault="00AB16BD" w:rsidP="00AB16BD">
      <w:pPr>
        <w:tabs>
          <w:tab w:val="left" w:pos="540"/>
        </w:tabs>
        <w:spacing w:after="0" w:line="240" w:lineRule="auto"/>
        <w:jc w:val="center"/>
        <w:rPr>
          <w:rFonts w:ascii="Century Schoolbook" w:eastAsia="Times New Roman" w:hAnsi="Century Schoolbook" w:cs="Times New Roman"/>
          <w:b/>
        </w:rPr>
      </w:pPr>
      <w:r w:rsidRPr="00BA506A">
        <w:rPr>
          <w:rFonts w:ascii="Century Schoolbook" w:eastAsia="Times New Roman" w:hAnsi="Century Schoolbook" w:cs="Times New Roman"/>
          <w:b/>
        </w:rPr>
        <w:t>in Construction Litigation</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As discussed above, the term “occurrence” found in most CGL policies typically is defined as an “accident.”  Because the term “accident” usually is not further defined in the policy, courts generally look to the commonly accepted meaning of the term.</w:t>
      </w:r>
      <w:r w:rsidRPr="00BA506A">
        <w:rPr>
          <w:rFonts w:ascii="Century Schoolbook" w:eastAsia="Times New Roman" w:hAnsi="Century Schoolbook" w:cs="Times New Roman"/>
          <w:vertAlign w:val="superscript"/>
        </w:rPr>
        <w:endnoteReference w:id="388"/>
      </w:r>
      <w:r w:rsidRPr="00BA506A">
        <w:rPr>
          <w:rFonts w:ascii="Century Schoolbook" w:eastAsia="Times New Roman" w:hAnsi="Century Schoolbook" w:cs="Times New Roman"/>
        </w:rPr>
        <w:t xml:space="preserve">  Recently, in </w:t>
      </w:r>
      <w:r w:rsidRPr="00BA506A">
        <w:rPr>
          <w:rFonts w:ascii="Century Schoolbook" w:eastAsia="Times New Roman" w:hAnsi="Century Schoolbook" w:cs="Times New Roman"/>
          <w:i/>
        </w:rPr>
        <w:t>American Empire Surplus Lines Insurance Co. v. Hathaway Development Co.</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389"/>
      </w:r>
      <w:r w:rsidRPr="00BA506A">
        <w:rPr>
          <w:rFonts w:ascii="Century Schoolbook" w:eastAsia="Times New Roman" w:hAnsi="Century Schoolbook" w:cs="Times New Roman"/>
        </w:rPr>
        <w:t xml:space="preserve"> the Georgia </w:t>
      </w:r>
      <w:r w:rsidRPr="00BA506A">
        <w:rPr>
          <w:rFonts w:ascii="Century Schoolbook" w:eastAsia="Times New Roman" w:hAnsi="Century Schoolbook" w:cs="Times New Roman"/>
        </w:rPr>
        <w:lastRenderedPageBreak/>
        <w:t>Supreme Court reiterated that in the context of insurance policies, an “accident” is deemed to be “an unexpected happening without intention or design.”</w:t>
      </w:r>
      <w:r w:rsidRPr="00BA506A">
        <w:rPr>
          <w:rFonts w:ascii="Century Schoolbook" w:eastAsia="Times New Roman" w:hAnsi="Century Schoolbook" w:cs="Times New Roman"/>
          <w:vertAlign w:val="superscript"/>
        </w:rPr>
        <w:endnoteReference w:id="390"/>
      </w:r>
      <w:r w:rsidRPr="00BA506A">
        <w:rPr>
          <w:rFonts w:ascii="Century Schoolbook" w:eastAsia="Times New Roman" w:hAnsi="Century Schoolbook" w:cs="Times New Roman"/>
        </w:rPr>
        <w:t xml:space="preserve">  In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the court drew an important distinction between expected or intended non-accidents and deliberate acts performed negligently, noting that the latter can be considered an accident “if the effect is not the intended or expected result.”</w:t>
      </w:r>
      <w:r w:rsidRPr="00BA506A">
        <w:rPr>
          <w:rFonts w:ascii="Century Schoolbook" w:eastAsia="Times New Roman" w:hAnsi="Century Schoolbook" w:cs="Times New Roman"/>
          <w:vertAlign w:val="superscript"/>
        </w:rPr>
        <w:endnoteReference w:id="391"/>
      </w:r>
      <w:r w:rsidRPr="00BA506A">
        <w:rPr>
          <w:rFonts w:ascii="Century Schoolbook" w:eastAsia="Times New Roman" w:hAnsi="Century Schoolbook" w:cs="Times New Roman"/>
        </w:rPr>
        <w:t xml:space="preserve">  The court also recognized a growing trend in other jurisdictions toward including construction defect claims as “accidents” for purposes of CGL policies.</w:t>
      </w:r>
      <w:r w:rsidRPr="00BA506A">
        <w:rPr>
          <w:rFonts w:ascii="Century Schoolbook" w:eastAsia="Times New Roman" w:hAnsi="Century Schoolbook" w:cs="Times New Roman"/>
          <w:vertAlign w:val="superscript"/>
        </w:rPr>
        <w:endnoteReference w:id="392"/>
      </w:r>
      <w:r w:rsidRPr="00BA506A">
        <w:rPr>
          <w:rFonts w:ascii="Century Schoolbook" w:eastAsia="Times New Roman" w:hAnsi="Century Schoolbook" w:cs="Times New Roman"/>
        </w:rPr>
        <w:t xml:space="preserve">  In Georgia, it has been established for some time that claims for faulty workmanship can constitute an “occurrence” under a CGL policy.</w:t>
      </w:r>
      <w:r w:rsidRPr="00BA506A">
        <w:rPr>
          <w:rFonts w:ascii="Century Schoolbook" w:eastAsia="Times New Roman" w:hAnsi="Century Schoolbook" w:cs="Times New Roman"/>
          <w:vertAlign w:val="superscript"/>
        </w:rPr>
        <w:endnoteReference w:id="393"/>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However, there are several appellate decisions that hold that the term “occurrence” does not mean breach of contract, fraud, or breach of warranty from the failure to disclose material information.</w:t>
      </w:r>
      <w:r w:rsidRPr="00BA506A">
        <w:rPr>
          <w:rFonts w:ascii="Century Schoolbook" w:eastAsia="Times New Roman" w:hAnsi="Century Schoolbook" w:cs="Times New Roman"/>
          <w:vertAlign w:val="superscript"/>
        </w:rPr>
        <w:endnoteReference w:id="394"/>
      </w:r>
      <w:r w:rsidRPr="00BA506A">
        <w:rPr>
          <w:rFonts w:ascii="Century Schoolbook" w:eastAsia="Times New Roman" w:hAnsi="Century Schoolbook" w:cs="Times New Roman"/>
        </w:rPr>
        <w:t xml:space="preserve">  In </w:t>
      </w:r>
      <w:r w:rsidRPr="00BA506A">
        <w:rPr>
          <w:rFonts w:ascii="Century Schoolbook" w:eastAsia="Times New Roman" w:hAnsi="Century Schoolbook" w:cs="Times New Roman"/>
          <w:i/>
        </w:rPr>
        <w:t>McDonald Construction Co. v. Bituminous Casualty Corp.</w:t>
      </w:r>
      <w:r w:rsidRPr="00BA506A">
        <w:rPr>
          <w:rFonts w:ascii="Century Schoolbook" w:eastAsia="Times New Roman" w:hAnsi="Century Schoolbook" w:cs="Times New Roman"/>
        </w:rPr>
        <w:t>, the court found that the CGL policy at issue did not provide coverage for the cost to replace tiles on a construction project.  The court stated as follows:</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CGL coverage is intended to cover the “potentially limitless liability” associated with the risk that the work of the insured, once relinquished or completed, will cause </w:t>
      </w:r>
      <w:r w:rsidRPr="00BA506A">
        <w:rPr>
          <w:rFonts w:ascii="Century Schoolbook" w:eastAsia="Times New Roman" w:hAnsi="Century Schoolbook" w:cs="Times New Roman"/>
        </w:rPr>
        <w:lastRenderedPageBreak/>
        <w:t>bodily injury or damage to property other than to the completed work itself, and for which the insured may be found liable.  For there to be coverage under a CGL policy for faulty workmanship, there would have to be damage to property other than the work itself and the insured’s liability for such damage would have to arise from negligence, not breach of contract.</w:t>
      </w:r>
      <w:r w:rsidRPr="00BA506A">
        <w:rPr>
          <w:rFonts w:ascii="Century Schoolbook" w:eastAsia="Times New Roman" w:hAnsi="Century Schoolbook" w:cs="Times New Roman"/>
          <w:vertAlign w:val="superscript"/>
        </w:rPr>
        <w:endnoteReference w:id="395"/>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Similarly, in </w:t>
      </w:r>
      <w:r w:rsidRPr="00BA506A">
        <w:rPr>
          <w:rFonts w:ascii="Century Schoolbook" w:eastAsia="Times New Roman" w:hAnsi="Century Schoolbook" w:cs="Times New Roman"/>
          <w:i/>
        </w:rPr>
        <w:t>Custom Planning &amp; Development, Inc. v. American National Fire Insurance Co.</w:t>
      </w:r>
      <w:r w:rsidRPr="00BA506A">
        <w:rPr>
          <w:rFonts w:ascii="Century Schoolbook" w:eastAsia="Times New Roman" w:hAnsi="Century Schoolbook" w:cs="Times New Roman"/>
        </w:rPr>
        <w:t>, the court of appeals held that, where there has been no determination that no other property was damaged as a consequence of faulty workmanship, then there has been no occurrence within the meaning of the policy, if the faulty workmanship causes damage only to the work itself.</w:t>
      </w:r>
      <w:r w:rsidRPr="00BA506A">
        <w:rPr>
          <w:rFonts w:ascii="Century Schoolbook" w:eastAsia="Times New Roman" w:hAnsi="Century Schoolbook" w:cs="Times New Roman"/>
          <w:vertAlign w:val="superscript"/>
        </w:rPr>
        <w:endnoteReference w:id="396"/>
      </w:r>
      <w:r w:rsidRPr="00BA506A">
        <w:rPr>
          <w:rFonts w:ascii="Century Schoolbook" w:eastAsia="Times New Roman" w:hAnsi="Century Schoolbook" w:cs="Times New Roman"/>
        </w:rPr>
        <w:t xml:space="preserve">  In </w:t>
      </w:r>
      <w:r w:rsidRPr="00BA506A">
        <w:rPr>
          <w:rFonts w:ascii="Century Schoolbook" w:eastAsia="Times New Roman" w:hAnsi="Century Schoolbook" w:cs="Times New Roman"/>
          <w:i/>
        </w:rPr>
        <w:t>Custom Planning</w:t>
      </w:r>
      <w:r w:rsidRPr="00BA506A">
        <w:rPr>
          <w:rFonts w:ascii="Century Schoolbook" w:eastAsia="Times New Roman" w:hAnsi="Century Schoolbook" w:cs="Times New Roman"/>
        </w:rPr>
        <w:t>, there had been a previous arbitration decision that allegations of poor soil compaction and the presence of trash and debris in the fill soil on a construction project supported an award for damages on the plaintiff’s claim for breach of contract and breach of implied warranty, given that the construction of a retaining wall above the compaction site had failed to meet the construction standards of the industry or customs of the building trade.</w:t>
      </w:r>
      <w:r w:rsidRPr="00BA506A">
        <w:rPr>
          <w:rFonts w:ascii="Century Schoolbook" w:eastAsia="Times New Roman" w:hAnsi="Century Schoolbook" w:cs="Times New Roman"/>
          <w:vertAlign w:val="superscript"/>
        </w:rPr>
        <w:endnoteReference w:id="397"/>
      </w:r>
      <w:r w:rsidRPr="00BA506A">
        <w:rPr>
          <w:rFonts w:ascii="Century Schoolbook" w:eastAsia="Times New Roman" w:hAnsi="Century Schoolbook" w:cs="Times New Roman"/>
        </w:rPr>
        <w:t xml:space="preserve">  However, there were no </w:t>
      </w:r>
      <w:r w:rsidRPr="00BA506A">
        <w:rPr>
          <w:rFonts w:ascii="Century Schoolbook" w:eastAsia="Times New Roman" w:hAnsi="Century Schoolbook" w:cs="Times New Roman"/>
        </w:rPr>
        <w:lastRenderedPageBreak/>
        <w:t>damages awarded for the alleged damage to a swimming pool resulting from the retaining wall failure.</w:t>
      </w:r>
      <w:r w:rsidRPr="00BA506A">
        <w:rPr>
          <w:rFonts w:ascii="Century Schoolbook" w:eastAsia="Times New Roman" w:hAnsi="Century Schoolbook" w:cs="Times New Roman"/>
          <w:vertAlign w:val="superscript"/>
        </w:rPr>
        <w:endnoteReference w:id="398"/>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Maxum Indemnity Co. v. Jimenez</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399"/>
      </w:r>
      <w:r w:rsidRPr="00BA506A">
        <w:rPr>
          <w:rFonts w:ascii="Century Schoolbook" w:eastAsia="Times New Roman" w:hAnsi="Century Schoolbook" w:cs="Times New Roman"/>
        </w:rPr>
        <w:t xml:space="preserve"> the Georgia Court of Appeals held that a subcontractor’s faulty workmanship which causes unforeseen or unexpected damage to other property constitutes an “occurrence” under a CGL policy.  The court noted that there was no evidence that the insured plumber’s mistakes in installing a pipe which had eventually burst were expected or intentional.</w:t>
      </w:r>
      <w:r w:rsidRPr="00BA506A">
        <w:rPr>
          <w:rFonts w:ascii="Century Schoolbook" w:eastAsia="Times New Roman" w:hAnsi="Century Schoolbook" w:cs="Times New Roman"/>
          <w:vertAlign w:val="superscript"/>
        </w:rPr>
        <w:endnoteReference w:id="400"/>
      </w:r>
      <w:r w:rsidRPr="00BA506A">
        <w:rPr>
          <w:rFonts w:ascii="Century Schoolbook" w:eastAsia="Times New Roman" w:hAnsi="Century Schoolbook" w:cs="Times New Roman"/>
        </w:rPr>
        <w:t xml:space="preserve">  The court also rejected the insurer’s argument that the existence of claims for contractual indemnity and breach of contract in the underlying litigation removed the loss from the definition of “occurrence” under the policy.</w:t>
      </w:r>
      <w:r w:rsidRPr="00BA506A">
        <w:rPr>
          <w:rFonts w:ascii="Century Schoolbook" w:eastAsia="Times New Roman" w:hAnsi="Century Schoolbook" w:cs="Times New Roman"/>
          <w:vertAlign w:val="superscript"/>
        </w:rPr>
        <w:endnoteReference w:id="401"/>
      </w:r>
      <w:r w:rsidRPr="00BA506A">
        <w:rPr>
          <w:rFonts w:ascii="Century Schoolbook" w:eastAsia="Times New Roman" w:hAnsi="Century Schoolbook" w:cs="Times New Roman"/>
        </w:rPr>
        <w:t xml:space="preserve">  The court reasoned that the underlying claims against the insured included a tort claim based upon his defective workmanship in the pipe installation, thus constituting a covered occurrence under the policy.</w:t>
      </w:r>
      <w:r w:rsidRPr="00BA506A">
        <w:rPr>
          <w:rFonts w:ascii="Century Schoolbook" w:eastAsia="Times New Roman" w:hAnsi="Century Schoolbook" w:cs="Times New Roman"/>
          <w:vertAlign w:val="superscript"/>
        </w:rPr>
        <w:endnoteReference w:id="402"/>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court in </w:t>
      </w:r>
      <w:r w:rsidRPr="00BA506A">
        <w:rPr>
          <w:rFonts w:ascii="Century Schoolbook" w:eastAsia="Times New Roman" w:hAnsi="Century Schoolbook" w:cs="Times New Roman"/>
          <w:i/>
        </w:rPr>
        <w:t>Jimenez</w:t>
      </w:r>
      <w:r w:rsidRPr="00BA506A">
        <w:rPr>
          <w:rFonts w:ascii="Century Schoolbook" w:eastAsia="Times New Roman" w:hAnsi="Century Schoolbook" w:cs="Times New Roman"/>
        </w:rPr>
        <w:t xml:space="preserve"> also made an important distinction from </w:t>
      </w:r>
      <w:r w:rsidRPr="00BA506A">
        <w:rPr>
          <w:rFonts w:ascii="Century Schoolbook" w:eastAsia="Times New Roman" w:hAnsi="Century Schoolbook" w:cs="Times New Roman"/>
          <w:i/>
        </w:rPr>
        <w:t>McDonald</w:t>
      </w:r>
      <w:r w:rsidRPr="00BA506A">
        <w:rPr>
          <w:rFonts w:ascii="Century Schoolbook" w:eastAsia="Times New Roman" w:hAnsi="Century Schoolbook" w:cs="Times New Roman"/>
        </w:rPr>
        <w:t xml:space="preserve"> by pointing out that in </w:t>
      </w:r>
      <w:r w:rsidRPr="00BA506A">
        <w:rPr>
          <w:rFonts w:ascii="Century Schoolbook" w:eastAsia="Times New Roman" w:hAnsi="Century Schoolbook" w:cs="Times New Roman"/>
          <w:i/>
        </w:rPr>
        <w:t>McDonald</w:t>
      </w:r>
      <w:r w:rsidRPr="00BA506A">
        <w:rPr>
          <w:rFonts w:ascii="Century Schoolbook" w:eastAsia="Times New Roman" w:hAnsi="Century Schoolbook" w:cs="Times New Roman"/>
        </w:rPr>
        <w:t>, no actual damage had occurred.</w:t>
      </w:r>
      <w:r w:rsidRPr="00BA506A">
        <w:rPr>
          <w:rFonts w:ascii="Century Schoolbook" w:eastAsia="Times New Roman" w:hAnsi="Century Schoolbook" w:cs="Times New Roman"/>
          <w:vertAlign w:val="superscript"/>
        </w:rPr>
        <w:endnoteReference w:id="403"/>
      </w:r>
      <w:r w:rsidRPr="00BA506A">
        <w:rPr>
          <w:rFonts w:ascii="Century Schoolbook" w:eastAsia="Times New Roman" w:hAnsi="Century Schoolbook" w:cs="Times New Roman"/>
        </w:rPr>
        <w:t xml:space="preserve">  Significantly, in </w:t>
      </w:r>
      <w:r w:rsidRPr="00BA506A">
        <w:rPr>
          <w:rFonts w:ascii="Century Schoolbook" w:eastAsia="Times New Roman" w:hAnsi="Century Schoolbook" w:cs="Times New Roman"/>
          <w:i/>
        </w:rPr>
        <w:t>McDonald</w:t>
      </w:r>
      <w:r w:rsidRPr="00BA506A">
        <w:rPr>
          <w:rFonts w:ascii="Century Schoolbook" w:eastAsia="Times New Roman" w:hAnsi="Century Schoolbook" w:cs="Times New Roman"/>
        </w:rPr>
        <w:t>, the policy did not provide coverage for costs to replace tiles in order to comply with a construction contract; the tiles were replaced only in order to conform to the contract, not because there was damage as a result.</w:t>
      </w:r>
      <w:r w:rsidRPr="00BA506A">
        <w:rPr>
          <w:rFonts w:ascii="Century Schoolbook" w:eastAsia="Times New Roman" w:hAnsi="Century Schoolbook" w:cs="Times New Roman"/>
          <w:vertAlign w:val="superscript"/>
        </w:rPr>
        <w:endnoteReference w:id="404"/>
      </w:r>
      <w:r w:rsidRPr="00BA506A">
        <w:rPr>
          <w:rFonts w:ascii="Century Schoolbook" w:eastAsia="Times New Roman" w:hAnsi="Century Schoolbook" w:cs="Times New Roman"/>
        </w:rPr>
        <w:t xml:space="preserve">  One could draw a similar distinction from </w:t>
      </w:r>
      <w:r w:rsidRPr="00BA506A">
        <w:rPr>
          <w:rFonts w:ascii="Century Schoolbook" w:eastAsia="Times New Roman" w:hAnsi="Century Schoolbook" w:cs="Times New Roman"/>
          <w:i/>
        </w:rPr>
        <w:t>Custom Planning</w:t>
      </w:r>
      <w:r w:rsidRPr="00BA506A">
        <w:rPr>
          <w:rFonts w:ascii="Century Schoolbook" w:eastAsia="Times New Roman" w:hAnsi="Century Schoolbook" w:cs="Times New Roman"/>
        </w:rPr>
        <w:t xml:space="preserve">, because it involved improper soil compaction, resulting in </w:t>
      </w:r>
      <w:r w:rsidRPr="00BA506A">
        <w:rPr>
          <w:rFonts w:ascii="Century Schoolbook" w:eastAsia="Times New Roman" w:hAnsi="Century Schoolbook" w:cs="Times New Roman"/>
        </w:rPr>
        <w:lastRenderedPageBreak/>
        <w:t xml:space="preserve">non-compliance with construction industry standards, and yet there was no evidence of actual damage to the subsequently constructed swimming pool on the site.  Accordingly, it should be clear that where the faulty workmanship results in some non-conformity with a contract or industry standards, it will not be considered an “occurrence” under most CGL policies.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What is much less clear is whether a similar loss would be considered an “occurrence” where the underlying claim for defective workmanship, although sounding in both tort and contract, is filed only on the contract.  For example, it is conceivable that the statute of limitations could have expired on the tort claim and not on the contract claim, resulting in an action solely for breach of contract.  An argument could be made that an “occurrence” under the policy should depend on the injury itself and how it occurred, rather than how a particular party in underlying litigation pleads his case.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a much older case, </w:t>
      </w:r>
      <w:r w:rsidRPr="00BA506A">
        <w:rPr>
          <w:rFonts w:ascii="Century Schoolbook" w:eastAsia="Times New Roman" w:hAnsi="Century Schoolbook" w:cs="Times New Roman"/>
          <w:i/>
        </w:rPr>
        <w:t>Aetna Casualty &amp; Surety Co. v. Starrett</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05"/>
      </w:r>
      <w:r w:rsidRPr="00BA506A">
        <w:rPr>
          <w:rFonts w:ascii="Century Schoolbook" w:eastAsia="Times New Roman" w:hAnsi="Century Schoolbook" w:cs="Times New Roman"/>
        </w:rPr>
        <w:t xml:space="preserve"> the Georgia Court of Appeals held that the liability of a plumbing subcontractor for a burst pipe arose from the injury and the manner of its commission, despite the fact that the general contractor had sued the subcontractor only for breach of warranty.  The court concluded that the insurance contract between the subcontractor and the insurer was a contract to pay liabilities, as opposed </w:t>
      </w:r>
      <w:r w:rsidRPr="00BA506A">
        <w:rPr>
          <w:rFonts w:ascii="Century Schoolbook" w:eastAsia="Times New Roman" w:hAnsi="Century Schoolbook" w:cs="Times New Roman"/>
        </w:rPr>
        <w:lastRenderedPageBreak/>
        <w:t>to merely a contract to indemnify.</w:t>
      </w:r>
      <w:r w:rsidRPr="00BA506A">
        <w:rPr>
          <w:rFonts w:ascii="Century Schoolbook" w:eastAsia="Times New Roman" w:hAnsi="Century Schoolbook" w:cs="Times New Roman"/>
          <w:vertAlign w:val="superscript"/>
        </w:rPr>
        <w:endnoteReference w:id="406"/>
      </w:r>
      <w:r w:rsidRPr="00BA506A">
        <w:rPr>
          <w:rFonts w:ascii="Century Schoolbook" w:eastAsia="Times New Roman" w:hAnsi="Century Schoolbook" w:cs="Times New Roman"/>
        </w:rPr>
        <w:t xml:space="preserve">  Accordingly, the provision in the policy that excluded coverage for liability assumed under a contract did not relieve the insurer of liability.</w:t>
      </w:r>
      <w:r w:rsidRPr="00BA506A">
        <w:rPr>
          <w:rFonts w:ascii="Century Schoolbook" w:eastAsia="Times New Roman" w:hAnsi="Century Schoolbook" w:cs="Times New Roman"/>
          <w:vertAlign w:val="superscript"/>
        </w:rPr>
        <w:endnoteReference w:id="407"/>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jc w:val="center"/>
        <w:rPr>
          <w:rFonts w:ascii="Century Schoolbook" w:eastAsia="Times New Roman" w:hAnsi="Century Schoolbook" w:cs="Times New Roman"/>
          <w:b/>
        </w:rPr>
      </w:pPr>
      <w:r w:rsidRPr="00BA506A">
        <w:rPr>
          <w:rFonts w:ascii="Century Schoolbook" w:eastAsia="Times New Roman" w:hAnsi="Century Schoolbook" w:cs="Times New Roman"/>
          <w:b/>
        </w:rPr>
        <w:t>B. Recent Cases Discussing the “Occurrence” Requirement Outside of Construction Litigation</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lang w:val="en-CA"/>
        </w:rPr>
        <w:fldChar w:fldCharType="begin"/>
      </w:r>
      <w:r w:rsidRPr="00BA506A">
        <w:rPr>
          <w:rFonts w:ascii="Century Schoolbook" w:eastAsia="Times New Roman" w:hAnsi="Century Schoolbook" w:cs="Times New Roman"/>
          <w:lang w:val="en-CA"/>
        </w:rPr>
        <w:instrText xml:space="preserve"> SEQ CHAPTER \h \r 1</w:instrText>
      </w:r>
      <w:r w:rsidRPr="00BA506A">
        <w:rPr>
          <w:rFonts w:ascii="Century Schoolbook" w:eastAsia="Times New Roman" w:hAnsi="Century Schoolbook" w:cs="Times New Roman"/>
        </w:rPr>
        <w:fldChar w:fldCharType="end"/>
      </w:r>
      <w:r w:rsidRPr="00BA506A">
        <w:rPr>
          <w:rFonts w:ascii="Century Schoolbook" w:eastAsia="Times New Roman" w:hAnsi="Century Schoolbook" w:cs="Times New Roman"/>
        </w:rPr>
        <w:t xml:space="preserve">Other courts have limited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i/>
          <w:vertAlign w:val="superscript"/>
        </w:rPr>
        <w:endnoteReference w:id="408"/>
      </w:r>
      <w:r w:rsidRPr="00BA506A">
        <w:rPr>
          <w:rFonts w:ascii="Century Schoolbook" w:eastAsia="Times New Roman" w:hAnsi="Century Schoolbook" w:cs="Times New Roman"/>
        </w:rPr>
        <w:t xml:space="preserve"> to faulty workmanship cases, where damage results to “other property.”</w:t>
      </w:r>
      <w:r w:rsidRPr="00BA506A">
        <w:rPr>
          <w:rFonts w:ascii="Century Schoolbook" w:eastAsia="Times New Roman" w:hAnsi="Century Schoolbook" w:cs="Times New Roman"/>
          <w:vertAlign w:val="superscript"/>
        </w:rPr>
        <w:endnoteReference w:id="409"/>
      </w:r>
      <w:r w:rsidRPr="00BA506A">
        <w:rPr>
          <w:rFonts w:ascii="Century Schoolbook" w:eastAsia="Times New Roman" w:hAnsi="Century Schoolbook" w:cs="Times New Roman"/>
        </w:rPr>
        <w:t xml:space="preserve">  </w:t>
      </w:r>
      <w:r w:rsidRPr="00BA506A">
        <w:rPr>
          <w:rFonts w:ascii="Century Schoolbook" w:eastAsia="Times New Roman" w:hAnsi="Century Schoolbook" w:cs="Times New Roman"/>
          <w:lang w:val="en-CA"/>
        </w:rPr>
        <w:fldChar w:fldCharType="begin"/>
      </w:r>
      <w:r w:rsidRPr="00BA506A">
        <w:rPr>
          <w:rFonts w:ascii="Century Schoolbook" w:eastAsia="Times New Roman" w:hAnsi="Century Schoolbook" w:cs="Times New Roman"/>
          <w:lang w:val="en-CA"/>
        </w:rPr>
        <w:instrText xml:space="preserve"> SEQ CHAPTER \h \r 1</w:instrText>
      </w:r>
      <w:r w:rsidRPr="00BA506A">
        <w:rPr>
          <w:rFonts w:ascii="Century Schoolbook" w:eastAsia="Times New Roman" w:hAnsi="Century Schoolbook" w:cs="Times New Roman"/>
        </w:rPr>
        <w:fldChar w:fldCharType="end"/>
      </w: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Capital City Insurance Co. v. Forks Timber Co.</w:t>
      </w:r>
      <w:r w:rsidRPr="00BA506A">
        <w:rPr>
          <w:rFonts w:ascii="Century Schoolbook" w:eastAsia="Times New Roman" w:hAnsi="Century Schoolbook" w:cs="Times New Roman"/>
        </w:rPr>
        <w:t>, a logging company had cleared a tract of timber based upon the representation of the owner that the tract was unencumbered by liens, and the logging company did not check title to confirm this itself.</w:t>
      </w:r>
      <w:r w:rsidRPr="00BA506A">
        <w:rPr>
          <w:rFonts w:ascii="Century Schoolbook" w:eastAsia="Times New Roman" w:hAnsi="Century Schoolbook" w:cs="Times New Roman"/>
          <w:vertAlign w:val="superscript"/>
        </w:rPr>
        <w:endnoteReference w:id="410"/>
      </w:r>
      <w:r w:rsidRPr="00BA506A">
        <w:rPr>
          <w:rFonts w:ascii="Century Schoolbook" w:eastAsia="Times New Roman" w:hAnsi="Century Schoolbook" w:cs="Times New Roman"/>
        </w:rPr>
        <w:t xml:space="preserve">  However, the tract in fact was encumbered by a lien held by a bank, which subsequently sued the timber company for conversion.</w:t>
      </w:r>
      <w:r w:rsidRPr="00BA506A">
        <w:rPr>
          <w:rFonts w:ascii="Century Schoolbook" w:eastAsia="Times New Roman" w:hAnsi="Century Schoolbook" w:cs="Times New Roman"/>
          <w:vertAlign w:val="superscript"/>
        </w:rPr>
        <w:endnoteReference w:id="411"/>
      </w:r>
      <w:r w:rsidRPr="00BA506A">
        <w:rPr>
          <w:rFonts w:ascii="Century Schoolbook" w:eastAsia="Times New Roman" w:hAnsi="Century Schoolbook" w:cs="Times New Roman"/>
        </w:rPr>
        <w:t xml:space="preserve">  The timber company’s insurer filed a declaratory judgment action and contended that the timber company’s act of clearing the timber was intentional and thus not an “occurrence” under the policy.  The timber company argued that it had been merely negligent in failing to perform a title search before cutting down the trees, and therefore an accident had occurred, as contemplated by the CGL policies.  In so contending, the timber company relied upon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to argue that a deliberate act, performed negligently, may constitute an “occurrence.”</w:t>
      </w:r>
      <w:r w:rsidRPr="00BA506A">
        <w:rPr>
          <w:rFonts w:ascii="Century Schoolbook" w:eastAsia="Times New Roman" w:hAnsi="Century Schoolbook" w:cs="Times New Roman"/>
          <w:vertAlign w:val="superscript"/>
        </w:rPr>
        <w:endnoteReference w:id="412"/>
      </w:r>
      <w:r w:rsidRPr="00BA506A">
        <w:rPr>
          <w:rFonts w:ascii="Century Schoolbook" w:eastAsia="Times New Roman" w:hAnsi="Century Schoolbook" w:cs="Times New Roman"/>
        </w:rPr>
        <w:t xml:space="preserve">  The court in </w:t>
      </w:r>
      <w:r w:rsidRPr="00BA506A">
        <w:rPr>
          <w:rFonts w:ascii="Century Schoolbook" w:eastAsia="Times New Roman" w:hAnsi="Century Schoolbook" w:cs="Times New Roman"/>
          <w:i/>
        </w:rPr>
        <w:t>Forks Timber</w:t>
      </w:r>
      <w:r w:rsidRPr="00BA506A">
        <w:rPr>
          <w:rFonts w:ascii="Century Schoolbook" w:eastAsia="Times New Roman" w:hAnsi="Century Schoolbook" w:cs="Times New Roman"/>
        </w:rPr>
        <w:t xml:space="preserve"> disagreed and limited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to the facts before </w:t>
      </w:r>
      <w:r w:rsidRPr="00BA506A">
        <w:rPr>
          <w:rFonts w:ascii="Century Schoolbook" w:eastAsia="Times New Roman" w:hAnsi="Century Schoolbook" w:cs="Times New Roman"/>
        </w:rPr>
        <w:lastRenderedPageBreak/>
        <w:t>it, to wit, faulty workmanship that causes unintended damage to others.</w:t>
      </w:r>
      <w:r w:rsidRPr="00BA506A">
        <w:rPr>
          <w:rFonts w:ascii="Century Schoolbook" w:eastAsia="Times New Roman" w:hAnsi="Century Schoolbook" w:cs="Times New Roman"/>
          <w:vertAlign w:val="superscript"/>
        </w:rPr>
        <w:endnoteReference w:id="413"/>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so holding, the </w:t>
      </w:r>
      <w:r w:rsidRPr="00BA506A">
        <w:rPr>
          <w:rFonts w:ascii="Century Schoolbook" w:eastAsia="Times New Roman" w:hAnsi="Century Schoolbook" w:cs="Times New Roman"/>
          <w:i/>
        </w:rPr>
        <w:t>Forks Timber</w:t>
      </w:r>
      <w:r w:rsidRPr="00BA506A">
        <w:rPr>
          <w:rFonts w:ascii="Century Schoolbook" w:eastAsia="Times New Roman" w:hAnsi="Century Schoolbook" w:cs="Times New Roman"/>
        </w:rPr>
        <w:t xml:space="preserve"> court adopted the holding and reasoning of </w:t>
      </w:r>
      <w:r w:rsidRPr="00BA506A">
        <w:rPr>
          <w:rFonts w:ascii="Century Schoolbook" w:eastAsia="Times New Roman" w:hAnsi="Century Schoolbook" w:cs="Times New Roman"/>
          <w:i/>
        </w:rPr>
        <w:t>Mindis Metals, Inc. v. Transportation Insurance Co.</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14"/>
      </w:r>
      <w:r w:rsidRPr="00BA506A">
        <w:rPr>
          <w:rFonts w:ascii="Century Schoolbook" w:eastAsia="Times New Roman" w:hAnsi="Century Schoolbook" w:cs="Times New Roman"/>
        </w:rPr>
        <w:t xml:space="preserve"> and </w:t>
      </w:r>
      <w:r w:rsidRPr="00BA506A">
        <w:rPr>
          <w:rFonts w:ascii="Century Schoolbook" w:eastAsia="Times New Roman" w:hAnsi="Century Schoolbook" w:cs="Times New Roman"/>
          <w:i/>
        </w:rPr>
        <w:t>Macon Iron &amp; Paper Stock Co. v. Transcontinental Insurance Co</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15"/>
      </w:r>
      <w:r w:rsidRPr="00BA506A">
        <w:rPr>
          <w:rFonts w:ascii="Century Schoolbook" w:eastAsia="Times New Roman" w:hAnsi="Century Schoolbook" w:cs="Times New Roman"/>
        </w:rPr>
        <w:t xml:space="preserve">  </w:t>
      </w:r>
      <w:r w:rsidRPr="00BA506A">
        <w:rPr>
          <w:rFonts w:ascii="Century Schoolbook" w:eastAsia="Times New Roman" w:hAnsi="Century Schoolbook" w:cs="Times New Roman"/>
          <w:i/>
        </w:rPr>
        <w:t>Mindis Metals</w:t>
      </w:r>
      <w:r w:rsidRPr="00BA506A">
        <w:rPr>
          <w:rFonts w:ascii="Century Schoolbook" w:eastAsia="Times New Roman" w:hAnsi="Century Schoolbook" w:cs="Times New Roman"/>
        </w:rPr>
        <w:t xml:space="preserve"> is a single-paragraph opinion, relying almost entirely on the holding of </w:t>
      </w:r>
      <w:r w:rsidRPr="00BA506A">
        <w:rPr>
          <w:rFonts w:ascii="Century Schoolbook" w:eastAsia="Times New Roman" w:hAnsi="Century Schoolbook" w:cs="Times New Roman"/>
          <w:i/>
        </w:rPr>
        <w:t>Macon Iron</w:t>
      </w:r>
      <w:r w:rsidRPr="00BA506A">
        <w:rPr>
          <w:rFonts w:ascii="Century Schoolbook" w:eastAsia="Times New Roman" w:hAnsi="Century Schoolbook" w:cs="Times New Roman"/>
        </w:rPr>
        <w:t xml:space="preserve">.  Other than reproducing the lower court’s opinion, the Eleventh Circuit in </w:t>
      </w:r>
      <w:r w:rsidRPr="00BA506A">
        <w:rPr>
          <w:rFonts w:ascii="Century Schoolbook" w:eastAsia="Times New Roman" w:hAnsi="Century Schoolbook" w:cs="Times New Roman"/>
          <w:i/>
        </w:rPr>
        <w:t>Mindis Metals</w:t>
      </w:r>
      <w:r w:rsidRPr="00BA506A">
        <w:rPr>
          <w:rFonts w:ascii="Century Schoolbook" w:eastAsia="Times New Roman" w:hAnsi="Century Schoolbook" w:cs="Times New Roman"/>
        </w:rPr>
        <w:t xml:space="preserve"> noted the lack of consensus in other jurisdictions as to whether “intentional conduct premised on erroneous information” constitutes an “accident” under a commercial general liability policy.</w:t>
      </w:r>
      <w:r w:rsidRPr="00BA506A">
        <w:rPr>
          <w:rFonts w:ascii="Century Schoolbook" w:eastAsia="Times New Roman" w:hAnsi="Century Schoolbook" w:cs="Times New Roman"/>
          <w:vertAlign w:val="superscript"/>
        </w:rPr>
        <w:endnoteReference w:id="416"/>
      </w:r>
      <w:r w:rsidRPr="00BA506A">
        <w:rPr>
          <w:rFonts w:ascii="Century Schoolbook" w:eastAsia="Times New Roman" w:hAnsi="Century Schoolbook" w:cs="Times New Roman"/>
        </w:rPr>
        <w:t xml:space="preserve">  However, relying upon </w:t>
      </w:r>
      <w:r w:rsidRPr="00BA506A">
        <w:rPr>
          <w:rFonts w:ascii="Century Schoolbook" w:eastAsia="Times New Roman" w:hAnsi="Century Schoolbook" w:cs="Times New Roman"/>
          <w:i/>
        </w:rPr>
        <w:t>Macon Iron</w:t>
      </w:r>
      <w:r w:rsidRPr="00BA506A">
        <w:rPr>
          <w:rFonts w:ascii="Century Schoolbook" w:eastAsia="Times New Roman" w:hAnsi="Century Schoolbook" w:cs="Times New Roman"/>
        </w:rPr>
        <w:t xml:space="preserve">, the court in </w:t>
      </w:r>
      <w:r w:rsidRPr="00BA506A">
        <w:rPr>
          <w:rFonts w:ascii="Century Schoolbook" w:eastAsia="Times New Roman" w:hAnsi="Century Schoolbook" w:cs="Times New Roman"/>
          <w:i/>
        </w:rPr>
        <w:t>Mindis Metals</w:t>
      </w:r>
      <w:r w:rsidRPr="00BA506A">
        <w:rPr>
          <w:rFonts w:ascii="Century Schoolbook" w:eastAsia="Times New Roman" w:hAnsi="Century Schoolbook" w:cs="Times New Roman"/>
        </w:rPr>
        <w:t xml:space="preserve"> found that in Georgia no such ambiguity exists that such conduct is not an accident and thus not an “occurrence” under a liability policy.</w:t>
      </w:r>
      <w:r w:rsidRPr="00BA506A">
        <w:rPr>
          <w:rFonts w:ascii="Century Schoolbook" w:eastAsia="Times New Roman" w:hAnsi="Century Schoolbook" w:cs="Times New Roman"/>
          <w:vertAlign w:val="superscript"/>
        </w:rPr>
        <w:endnoteReference w:id="417"/>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Macon Iron</w:t>
      </w:r>
      <w:r w:rsidRPr="00BA506A">
        <w:rPr>
          <w:rFonts w:ascii="Century Schoolbook" w:eastAsia="Times New Roman" w:hAnsi="Century Schoolbook" w:cs="Times New Roman"/>
        </w:rPr>
        <w:t>, a scrap recycling business had purchased some railcars from a person, who, unbeknownst to it, did not own or have permission to sell the railcars.</w:t>
      </w:r>
      <w:r w:rsidRPr="00BA506A">
        <w:rPr>
          <w:rFonts w:ascii="Century Schoolbook" w:eastAsia="Times New Roman" w:hAnsi="Century Schoolbook" w:cs="Times New Roman"/>
          <w:vertAlign w:val="superscript"/>
        </w:rPr>
        <w:endnoteReference w:id="418"/>
      </w:r>
      <w:r w:rsidRPr="00BA506A">
        <w:rPr>
          <w:rFonts w:ascii="Century Schoolbook" w:eastAsia="Times New Roman" w:hAnsi="Century Schoolbook" w:cs="Times New Roman"/>
        </w:rPr>
        <w:t xml:space="preserve">  The true owner sued the scrap recycling business for racketeering activity, conspiracy to defraud, conversion, and punitive damages.</w:t>
      </w:r>
      <w:r w:rsidRPr="00BA506A">
        <w:rPr>
          <w:rFonts w:ascii="Century Schoolbook" w:eastAsia="Times New Roman" w:hAnsi="Century Schoolbook" w:cs="Times New Roman"/>
          <w:vertAlign w:val="superscript"/>
        </w:rPr>
        <w:endnoteReference w:id="419"/>
      </w:r>
      <w:r w:rsidRPr="00BA506A">
        <w:rPr>
          <w:rFonts w:ascii="Century Schoolbook" w:eastAsia="Times New Roman" w:hAnsi="Century Schoolbook" w:cs="Times New Roman"/>
        </w:rPr>
        <w:t xml:space="preserve">  The scrap recycling business sought coverage from its insurer, which refused to defend, on the grounds that the scrapping of the railcars was intentional and thus not a covered “occurrence” under the policy.</w:t>
      </w:r>
      <w:r w:rsidRPr="00BA506A">
        <w:rPr>
          <w:rFonts w:ascii="Century Schoolbook" w:eastAsia="Times New Roman" w:hAnsi="Century Schoolbook" w:cs="Times New Roman"/>
          <w:vertAlign w:val="superscript"/>
        </w:rPr>
        <w:endnoteReference w:id="420"/>
      </w:r>
      <w:r w:rsidRPr="00BA506A">
        <w:rPr>
          <w:rFonts w:ascii="Century Schoolbook" w:eastAsia="Times New Roman" w:hAnsi="Century Schoolbook" w:cs="Times New Roman"/>
        </w:rPr>
        <w:t xml:space="preserve">  After settling the lawsuit, the recycling business brought a suit on </w:t>
      </w:r>
      <w:r w:rsidRPr="00BA506A">
        <w:rPr>
          <w:rFonts w:ascii="Century Schoolbook" w:eastAsia="Times New Roman" w:hAnsi="Century Schoolbook" w:cs="Times New Roman"/>
        </w:rPr>
        <w:lastRenderedPageBreak/>
        <w:t xml:space="preserve">the policy for defense costs and for the amount of the settlement, contending that an accident had occurred because the recycling business had erroneously or negligently </w:t>
      </w:r>
      <w:r w:rsidRPr="00BA506A">
        <w:rPr>
          <w:rFonts w:ascii="Century Schoolbook" w:eastAsia="Times New Roman" w:hAnsi="Century Schoolbook" w:cs="Times New Roman"/>
          <w:lang w:val="en-CA"/>
        </w:rPr>
        <w:fldChar w:fldCharType="begin"/>
      </w:r>
      <w:r w:rsidRPr="00BA506A">
        <w:rPr>
          <w:rFonts w:ascii="Century Schoolbook" w:eastAsia="Times New Roman" w:hAnsi="Century Schoolbook" w:cs="Times New Roman"/>
          <w:lang w:val="en-CA"/>
        </w:rPr>
        <w:instrText xml:space="preserve"> SEQ CHAPTER \h \r 1</w:instrText>
      </w:r>
      <w:r w:rsidRPr="00BA506A">
        <w:rPr>
          <w:rFonts w:ascii="Century Schoolbook" w:eastAsia="Times New Roman" w:hAnsi="Century Schoolbook" w:cs="Times New Roman"/>
        </w:rPr>
        <w:fldChar w:fldCharType="end"/>
      </w:r>
      <w:r w:rsidRPr="00BA506A">
        <w:rPr>
          <w:rFonts w:ascii="Century Schoolbook" w:eastAsia="Times New Roman" w:hAnsi="Century Schoolbook" w:cs="Times New Roman"/>
        </w:rPr>
        <w:t>believed that it had good title to the railcars.</w:t>
      </w:r>
      <w:r w:rsidRPr="00BA506A">
        <w:rPr>
          <w:rFonts w:ascii="Century Schoolbook" w:eastAsia="Times New Roman" w:hAnsi="Century Schoolbook" w:cs="Times New Roman"/>
          <w:vertAlign w:val="superscript"/>
        </w:rPr>
        <w:endnoteReference w:id="421"/>
      </w:r>
      <w:r w:rsidRPr="00BA506A">
        <w:rPr>
          <w:rFonts w:ascii="Century Schoolbook" w:eastAsia="Times New Roman" w:hAnsi="Century Schoolbook" w:cs="Times New Roman"/>
        </w:rPr>
        <w:t xml:space="preserve">  The insurer defended on the grounds that, even though the recycling business may have erroneously believed that it had good title to the railcars, this belief did not constitute an accident, because the recycling business had deliberately purchased and scrapped the railcars, so the scrap recycling business should not be entitled to coverage under the policy.</w:t>
      </w:r>
      <w:r w:rsidRPr="00BA506A">
        <w:rPr>
          <w:rFonts w:ascii="Century Schoolbook" w:eastAsia="Times New Roman" w:hAnsi="Century Schoolbook" w:cs="Times New Roman"/>
          <w:vertAlign w:val="superscript"/>
        </w:rPr>
        <w:endnoteReference w:id="422"/>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Relying upon </w:t>
      </w:r>
      <w:r w:rsidRPr="00BA506A">
        <w:rPr>
          <w:rFonts w:ascii="Century Schoolbook" w:eastAsia="Times New Roman" w:hAnsi="Century Schoolbook" w:cs="Times New Roman"/>
          <w:i/>
        </w:rPr>
        <w:t>Georgia Farm Bureau Mutual Insurance Co. v. Meriwether</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23"/>
      </w:r>
      <w:r w:rsidRPr="00BA506A">
        <w:rPr>
          <w:rFonts w:ascii="Century Schoolbook" w:eastAsia="Times New Roman" w:hAnsi="Century Schoolbook" w:cs="Times New Roman"/>
        </w:rPr>
        <w:t xml:space="preserve"> the </w:t>
      </w:r>
      <w:r w:rsidRPr="00BA506A">
        <w:rPr>
          <w:rFonts w:ascii="Century Schoolbook" w:eastAsia="Times New Roman" w:hAnsi="Century Schoolbook" w:cs="Times New Roman"/>
          <w:i/>
        </w:rPr>
        <w:t>Macon Iron</w:t>
      </w:r>
      <w:r w:rsidRPr="00BA506A">
        <w:rPr>
          <w:rFonts w:ascii="Century Schoolbook" w:eastAsia="Times New Roman" w:hAnsi="Century Schoolbook" w:cs="Times New Roman"/>
        </w:rPr>
        <w:t xml:space="preserve"> court agreed with the insurer and held that an accident does not include damage to persons or property when that damage is intentionally inflicted, even where that intentional conduct is caused by erroneous information.</w:t>
      </w:r>
      <w:r w:rsidRPr="00BA506A">
        <w:rPr>
          <w:rFonts w:ascii="Century Schoolbook" w:eastAsia="Times New Roman" w:hAnsi="Century Schoolbook" w:cs="Times New Roman"/>
          <w:vertAlign w:val="superscript"/>
        </w:rPr>
        <w:endnoteReference w:id="424"/>
      </w:r>
      <w:r w:rsidRPr="00BA506A">
        <w:rPr>
          <w:rFonts w:ascii="Century Schoolbook" w:eastAsia="Times New Roman" w:hAnsi="Century Schoolbook" w:cs="Times New Roman"/>
        </w:rPr>
        <w:t xml:space="preserve">  In so holding, the court in </w:t>
      </w:r>
      <w:r w:rsidRPr="00BA506A">
        <w:rPr>
          <w:rFonts w:ascii="Century Schoolbook" w:eastAsia="Times New Roman" w:hAnsi="Century Schoolbook" w:cs="Times New Roman"/>
          <w:i/>
        </w:rPr>
        <w:t>Macon Iron</w:t>
      </w:r>
      <w:r w:rsidRPr="00BA506A">
        <w:rPr>
          <w:rFonts w:ascii="Century Schoolbook" w:eastAsia="Times New Roman" w:hAnsi="Century Schoolbook" w:cs="Times New Roman"/>
        </w:rPr>
        <w:t xml:space="preserve"> noted that in </w:t>
      </w:r>
      <w:r w:rsidRPr="00BA506A">
        <w:rPr>
          <w:rFonts w:ascii="Century Schoolbook" w:eastAsia="Times New Roman" w:hAnsi="Century Schoolbook" w:cs="Times New Roman"/>
          <w:i/>
        </w:rPr>
        <w:t>Meriwether</w:t>
      </w:r>
      <w:r w:rsidRPr="00BA506A">
        <w:rPr>
          <w:rFonts w:ascii="Century Schoolbook" w:eastAsia="Times New Roman" w:hAnsi="Century Schoolbook" w:cs="Times New Roman"/>
        </w:rPr>
        <w:t>, the court had found that the act of the plaintiff in that case of placing a gate across a disputed road was intentional and not accidental, even though the plaintiff had erroneously believed that he had rights to the road as a private way.</w:t>
      </w:r>
      <w:r w:rsidRPr="00BA506A">
        <w:rPr>
          <w:rFonts w:ascii="Century Schoolbook" w:eastAsia="Times New Roman" w:hAnsi="Century Schoolbook" w:cs="Times New Roman"/>
          <w:vertAlign w:val="superscript"/>
        </w:rPr>
        <w:endnoteReference w:id="425"/>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Default="00AB16BD" w:rsidP="00AB16BD">
      <w:pPr>
        <w:tabs>
          <w:tab w:val="left" w:pos="540"/>
        </w:tabs>
        <w:spacing w:after="0" w:line="240" w:lineRule="auto"/>
        <w:jc w:val="center"/>
        <w:rPr>
          <w:rFonts w:ascii="Century Schoolbook" w:eastAsia="Times New Roman" w:hAnsi="Century Schoolbook" w:cs="Times New Roman"/>
          <w:b/>
        </w:rPr>
      </w:pPr>
      <w:r w:rsidRPr="00BA506A">
        <w:rPr>
          <w:rFonts w:ascii="Century Schoolbook" w:eastAsia="Times New Roman" w:hAnsi="Century Schoolbook" w:cs="Times New Roman"/>
          <w:b/>
        </w:rPr>
        <w:t xml:space="preserve">C. The Business Risk </w:t>
      </w:r>
      <w:r>
        <w:rPr>
          <w:rFonts w:ascii="Century Schoolbook" w:eastAsia="Times New Roman" w:hAnsi="Century Schoolbook" w:cs="Times New Roman"/>
          <w:b/>
        </w:rPr>
        <w:t>Exclusions: Are Courts Muddling</w:t>
      </w:r>
    </w:p>
    <w:p w:rsidR="00AB16BD" w:rsidRDefault="00AB16BD" w:rsidP="00AB16BD">
      <w:pPr>
        <w:tabs>
          <w:tab w:val="left" w:pos="540"/>
        </w:tabs>
        <w:spacing w:after="0" w:line="240" w:lineRule="auto"/>
        <w:jc w:val="center"/>
        <w:rPr>
          <w:rFonts w:ascii="Century Schoolbook" w:eastAsia="Times New Roman" w:hAnsi="Century Schoolbook" w:cs="Times New Roman"/>
          <w:b/>
        </w:rPr>
      </w:pPr>
      <w:r w:rsidRPr="00BA506A">
        <w:rPr>
          <w:rFonts w:ascii="Century Schoolbook" w:eastAsia="Times New Roman" w:hAnsi="Century Schoolbook" w:cs="Times New Roman"/>
          <w:b/>
        </w:rPr>
        <w:t>This Analysis with the</w:t>
      </w:r>
    </w:p>
    <w:p w:rsidR="00AB16BD" w:rsidRPr="00BA506A" w:rsidRDefault="00CB37A0" w:rsidP="00AB16BD">
      <w:pPr>
        <w:tabs>
          <w:tab w:val="left" w:pos="540"/>
        </w:tabs>
        <w:spacing w:after="0" w:line="240" w:lineRule="auto"/>
        <w:jc w:val="center"/>
        <w:rPr>
          <w:rFonts w:ascii="Century Schoolbook" w:eastAsia="Times New Roman" w:hAnsi="Century Schoolbook" w:cs="Times New Roman"/>
          <w:b/>
        </w:rPr>
      </w:pPr>
      <w:r>
        <w:rPr>
          <w:rFonts w:ascii="Century Schoolbook" w:eastAsia="Times New Roman" w:hAnsi="Century Schoolbook" w:cs="Times New Roman"/>
          <w:b/>
        </w:rPr>
        <w:t xml:space="preserve">Definition </w:t>
      </w:r>
      <w:r w:rsidR="00AB16BD" w:rsidRPr="00BA506A">
        <w:rPr>
          <w:rFonts w:ascii="Century Schoolbook" w:eastAsia="Times New Roman" w:hAnsi="Century Schoolbook" w:cs="Times New Roman"/>
          <w:b/>
        </w:rPr>
        <w:t>of “Occurrence?”</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b/>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Although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clearly held that “an occurrence can arise where </w:t>
      </w:r>
      <w:r w:rsidRPr="00BA506A">
        <w:rPr>
          <w:rFonts w:ascii="Century Schoolbook" w:eastAsia="Times New Roman" w:hAnsi="Century Schoolbook" w:cs="Times New Roman"/>
        </w:rPr>
        <w:lastRenderedPageBreak/>
        <w:t>faulty workmanship causes unforeseen or unexpected damage to other property,”</w:t>
      </w:r>
      <w:r w:rsidRPr="00BA506A">
        <w:rPr>
          <w:rFonts w:ascii="Century Schoolbook" w:eastAsia="Times New Roman" w:hAnsi="Century Schoolbook" w:cs="Times New Roman"/>
          <w:vertAlign w:val="superscript"/>
        </w:rPr>
        <w:endnoteReference w:id="426"/>
      </w:r>
      <w:r w:rsidRPr="00BA506A">
        <w:rPr>
          <w:rFonts w:ascii="Century Schoolbook" w:eastAsia="Times New Roman" w:hAnsi="Century Schoolbook" w:cs="Times New Roman"/>
        </w:rPr>
        <w:t xml:space="preserve"> other courts have already begun to question whether damage to “other property” is required under Georgia law in order to qualify as an occurrence under a CGL policy.</w:t>
      </w:r>
      <w:r w:rsidRPr="00BA506A">
        <w:rPr>
          <w:rFonts w:ascii="Century Schoolbook" w:eastAsia="Times New Roman" w:hAnsi="Century Schoolbook" w:cs="Times New Roman"/>
          <w:vertAlign w:val="superscript"/>
        </w:rPr>
        <w:endnoteReference w:id="427"/>
      </w:r>
      <w:r w:rsidRPr="00BA506A">
        <w:rPr>
          <w:rFonts w:ascii="Century Schoolbook" w:eastAsia="Times New Roman" w:hAnsi="Century Schoolbook" w:cs="Times New Roman"/>
        </w:rPr>
        <w:t xml:space="preserve">  In other words, if faulty workmanship does not cause damage to other property but rather causes damage only to the contractor’s work, can it still be considered an “occurrence” under the policy?  This question sounds very much like a blended analysis of the business risk exclusions and the definition of “occurrence.”  It is not clear under Georgia law whether these two issues should remain separate or be analyzed together.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HDI-Gerling America Insurance Co. v. Morrison Homes, Inc.</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28"/>
      </w:r>
      <w:r w:rsidRPr="00BA506A">
        <w:rPr>
          <w:rFonts w:ascii="Century Schoolbook" w:eastAsia="Times New Roman" w:hAnsi="Century Schoolbook" w:cs="Times New Roman"/>
        </w:rPr>
        <w:t xml:space="preserve"> the Eleventh Circuit Court of Appeals certified questions to the Georgia Supreme Court</w:t>
      </w:r>
      <w:r w:rsidRPr="00BA506A">
        <w:rPr>
          <w:rFonts w:ascii="Century Schoolbook" w:eastAsia="Times New Roman" w:hAnsi="Century Schoolbook" w:cs="Times New Roman"/>
          <w:vertAlign w:val="superscript"/>
        </w:rPr>
        <w:endnoteReference w:id="429"/>
      </w:r>
      <w:r w:rsidRPr="00BA506A">
        <w:rPr>
          <w:rFonts w:ascii="Century Schoolbook" w:eastAsia="Times New Roman" w:hAnsi="Century Schoolbook" w:cs="Times New Roman"/>
        </w:rPr>
        <w:t xml:space="preserve"> regarding the definition of “occurrence” under standard CGL policies:</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numPr>
          <w:ilvl w:val="0"/>
          <w:numId w:val="3"/>
        </w:numPr>
        <w:tabs>
          <w:tab w:val="clear" w:pos="720"/>
          <w:tab w:val="left" w:pos="540"/>
          <w:tab w:val="num" w:pos="1080"/>
        </w:tabs>
        <w:spacing w:after="0" w:line="240" w:lineRule="auto"/>
        <w:ind w:right="720" w:firstLine="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Whether, for an “occurrence” to exist under a standard CGL policy, Georgia law requires there to be damage to “other property,” that is, property other than the insured’s completed work itself.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numPr>
          <w:ilvl w:val="0"/>
          <w:numId w:val="3"/>
        </w:numPr>
        <w:tabs>
          <w:tab w:val="clear" w:pos="720"/>
          <w:tab w:val="left" w:pos="540"/>
          <w:tab w:val="num" w:pos="1080"/>
        </w:tabs>
        <w:spacing w:after="0" w:line="240" w:lineRule="auto"/>
        <w:ind w:right="720" w:firstLine="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If the answer to Question One (1) is in </w:t>
      </w:r>
      <w:r w:rsidRPr="00BA506A">
        <w:rPr>
          <w:rFonts w:ascii="Century Schoolbook" w:eastAsia="Times New Roman" w:hAnsi="Century Schoolbook" w:cs="Times New Roman"/>
        </w:rPr>
        <w:lastRenderedPageBreak/>
        <w:t>the negative, whether, for an “occurrence” to exist under a standard CGL policy, Georgia law requires that the claims being defended not be for breach of contract, fraud, or breach of warranty from the failure to disclose material information.</w:t>
      </w:r>
      <w:r w:rsidRPr="00BA506A">
        <w:rPr>
          <w:rFonts w:ascii="Century Schoolbook" w:eastAsia="Times New Roman" w:hAnsi="Century Schoolbook" w:cs="Times New Roman"/>
          <w:vertAlign w:val="superscript"/>
        </w:rPr>
        <w:endnoteReference w:id="430"/>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In so doing, the Eleventh Circuit noted the absence of any clear controlling precedents from the Georgia Supreme Court on these issues.</w:t>
      </w:r>
      <w:r w:rsidRPr="00BA506A">
        <w:rPr>
          <w:rFonts w:ascii="Century Schoolbook" w:eastAsia="Times New Roman" w:hAnsi="Century Schoolbook" w:cs="Times New Roman"/>
          <w:vertAlign w:val="superscript"/>
        </w:rPr>
        <w:endnoteReference w:id="431"/>
      </w:r>
      <w:r w:rsidRPr="00BA506A">
        <w:rPr>
          <w:rFonts w:ascii="Century Schoolbook" w:eastAsia="Times New Roman" w:hAnsi="Century Schoolbook" w:cs="Times New Roman"/>
        </w:rPr>
        <w:t xml:space="preserve">  The circuit court also seemingly embraced the arguments of the insured and its amicus that the insurer’s interpretation of the policy “improperly conflates the definition of an ‘occurrence’ and the ‘other property’ exception to the business risk exclusion.”</w:t>
      </w:r>
      <w:r w:rsidRPr="00BA506A">
        <w:rPr>
          <w:rFonts w:ascii="Century Schoolbook" w:eastAsia="Times New Roman" w:hAnsi="Century Schoolbook" w:cs="Times New Roman"/>
          <w:vertAlign w:val="superscript"/>
        </w:rPr>
        <w:endnoteReference w:id="432"/>
      </w:r>
      <w:r w:rsidRPr="00BA506A">
        <w:rPr>
          <w:rFonts w:ascii="Century Schoolbook" w:eastAsia="Times New Roman" w:hAnsi="Century Schoolbook" w:cs="Times New Roman"/>
        </w:rPr>
        <w:t xml:space="preserve">  In a well-framed synthesis of the insured’s position, the circuit court restated the insured’s argument that the proper analysis is two-fold.</w:t>
      </w:r>
      <w:r w:rsidRPr="00BA506A">
        <w:rPr>
          <w:rFonts w:ascii="Century Schoolbook" w:eastAsia="Times New Roman" w:hAnsi="Century Schoolbook" w:cs="Times New Roman"/>
          <w:vertAlign w:val="superscript"/>
        </w:rPr>
        <w:endnoteReference w:id="433"/>
      </w:r>
      <w:r w:rsidRPr="00BA506A">
        <w:rPr>
          <w:rFonts w:ascii="Century Schoolbook" w:eastAsia="Times New Roman" w:hAnsi="Century Schoolbook" w:cs="Times New Roman"/>
        </w:rPr>
        <w:t xml:space="preserve">  First, a court must determine whether there has been an “occurrence,” an analysis that is limited strictly to whether the </w:t>
      </w:r>
      <w:r w:rsidRPr="00BA506A">
        <w:rPr>
          <w:rFonts w:ascii="Century Schoolbook" w:eastAsia="Times New Roman" w:hAnsi="Century Schoolbook" w:cs="Times New Roman"/>
          <w:i/>
        </w:rPr>
        <w:t>effect</w:t>
      </w:r>
      <w:r w:rsidRPr="00BA506A">
        <w:rPr>
          <w:rFonts w:ascii="Century Schoolbook" w:eastAsia="Times New Roman" w:hAnsi="Century Schoolbook" w:cs="Times New Roman"/>
        </w:rPr>
        <w:t xml:space="preserve"> of the act was intended or expected.</w:t>
      </w:r>
      <w:r w:rsidRPr="00BA506A">
        <w:rPr>
          <w:rFonts w:ascii="Century Schoolbook" w:eastAsia="Times New Roman" w:hAnsi="Century Schoolbook" w:cs="Times New Roman"/>
          <w:vertAlign w:val="superscript"/>
        </w:rPr>
        <w:endnoteReference w:id="434"/>
      </w:r>
      <w:r w:rsidRPr="00BA506A">
        <w:rPr>
          <w:rFonts w:ascii="Century Schoolbook" w:eastAsia="Times New Roman" w:hAnsi="Century Schoolbook" w:cs="Times New Roman"/>
        </w:rPr>
        <w:t xml:space="preserve">  Only after this initial step is it appropriate to analyze whether there is an applicable exclusion, including the business risk exclusion and the “other property” language.</w:t>
      </w:r>
      <w:r w:rsidRPr="00BA506A">
        <w:rPr>
          <w:rFonts w:ascii="Century Schoolbook" w:eastAsia="Times New Roman" w:hAnsi="Century Schoolbook" w:cs="Times New Roman"/>
          <w:vertAlign w:val="superscript"/>
        </w:rPr>
        <w:endnoteReference w:id="435"/>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insured’s position on the definition of “occurrence” in </w:t>
      </w:r>
      <w:r w:rsidRPr="00BA506A">
        <w:rPr>
          <w:rFonts w:ascii="Century Schoolbook" w:eastAsia="Times New Roman" w:hAnsi="Century Schoolbook" w:cs="Times New Roman"/>
          <w:i/>
        </w:rPr>
        <w:t>Morrison Homes</w:t>
      </w:r>
      <w:r w:rsidRPr="00BA506A">
        <w:rPr>
          <w:rFonts w:ascii="Century Schoolbook" w:eastAsia="Times New Roman" w:hAnsi="Century Schoolbook" w:cs="Times New Roman"/>
        </w:rPr>
        <w:t xml:space="preserve"> seems logical in light of the existence of the business risk </w:t>
      </w:r>
      <w:r w:rsidRPr="00BA506A">
        <w:rPr>
          <w:rFonts w:ascii="Century Schoolbook" w:eastAsia="Times New Roman" w:hAnsi="Century Schoolbook" w:cs="Times New Roman"/>
        </w:rPr>
        <w:lastRenderedPageBreak/>
        <w:t>exclusions.  It appears that courts have sometimes muddled the definition of “occurrence” with the “other property” provisions of the business risk exclusions.  By engaging in a determination of whether the damage was to “other property” in the context of the definition of “occurrence,” one essentially may be “jumping the gun” in the analysis.  Several courts from other jurisdictions and some scholars have posited that if the “other property” requirement is made part and parcel of the definition of “occurrence,” then the existence of the business risk exclusions becomes meaningless.</w:t>
      </w:r>
      <w:r w:rsidRPr="00BA506A">
        <w:rPr>
          <w:rFonts w:ascii="Century Schoolbook" w:eastAsia="Times New Roman" w:hAnsi="Century Schoolbook" w:cs="Times New Roman"/>
          <w:vertAlign w:val="superscript"/>
        </w:rPr>
        <w:endnoteReference w:id="436"/>
      </w:r>
      <w:r w:rsidRPr="00BA506A">
        <w:rPr>
          <w:rFonts w:ascii="Century Schoolbook" w:eastAsia="Times New Roman" w:hAnsi="Century Schoolbook" w:cs="Times New Roman"/>
        </w:rPr>
        <w:t xml:space="preserve">  After all, an “interpretation which gives effect to all provision of the contract is preferred to one which renders part of the writing superfluous, useless or inexplicable.”</w:t>
      </w:r>
      <w:r w:rsidRPr="00BA506A">
        <w:rPr>
          <w:rFonts w:ascii="Century Schoolbook" w:eastAsia="Times New Roman" w:hAnsi="Century Schoolbook" w:cs="Times New Roman"/>
          <w:vertAlign w:val="superscript"/>
        </w:rPr>
        <w:endnoteReference w:id="437"/>
      </w:r>
      <w:r w:rsidRPr="00BA506A">
        <w:rPr>
          <w:rFonts w:ascii="Century Schoolbook" w:eastAsia="Times New Roman" w:hAnsi="Century Schoolbook" w:cs="Times New Roman"/>
        </w:rPr>
        <w:t xml:space="preserve">  These courts reason that if the insuring provisions do not confer an initial grant of coverage for faulty workmanship, then there would be no reason for the insurer to exclude damage to “your work.”</w:t>
      </w:r>
      <w:r w:rsidRPr="00BA506A">
        <w:rPr>
          <w:rFonts w:ascii="Century Schoolbook" w:eastAsia="Times New Roman" w:hAnsi="Century Schoolbook" w:cs="Times New Roman"/>
          <w:vertAlign w:val="superscript"/>
        </w:rPr>
        <w:endnoteReference w:id="438"/>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r w:rsidRPr="00BA506A">
        <w:rPr>
          <w:rFonts w:ascii="Century Schoolbook" w:eastAsia="Times New Roman" w:hAnsi="Century Schoolbook" w:cs="Times New Roman"/>
        </w:rPr>
        <w:tab/>
      </w: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Additionally, a reading of the term “occurrence” as requiring there to be damage to other property would seem to completely eviscerate insurance protection to general contractors in most situations, while leaving subcontractors with more protection.</w:t>
      </w:r>
      <w:r w:rsidRPr="00BA506A">
        <w:rPr>
          <w:rFonts w:ascii="Century Schoolbook" w:eastAsia="Times New Roman" w:hAnsi="Century Schoolbook" w:cs="Times New Roman"/>
          <w:vertAlign w:val="superscript"/>
        </w:rPr>
        <w:endnoteReference w:id="439"/>
      </w:r>
      <w:r w:rsidRPr="00BA506A">
        <w:rPr>
          <w:rFonts w:ascii="Century Schoolbook" w:eastAsia="Times New Roman" w:hAnsi="Century Schoolbook" w:cs="Times New Roman"/>
        </w:rPr>
        <w:t xml:space="preserve">  Given that a general contractor usually is responsible for the entire construction project, it is difficult to imagine a hypothetical scenario in which there would be coverage for a general contractor for property damage due to faulty workmanship by </w:t>
      </w:r>
      <w:r w:rsidRPr="00BA506A">
        <w:rPr>
          <w:rFonts w:ascii="Century Schoolbook" w:eastAsia="Times New Roman" w:hAnsi="Century Schoolbook" w:cs="Times New Roman"/>
        </w:rPr>
        <w:lastRenderedPageBreak/>
        <w:t xml:space="preserve">any subcontractor on the project.  It does not seem to make sense that a subcontractor theoretically could be covered for its faulty workmanship, so long as the resulting damage is to “other property,” yet the general contractor would receive no insurance protection for the same damage on the same project, because the scope of a general contractor’s work is much broader than that of a subcontractor.  The presence of the subcontractor exception to the “your work” exclusion exists to provide protection to general contractors for losses that would otherwise be excluded.  Yet if a court concludes that the loss is not even an “occurrence,” then general contractors would be left with no coverage at all, without even reaching the subcontractor exception.  During oral arguments for the certified questions in </w:t>
      </w:r>
      <w:r w:rsidRPr="00BA506A">
        <w:rPr>
          <w:rFonts w:ascii="Century Schoolbook" w:eastAsia="Times New Roman" w:hAnsi="Century Schoolbook" w:cs="Times New Roman"/>
          <w:i/>
        </w:rPr>
        <w:t>Taylor Morrison</w:t>
      </w:r>
      <w:r w:rsidRPr="00BA506A">
        <w:rPr>
          <w:rFonts w:ascii="Century Schoolbook" w:eastAsia="Times New Roman" w:hAnsi="Century Schoolbook" w:cs="Times New Roman"/>
        </w:rPr>
        <w:t>, Justice Blackwell inquired whether, under the insurer’s interpretation of the policy, there hypothetically could be an “occurrence” that also triggers one of the business risk exclusions.</w:t>
      </w:r>
      <w:r w:rsidRPr="00BA506A">
        <w:rPr>
          <w:rFonts w:ascii="Century Schoolbook" w:eastAsia="Times New Roman" w:hAnsi="Century Schoolbook" w:cs="Times New Roman"/>
          <w:vertAlign w:val="superscript"/>
        </w:rPr>
        <w:endnoteReference w:id="440"/>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Jurisdictions such as Florida, Tennessee, Texas, and Wisconsin represent what some have characterized as a trend of abandoning the “other property” requirement as part of the definition of “occurrence.”</w:t>
      </w:r>
      <w:r w:rsidRPr="00BA506A">
        <w:rPr>
          <w:rFonts w:ascii="Century Schoolbook" w:eastAsia="Times New Roman" w:hAnsi="Century Schoolbook" w:cs="Times New Roman"/>
          <w:vertAlign w:val="superscript"/>
        </w:rPr>
        <w:endnoteReference w:id="441"/>
      </w:r>
      <w:r w:rsidRPr="00BA506A">
        <w:rPr>
          <w:rFonts w:ascii="Century Schoolbook" w:eastAsia="Times New Roman" w:hAnsi="Century Schoolbook" w:cs="Times New Roman"/>
        </w:rPr>
        <w:t xml:space="preserve">  However, one cannot ignore the language from the Georgia Court of Appeals that “where the alleged occurrence involves the builder's risk exclusion, the courts have found exclusion either because there was no occurrence, builder's </w:t>
      </w:r>
      <w:r w:rsidRPr="00BA506A">
        <w:rPr>
          <w:rFonts w:ascii="Century Schoolbook" w:eastAsia="Times New Roman" w:hAnsi="Century Schoolbook" w:cs="Times New Roman"/>
        </w:rPr>
        <w:lastRenderedPageBreak/>
        <w:t>risk, or both; under such circumstances, the alleged occurrence and the builder's risk issues are so intertwined that they must be analyzed together.”</w:t>
      </w:r>
      <w:r w:rsidRPr="00BA506A">
        <w:rPr>
          <w:rFonts w:ascii="Century Schoolbook" w:eastAsia="Times New Roman" w:hAnsi="Century Schoolbook" w:cs="Times New Roman"/>
          <w:vertAlign w:val="superscript"/>
        </w:rPr>
        <w:endnoteReference w:id="442"/>
      </w:r>
      <w:r w:rsidRPr="00BA506A">
        <w:rPr>
          <w:rFonts w:ascii="Century Schoolbook" w:eastAsia="Times New Roman" w:hAnsi="Century Schoolbook" w:cs="Times New Roman"/>
        </w:rPr>
        <w:t xml:space="preserve">  Even in </w:t>
      </w:r>
      <w:r w:rsidRPr="00BA506A">
        <w:rPr>
          <w:rFonts w:ascii="Century Schoolbook" w:eastAsia="Times New Roman" w:hAnsi="Century Schoolbook" w:cs="Times New Roman"/>
          <w:i/>
        </w:rPr>
        <w:t>SawHorse</w:t>
      </w:r>
      <w:r w:rsidRPr="00BA506A">
        <w:rPr>
          <w:rFonts w:ascii="Century Schoolbook" w:eastAsia="Times New Roman" w:hAnsi="Century Schoolbook" w:cs="Times New Roman"/>
        </w:rPr>
        <w:t xml:space="preserve">, which was cited as authority for the court’s holding in </w:t>
      </w:r>
      <w:r w:rsidRPr="00BA506A">
        <w:rPr>
          <w:rFonts w:ascii="Century Schoolbook" w:eastAsia="Times New Roman" w:hAnsi="Century Schoolbook" w:cs="Times New Roman"/>
          <w:i/>
        </w:rPr>
        <w:t>Custom Planning</w:t>
      </w:r>
      <w:r w:rsidRPr="00BA506A">
        <w:rPr>
          <w:rFonts w:ascii="Century Schoolbook" w:eastAsia="Times New Roman" w:hAnsi="Century Schoolbook" w:cs="Times New Roman"/>
          <w:i/>
          <w:vertAlign w:val="superscript"/>
        </w:rPr>
        <w:endnoteReference w:id="443"/>
      </w:r>
      <w:r w:rsidRPr="00BA506A">
        <w:rPr>
          <w:rFonts w:ascii="Century Schoolbook" w:eastAsia="Times New Roman" w:hAnsi="Century Schoolbook" w:cs="Times New Roman"/>
        </w:rPr>
        <w:t>, the court analyzed the business risk exclusions separately from the issue of whether there was an “occurrence” through faulty workmanship.</w:t>
      </w:r>
      <w:r w:rsidRPr="00BA506A">
        <w:rPr>
          <w:rFonts w:ascii="Century Schoolbook" w:eastAsia="Times New Roman" w:hAnsi="Century Schoolbook" w:cs="Times New Roman"/>
          <w:vertAlign w:val="superscript"/>
        </w:rPr>
        <w:endnoteReference w:id="444"/>
      </w:r>
      <w:r w:rsidRPr="00BA506A">
        <w:rPr>
          <w:rFonts w:ascii="Century Schoolbook" w:eastAsia="Times New Roman" w:hAnsi="Century Schoolbook" w:cs="Times New Roman"/>
        </w:rPr>
        <w:t xml:space="preserve">  The court in </w:t>
      </w:r>
      <w:r w:rsidRPr="00BA506A">
        <w:rPr>
          <w:rFonts w:ascii="Century Schoolbook" w:eastAsia="Times New Roman" w:hAnsi="Century Schoolbook" w:cs="Times New Roman"/>
          <w:i/>
        </w:rPr>
        <w:t xml:space="preserve">SawHorse </w:t>
      </w:r>
      <w:r w:rsidRPr="00BA506A">
        <w:rPr>
          <w:rFonts w:ascii="Century Schoolbook" w:eastAsia="Times New Roman" w:hAnsi="Century Schoolbook" w:cs="Times New Roman"/>
        </w:rPr>
        <w:t>denied summary judgment on the latter issue due to lack of authority for the insurer’s position, and because no evidence existed that the insured had intended the faulty workmanship to occur.</w:t>
      </w:r>
      <w:r w:rsidRPr="00BA506A">
        <w:rPr>
          <w:rFonts w:ascii="Century Schoolbook" w:eastAsia="Times New Roman" w:hAnsi="Century Schoolbook" w:cs="Times New Roman"/>
          <w:vertAlign w:val="superscript"/>
        </w:rPr>
        <w:endnoteReference w:id="445"/>
      </w:r>
      <w:r w:rsidRPr="00BA506A">
        <w:rPr>
          <w:rFonts w:ascii="Century Schoolbook" w:eastAsia="Times New Roman" w:hAnsi="Century Schoolbook" w:cs="Times New Roman"/>
        </w:rPr>
        <w:t xml:space="preserve">  If the Georgia Supreme Court in </w:t>
      </w:r>
      <w:r w:rsidRPr="00BA506A">
        <w:rPr>
          <w:rFonts w:ascii="Century Schoolbook" w:eastAsia="Times New Roman" w:hAnsi="Century Schoolbook" w:cs="Times New Roman"/>
          <w:i/>
        </w:rPr>
        <w:t>Taylor Morrison</w:t>
      </w:r>
      <w:r w:rsidRPr="00BA506A">
        <w:rPr>
          <w:rFonts w:ascii="Century Schoolbook" w:eastAsia="Times New Roman" w:hAnsi="Century Schoolbook" w:cs="Times New Roman"/>
        </w:rPr>
        <w:t xml:space="preserve"> answers the first certified question in the negative, then it appears that it would have no other option but to overrule cases such as </w:t>
      </w:r>
      <w:r w:rsidRPr="00BA506A">
        <w:rPr>
          <w:rFonts w:ascii="Century Schoolbook" w:eastAsia="Times New Roman" w:hAnsi="Century Schoolbook" w:cs="Times New Roman"/>
          <w:i/>
        </w:rPr>
        <w:t xml:space="preserve">Custom Planning </w:t>
      </w:r>
      <w:r w:rsidRPr="00BA506A">
        <w:rPr>
          <w:rFonts w:ascii="Century Schoolbook" w:eastAsia="Times New Roman" w:hAnsi="Century Schoolbook" w:cs="Times New Roman"/>
        </w:rPr>
        <w:t xml:space="preserve">and </w:t>
      </w:r>
      <w:r w:rsidRPr="00BA506A">
        <w:rPr>
          <w:rFonts w:ascii="Century Schoolbook" w:eastAsia="Times New Roman" w:hAnsi="Century Schoolbook" w:cs="Times New Roman"/>
          <w:i/>
        </w:rPr>
        <w:t>Bituminous Casualty</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46"/>
      </w:r>
      <w:r w:rsidRPr="00BA506A">
        <w:rPr>
          <w:rFonts w:ascii="Century Schoolbook" w:eastAsia="Times New Roman" w:hAnsi="Century Schoolbook" w:cs="Times New Roman"/>
        </w:rPr>
        <w:t xml:space="preserve">  Whatever the trend may be in other jurisdictions, clearly there is a split of authority on whether there is an “other property” requirement implicit in the definition of “occurrence.”</w:t>
      </w:r>
      <w:r w:rsidRPr="00BA506A">
        <w:rPr>
          <w:rFonts w:ascii="Century Schoolbook" w:eastAsia="Times New Roman" w:hAnsi="Century Schoolbook" w:cs="Times New Roman"/>
          <w:vertAlign w:val="superscript"/>
        </w:rPr>
        <w:endnoteReference w:id="447"/>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Central to the debate is the precise meaning of the holding of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in which the Georgia Supreme Court stated that “an occurrence can arise where faulty workmanship causes unforeseen or unexpected damage to </w:t>
      </w:r>
      <w:r w:rsidRPr="00BA506A">
        <w:rPr>
          <w:rFonts w:ascii="Century Schoolbook" w:eastAsia="Times New Roman" w:hAnsi="Century Schoolbook" w:cs="Times New Roman"/>
          <w:i/>
        </w:rPr>
        <w:t>other property</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48"/>
      </w:r>
      <w:r w:rsidRPr="00BA506A">
        <w:rPr>
          <w:rFonts w:ascii="Century Schoolbook" w:eastAsia="Times New Roman" w:hAnsi="Century Schoolbook" w:cs="Times New Roman"/>
        </w:rPr>
        <w:t xml:space="preserve">  Both parties in </w:t>
      </w:r>
      <w:r w:rsidRPr="00BA506A">
        <w:rPr>
          <w:rFonts w:ascii="Century Schoolbook" w:eastAsia="Times New Roman" w:hAnsi="Century Schoolbook" w:cs="Times New Roman"/>
          <w:i/>
        </w:rPr>
        <w:t>Taylor Morrison</w:t>
      </w:r>
      <w:r w:rsidRPr="00BA506A">
        <w:rPr>
          <w:rFonts w:ascii="Century Schoolbook" w:eastAsia="Times New Roman" w:hAnsi="Century Schoolbook" w:cs="Times New Roman"/>
        </w:rPr>
        <w:t xml:space="preserve"> cited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as their strongest authoritative support during oral arguments before the supreme court.</w:t>
      </w:r>
      <w:r w:rsidRPr="00BA506A">
        <w:rPr>
          <w:rFonts w:ascii="Century Schoolbook" w:eastAsia="Times New Roman" w:hAnsi="Century Schoolbook" w:cs="Times New Roman"/>
          <w:vertAlign w:val="superscript"/>
        </w:rPr>
        <w:endnoteReference w:id="449"/>
      </w:r>
      <w:r w:rsidRPr="00BA506A">
        <w:rPr>
          <w:rFonts w:ascii="Century Schoolbook" w:eastAsia="Times New Roman" w:hAnsi="Century Schoolbook" w:cs="Times New Roman"/>
        </w:rPr>
        <w:t xml:space="preserve">  The reference to </w:t>
      </w:r>
      <w:r w:rsidRPr="00BA506A">
        <w:rPr>
          <w:rFonts w:ascii="Century Schoolbook" w:eastAsia="Times New Roman" w:hAnsi="Century Schoolbook" w:cs="Times New Roman"/>
        </w:rPr>
        <w:lastRenderedPageBreak/>
        <w:t xml:space="preserve">“other property” certainly seems to support the insurer’s position, but the supreme court in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did not actually conduct an analysis of the business risk exclusions in connection with its discussion of the meaning of the term “occurrence,” as was done by the court of appeals in </w:t>
      </w:r>
      <w:r w:rsidRPr="00BA506A">
        <w:rPr>
          <w:rFonts w:ascii="Century Schoolbook" w:eastAsia="Times New Roman" w:hAnsi="Century Schoolbook" w:cs="Times New Roman"/>
          <w:i/>
        </w:rPr>
        <w:t>Custom Planning</w:t>
      </w:r>
      <w:r w:rsidRPr="00BA506A">
        <w:rPr>
          <w:rFonts w:ascii="Century Schoolbook" w:eastAsia="Times New Roman" w:hAnsi="Century Schoolbook" w:cs="Times New Roman"/>
        </w:rPr>
        <w:t xml:space="preserve"> and </w:t>
      </w:r>
      <w:r w:rsidRPr="00BA506A">
        <w:rPr>
          <w:rFonts w:ascii="Century Schoolbook" w:eastAsia="Times New Roman" w:hAnsi="Century Schoolbook" w:cs="Times New Roman"/>
          <w:i/>
        </w:rPr>
        <w:t>Bituminous Casualty</w:t>
      </w:r>
      <w:r w:rsidRPr="00BA506A">
        <w:rPr>
          <w:rFonts w:ascii="Century Schoolbook" w:eastAsia="Times New Roman" w:hAnsi="Century Schoolbook" w:cs="Times New Roman"/>
        </w:rPr>
        <w:t xml:space="preserve">.  The court of appeals in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actually analyzed these two issues separately, much like it did in </w:t>
      </w:r>
      <w:r w:rsidRPr="00BA506A">
        <w:rPr>
          <w:rFonts w:ascii="Century Schoolbook" w:eastAsia="Times New Roman" w:hAnsi="Century Schoolbook" w:cs="Times New Roman"/>
          <w:i/>
        </w:rPr>
        <w:t>Jimenez</w:t>
      </w:r>
      <w:r w:rsidRPr="00BA506A">
        <w:rPr>
          <w:rFonts w:ascii="Century Schoolbook" w:eastAsia="Times New Roman" w:hAnsi="Century Schoolbook" w:cs="Times New Roman"/>
        </w:rPr>
        <w:t>.</w:t>
      </w:r>
      <w:r w:rsidRPr="00BA506A">
        <w:rPr>
          <w:rFonts w:ascii="Century Schoolbook" w:eastAsia="Times New Roman" w:hAnsi="Century Schoolbook" w:cs="Times New Roman"/>
          <w:vertAlign w:val="superscript"/>
        </w:rPr>
        <w:endnoteReference w:id="450"/>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However, the supreme court in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may have misconstrued the court of appeals’ analysis when it stated that the “Court of Appeals reversed [the trial court], holding that because Whisnant’s faulty workmanship caused damage to the surrounding properties, the acts of Whisnant constituted ‘occurrences’ under the CGL policy.”</w:t>
      </w:r>
      <w:r w:rsidRPr="00BA506A">
        <w:rPr>
          <w:rFonts w:ascii="Century Schoolbook" w:eastAsia="Times New Roman" w:hAnsi="Century Schoolbook" w:cs="Times New Roman"/>
          <w:vertAlign w:val="superscript"/>
        </w:rPr>
        <w:endnoteReference w:id="451"/>
      </w:r>
      <w:r w:rsidRPr="00BA506A">
        <w:rPr>
          <w:rFonts w:ascii="Century Schoolbook" w:eastAsia="Times New Roman" w:hAnsi="Century Schoolbook" w:cs="Times New Roman"/>
        </w:rPr>
        <w:t xml:space="preserve">  The court of appeals had reversed and found that the faulty workmanship had caused damage to surrounding properties, but did it actually hold that the damage constituted an “occurrence” </w:t>
      </w:r>
      <w:r w:rsidRPr="00BA506A">
        <w:rPr>
          <w:rFonts w:ascii="Century Schoolbook" w:eastAsia="Times New Roman" w:hAnsi="Century Schoolbook" w:cs="Times New Roman"/>
          <w:i/>
        </w:rPr>
        <w:t>because of</w:t>
      </w:r>
      <w:r w:rsidRPr="00BA506A">
        <w:rPr>
          <w:rFonts w:ascii="Century Schoolbook" w:eastAsia="Times New Roman" w:hAnsi="Century Schoolbook" w:cs="Times New Roman"/>
        </w:rPr>
        <w:t xml:space="preserve"> the existence of damage to the surrounding property?  A careful reading of the court of appeals’ opinion shows that it first discussed the issue of whether the damage had been caused by an “occurrence” (</w:t>
      </w:r>
      <w:r w:rsidRPr="00BA506A">
        <w:rPr>
          <w:rFonts w:ascii="Century Schoolbook" w:eastAsia="Times New Roman" w:hAnsi="Century Schoolbook" w:cs="Times New Roman"/>
          <w:i/>
        </w:rPr>
        <w:t>i.e.</w:t>
      </w:r>
      <w:r w:rsidRPr="00BA506A">
        <w:rPr>
          <w:rFonts w:ascii="Century Schoolbook" w:eastAsia="Times New Roman" w:hAnsi="Century Schoolbook" w:cs="Times New Roman"/>
        </w:rPr>
        <w:t>, an accident).  It noted that the general contractor had obtained a default judgment against the responsible subcontractor on its claims for negligence, thus establishing as a matter of law that the damage was caused by an accident.</w:t>
      </w:r>
      <w:r w:rsidRPr="00BA506A">
        <w:rPr>
          <w:rFonts w:ascii="Century Schoolbook" w:eastAsia="Times New Roman" w:hAnsi="Century Schoolbook" w:cs="Times New Roman"/>
          <w:vertAlign w:val="superscript"/>
        </w:rPr>
        <w:endnoteReference w:id="452"/>
      </w:r>
      <w:r w:rsidRPr="00BA506A">
        <w:rPr>
          <w:rFonts w:ascii="Century Schoolbook" w:eastAsia="Times New Roman" w:hAnsi="Century Schoolbook" w:cs="Times New Roman"/>
        </w:rPr>
        <w:t xml:space="preserve">  Only after </w:t>
      </w:r>
      <w:r w:rsidRPr="00BA506A">
        <w:rPr>
          <w:rFonts w:ascii="Century Schoolbook" w:eastAsia="Times New Roman" w:hAnsi="Century Schoolbook" w:cs="Times New Roman"/>
        </w:rPr>
        <w:lastRenderedPageBreak/>
        <w:t>this discussion did the court of appeals go on to analyze the business risk exclusions under the policy and the fact that “other property” had been damaged.</w:t>
      </w:r>
      <w:r w:rsidRPr="00BA506A">
        <w:rPr>
          <w:rFonts w:ascii="Century Schoolbook" w:eastAsia="Times New Roman" w:hAnsi="Century Schoolbook" w:cs="Times New Roman"/>
          <w:vertAlign w:val="superscript"/>
        </w:rPr>
        <w:endnoteReference w:id="453"/>
      </w:r>
      <w:r w:rsidRPr="00BA506A">
        <w:rPr>
          <w:rFonts w:ascii="Century Schoolbook" w:eastAsia="Times New Roman" w:hAnsi="Century Schoolbook" w:cs="Times New Roman"/>
        </w:rPr>
        <w:t xml:space="preserve">  After the court of appeals reached its ultimate conclusion that certain exclusions did not apply to bar coverage, it did not go back and then hold, </w:t>
      </w:r>
      <w:r w:rsidRPr="00BA506A">
        <w:rPr>
          <w:rFonts w:ascii="Century Schoolbook" w:eastAsia="Times New Roman" w:hAnsi="Century Schoolbook" w:cs="Times New Roman"/>
          <w:i/>
        </w:rPr>
        <w:t>ipso facto</w:t>
      </w:r>
      <w:r w:rsidRPr="00BA506A">
        <w:rPr>
          <w:rFonts w:ascii="Century Schoolbook" w:eastAsia="Times New Roman" w:hAnsi="Century Schoolbook" w:cs="Times New Roman"/>
        </w:rPr>
        <w:t xml:space="preserve">, there was an “occurrence” under the policy.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Notably, the supreme court in </w:t>
      </w:r>
      <w:r w:rsidRPr="00BA506A">
        <w:rPr>
          <w:rFonts w:ascii="Century Schoolbook" w:eastAsia="Times New Roman" w:hAnsi="Century Schoolbook" w:cs="Times New Roman"/>
          <w:i/>
        </w:rPr>
        <w:t>Hathaway</w:t>
      </w:r>
      <w:r w:rsidRPr="00BA506A">
        <w:rPr>
          <w:rFonts w:ascii="Century Schoolbook" w:eastAsia="Times New Roman" w:hAnsi="Century Schoolbook" w:cs="Times New Roman"/>
        </w:rPr>
        <w:t xml:space="preserve"> cited with approval cases from three jurisdictions</w:t>
      </w:r>
      <w:r w:rsidRPr="00BA506A">
        <w:rPr>
          <w:rFonts w:ascii="Century Schoolbook" w:eastAsia="Times New Roman" w:hAnsi="Century Schoolbook" w:cs="Times New Roman"/>
          <w:vertAlign w:val="superscript"/>
        </w:rPr>
        <w:endnoteReference w:id="454"/>
      </w:r>
      <w:r w:rsidRPr="00BA506A">
        <w:rPr>
          <w:rFonts w:ascii="Century Schoolbook" w:eastAsia="Times New Roman" w:hAnsi="Century Schoolbook" w:cs="Times New Roman"/>
        </w:rPr>
        <w:t xml:space="preserve"> which have recognized that the insurers’ reading of the term “occurrence” necessarily would render meaningless the business risk exclusions and the exceptions thereto.  This seems to provide good support for the insured in </w:t>
      </w:r>
      <w:r w:rsidRPr="00BA506A">
        <w:rPr>
          <w:rFonts w:ascii="Century Schoolbook" w:eastAsia="Times New Roman" w:hAnsi="Century Schoolbook" w:cs="Times New Roman"/>
          <w:i/>
        </w:rPr>
        <w:t>Taylor Morrison</w:t>
      </w:r>
      <w:r w:rsidRPr="00BA506A">
        <w:rPr>
          <w:rFonts w:ascii="Century Schoolbook" w:eastAsia="Times New Roman" w:hAnsi="Century Schoolbook" w:cs="Times New Roman"/>
        </w:rPr>
        <w:t>, given the analysis used by the courts in these jurisdictions.</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lang w:val="en-CA"/>
        </w:rPr>
        <w:fldChar w:fldCharType="begin"/>
      </w:r>
      <w:r w:rsidRPr="00BA506A">
        <w:rPr>
          <w:rFonts w:ascii="Century Schoolbook" w:eastAsia="Times New Roman" w:hAnsi="Century Schoolbook" w:cs="Times New Roman"/>
          <w:lang w:val="en-CA"/>
        </w:rPr>
        <w:instrText xml:space="preserve"> SEQ CHAPTER \h \r 1</w:instrText>
      </w:r>
      <w:r w:rsidRPr="00BA506A">
        <w:rPr>
          <w:rFonts w:ascii="Century Schoolbook" w:eastAsia="Times New Roman" w:hAnsi="Century Schoolbook" w:cs="Times New Roman"/>
        </w:rPr>
        <w:fldChar w:fldCharType="end"/>
      </w:r>
      <w:r w:rsidRPr="00BA506A">
        <w:rPr>
          <w:rFonts w:ascii="Century Schoolbook" w:eastAsia="Times New Roman" w:hAnsi="Century Schoolbook" w:cs="Times New Roman"/>
        </w:rPr>
        <w:t xml:space="preserve">For example, in </w:t>
      </w:r>
      <w:r w:rsidRPr="00BA506A">
        <w:rPr>
          <w:rFonts w:ascii="Century Schoolbook" w:eastAsia="Times New Roman" w:hAnsi="Century Schoolbook" w:cs="Times New Roman"/>
          <w:i/>
        </w:rPr>
        <w:t>U.S. Fire Insurance Co. v. J.S.U.B., Inc.</w:t>
      </w:r>
      <w:r w:rsidRPr="00BA506A">
        <w:rPr>
          <w:rFonts w:ascii="Century Schoolbook" w:eastAsia="Times New Roman" w:hAnsi="Century Schoolbook" w:cs="Times New Roman"/>
        </w:rPr>
        <w:t>, the homeowners had sued their general contractor, alleging that the subcontractors who were used by the general contractor had used improperly-prepared soil, causing damage to their foundations, drywall, and interiors.</w:t>
      </w:r>
      <w:r w:rsidRPr="00BA506A">
        <w:rPr>
          <w:rFonts w:ascii="Century Schoolbook" w:eastAsia="Times New Roman" w:hAnsi="Century Schoolbook" w:cs="Times New Roman"/>
          <w:vertAlign w:val="superscript"/>
        </w:rPr>
        <w:endnoteReference w:id="455"/>
      </w:r>
      <w:r w:rsidRPr="00BA506A">
        <w:rPr>
          <w:rFonts w:ascii="Century Schoolbook" w:eastAsia="Times New Roman" w:hAnsi="Century Schoolbook" w:cs="Times New Roman"/>
        </w:rPr>
        <w:t xml:space="preserve">  The Florida Supreme Court discussed the origin and evolution of the standard form CGL policy.  Significantly, the court addressed the ISO’s 1986 addition of the “your work” exclusion (</w:t>
      </w:r>
      <w:r w:rsidRPr="00BA506A">
        <w:rPr>
          <w:rFonts w:ascii="Century Schoolbook" w:eastAsia="Times New Roman" w:hAnsi="Century Schoolbook" w:cs="Times New Roman"/>
          <w:i/>
        </w:rPr>
        <w:t>i.e.</w:t>
      </w:r>
      <w:r w:rsidRPr="00BA506A">
        <w:rPr>
          <w:rFonts w:ascii="Century Schoolbook" w:eastAsia="Times New Roman" w:hAnsi="Century Schoolbook" w:cs="Times New Roman"/>
        </w:rPr>
        <w:t xml:space="preserve">, exclusion l), as well as the subcontractor exception to the “your work” exclusion.  Explaining these </w:t>
      </w:r>
      <w:r w:rsidRPr="00BA506A">
        <w:rPr>
          <w:rFonts w:ascii="Century Schoolbook" w:eastAsia="Times New Roman" w:hAnsi="Century Schoolbook" w:cs="Times New Roman"/>
        </w:rPr>
        <w:lastRenderedPageBreak/>
        <w:t>additions to the standard form policy, the court stated:</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[T]he insurance and policyholder communities agreed that the CGL policy should provide coverage for defective construction claims so long as the allegedly defective work had been performed by a subcontractor rather than the policyholder itself.  This resulted both because of the demands of the policyholder community (which wanted this sort of coverage) and the view of insurers that the CGL was a more attractive product that could better be sold if it contained this coverage.</w:t>
      </w:r>
      <w:r w:rsidRPr="00BA506A">
        <w:rPr>
          <w:rFonts w:ascii="Century Schoolbook" w:eastAsia="Times New Roman" w:hAnsi="Century Schoolbook" w:cs="Times New Roman"/>
          <w:vertAlign w:val="superscript"/>
        </w:rPr>
        <w:endnoteReference w:id="456"/>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w:t>
      </w:r>
      <w:r w:rsidRPr="00BA506A">
        <w:rPr>
          <w:rFonts w:ascii="Century Schoolbook" w:eastAsia="Times New Roman" w:hAnsi="Century Schoolbook" w:cs="Times New Roman"/>
          <w:i/>
        </w:rPr>
        <w:t>J.S.U.B.</w:t>
      </w:r>
      <w:r w:rsidRPr="00BA506A">
        <w:rPr>
          <w:rFonts w:ascii="Century Schoolbook" w:eastAsia="Times New Roman" w:hAnsi="Century Schoolbook" w:cs="Times New Roman"/>
        </w:rPr>
        <w:t xml:space="preserve"> court then held that there was an “occurrence,” even though only the general contractor’s completed work was damaged.</w:t>
      </w:r>
      <w:r w:rsidRPr="00BA506A">
        <w:rPr>
          <w:rFonts w:ascii="Century Schoolbook" w:eastAsia="Times New Roman" w:hAnsi="Century Schoolbook" w:cs="Times New Roman"/>
          <w:vertAlign w:val="superscript"/>
        </w:rPr>
        <w:endnoteReference w:id="457"/>
      </w:r>
      <w:r w:rsidRPr="00BA506A">
        <w:rPr>
          <w:rFonts w:ascii="Century Schoolbook" w:eastAsia="Times New Roman" w:hAnsi="Century Schoolbook" w:cs="Times New Roman"/>
        </w:rPr>
        <w:t xml:space="preserve">  In so holding, the court explained,</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[W]e fail to see how defective work that results in a claim against the contractor because of injury to a third party or damage to a third party’s property is “unforeseeable,” while the same defective work that results in a claim against the contractor because of damage to the completed project is “foreseeable.”  This distinction would make the definition of “occurrence” dependent upon which property was damaged.</w:t>
      </w:r>
      <w:r w:rsidRPr="00BA506A">
        <w:rPr>
          <w:rFonts w:ascii="Century Schoolbook" w:eastAsia="Times New Roman" w:hAnsi="Century Schoolbook" w:cs="Times New Roman"/>
          <w:vertAlign w:val="superscript"/>
        </w:rPr>
        <w:endnoteReference w:id="458"/>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w:t>
      </w:r>
      <w:r w:rsidRPr="00BA506A">
        <w:rPr>
          <w:rFonts w:ascii="Century Schoolbook" w:eastAsia="Times New Roman" w:hAnsi="Century Schoolbook" w:cs="Times New Roman"/>
          <w:i/>
        </w:rPr>
        <w:t>J.S.U.B.</w:t>
      </w:r>
      <w:r w:rsidRPr="00BA506A">
        <w:rPr>
          <w:rFonts w:ascii="Century Schoolbook" w:eastAsia="Times New Roman" w:hAnsi="Century Schoolbook" w:cs="Times New Roman"/>
        </w:rPr>
        <w:t xml:space="preserve"> court also concluded that the insurer’s arguments that a breach of contract can never result in an “accident” is not supported by the plain language of the policies.  The </w:t>
      </w:r>
      <w:r w:rsidRPr="00BA506A">
        <w:rPr>
          <w:rFonts w:ascii="Century Schoolbook" w:eastAsia="Times New Roman" w:hAnsi="Century Schoolbook" w:cs="Times New Roman"/>
        </w:rPr>
        <w:lastRenderedPageBreak/>
        <w:t xml:space="preserve">court in </w:t>
      </w:r>
      <w:r w:rsidRPr="00BA506A">
        <w:rPr>
          <w:rFonts w:ascii="Century Schoolbook" w:eastAsia="Times New Roman" w:hAnsi="Century Schoolbook" w:cs="Times New Roman"/>
          <w:i/>
        </w:rPr>
        <w:t>J.S.U.B.</w:t>
      </w:r>
      <w:r w:rsidRPr="00BA506A">
        <w:rPr>
          <w:rFonts w:ascii="Century Schoolbook" w:eastAsia="Times New Roman" w:hAnsi="Century Schoolbook" w:cs="Times New Roman"/>
        </w:rPr>
        <w:t xml:space="preserve"> noted that the Wisconsin Supreme Court had come to the same conclusion in </w:t>
      </w:r>
      <w:r w:rsidRPr="00BA506A">
        <w:rPr>
          <w:rFonts w:ascii="Century Schoolbook" w:eastAsia="Times New Roman" w:hAnsi="Century Schoolbook" w:cs="Times New Roman"/>
          <w:i/>
        </w:rPr>
        <w:t>American Family Mutual Insurance Co. v. American Girl, Inc.</w:t>
      </w:r>
      <w:r w:rsidRPr="00BA506A">
        <w:rPr>
          <w:rFonts w:ascii="Century Schoolbook" w:eastAsia="Times New Roman" w:hAnsi="Century Schoolbook" w:cs="Times New Roman"/>
          <w:vertAlign w:val="superscript"/>
        </w:rPr>
        <w:endnoteReference w:id="459"/>
      </w:r>
      <w:r w:rsidRPr="00BA506A">
        <w:rPr>
          <w:rFonts w:ascii="Century Schoolbook" w:eastAsia="Times New Roman" w:hAnsi="Century Schoolbook" w:cs="Times New Roman"/>
        </w:rPr>
        <w:t xml:space="preserve">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[T]here is nothing in the basic coverage language of the current CGL policy to support any definitive tort/contract line of demarcation for purposes of determining whether a loss is covered by a CGL’s initial grant of coverage.  “Occurrence” is not defined by reference to the legal category of the claim.  The term “tort” does not appear in the CGL policy.</w:t>
      </w:r>
      <w:r w:rsidRPr="00BA506A">
        <w:rPr>
          <w:rFonts w:ascii="Century Schoolbook" w:eastAsia="Times New Roman" w:hAnsi="Century Schoolbook" w:cs="Times New Roman"/>
          <w:vertAlign w:val="superscript"/>
        </w:rPr>
        <w:endnoteReference w:id="460"/>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court then went on to point out that the Kansas Supreme Court had followed </w:t>
      </w:r>
      <w:r w:rsidRPr="00BA506A">
        <w:rPr>
          <w:rFonts w:ascii="Century Schoolbook" w:eastAsia="Times New Roman" w:hAnsi="Century Schoolbook" w:cs="Times New Roman"/>
          <w:i/>
        </w:rPr>
        <w:t>American Girl</w:t>
      </w:r>
      <w:r w:rsidRPr="00BA506A">
        <w:rPr>
          <w:rFonts w:ascii="Century Schoolbook" w:eastAsia="Times New Roman" w:hAnsi="Century Schoolbook" w:cs="Times New Roman"/>
        </w:rPr>
        <w:t>’s reasoning in holding that a subcontractor’s defective work can constitute an “occurrence” under Kansas law.</w:t>
      </w:r>
      <w:r w:rsidRPr="00BA506A">
        <w:rPr>
          <w:rFonts w:ascii="Century Schoolbook" w:eastAsia="Times New Roman" w:hAnsi="Century Schoolbook" w:cs="Times New Roman"/>
          <w:vertAlign w:val="superscript"/>
        </w:rPr>
        <w:endnoteReference w:id="461"/>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J.S.U.B.</w:t>
      </w:r>
      <w:r w:rsidRPr="00BA506A">
        <w:rPr>
          <w:rFonts w:ascii="Century Schoolbook" w:eastAsia="Times New Roman" w:hAnsi="Century Schoolbook" w:cs="Times New Roman"/>
        </w:rPr>
        <w:t>, the court reasoned that if the insurer had intended to preclude coverage based on the cause of action asserted, it was incumbent on the insurer to include clear language to accomplish this result.</w:t>
      </w:r>
      <w:r w:rsidRPr="00BA506A">
        <w:rPr>
          <w:rFonts w:ascii="Century Schoolbook" w:eastAsia="Times New Roman" w:hAnsi="Century Schoolbook" w:cs="Times New Roman"/>
          <w:vertAlign w:val="superscript"/>
        </w:rPr>
        <w:endnoteReference w:id="462"/>
      </w:r>
      <w:r w:rsidRPr="00BA506A">
        <w:rPr>
          <w:rFonts w:ascii="Century Schoolbook" w:eastAsia="Times New Roman" w:hAnsi="Century Schoolbook" w:cs="Times New Roman"/>
        </w:rPr>
        <w:t xml:space="preserve">  The court then noted that there is a breach of contract endorsement exclusion, not present in the CGL policies at issue in that case, that excludes coverage for breach of contract claims by stating:</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This insurance does not apply to claims for breach of contract, whether express or implied, nor claims for breach of an implied in law or implied </w:t>
      </w:r>
      <w:r w:rsidRPr="00BA506A">
        <w:rPr>
          <w:rFonts w:ascii="Century Schoolbook" w:eastAsia="Times New Roman" w:hAnsi="Century Schoolbook" w:cs="Times New Roman"/>
        </w:rPr>
        <w:lastRenderedPageBreak/>
        <w:t>in fact contract, whether “bodily injury,” “property damage,” “advertising injury,” “personal injury” or an “occurrence” or damages of any type is alleged; this exclusion also applies to any additional insureds under the policy.</w:t>
      </w:r>
      <w:r w:rsidRPr="00BA506A">
        <w:rPr>
          <w:rFonts w:ascii="Century Schoolbook" w:eastAsia="Times New Roman" w:hAnsi="Century Schoolbook" w:cs="Times New Roman"/>
          <w:vertAlign w:val="superscript"/>
        </w:rPr>
        <w:endnoteReference w:id="463"/>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The court in </w:t>
      </w:r>
      <w:r w:rsidRPr="00BA506A">
        <w:rPr>
          <w:rFonts w:ascii="Century Schoolbook" w:eastAsia="Times New Roman" w:hAnsi="Century Schoolbook" w:cs="Times New Roman"/>
          <w:i/>
        </w:rPr>
        <w:t>J.S.U.B</w:t>
      </w:r>
      <w:r w:rsidRPr="00BA506A">
        <w:rPr>
          <w:rFonts w:ascii="Century Schoolbook" w:eastAsia="Times New Roman" w:hAnsi="Century Schoolbook" w:cs="Times New Roman"/>
        </w:rPr>
        <w:t xml:space="preserve"> pointed out that the ISO had begun to issue an endorsement that may be included in a CGL policy, which entirely eliminates the subcontractor exception to the “your work” exclusion.</w:t>
      </w:r>
      <w:r w:rsidRPr="00BA506A">
        <w:rPr>
          <w:rFonts w:ascii="Century Schoolbook" w:eastAsia="Times New Roman" w:hAnsi="Century Schoolbook" w:cs="Times New Roman"/>
          <w:vertAlign w:val="superscript"/>
        </w:rPr>
        <w:endnoteReference w:id="464"/>
      </w:r>
      <w:r w:rsidRPr="00BA506A">
        <w:rPr>
          <w:rFonts w:ascii="Century Schoolbook" w:eastAsia="Times New Roman" w:hAnsi="Century Schoolbook" w:cs="Times New Roman"/>
        </w:rPr>
        <w:t xml:space="preserve">  The court explained that the fact that these endorsements may be included in CGL policies highlights that the ultimate analysis is governed by the actual language contained in the applicable insurance contract.</w:t>
      </w:r>
      <w:r w:rsidRPr="00BA506A">
        <w:rPr>
          <w:rFonts w:ascii="Century Schoolbook" w:eastAsia="Times New Roman" w:hAnsi="Century Schoolbook" w:cs="Times New Roman"/>
          <w:vertAlign w:val="superscript"/>
        </w:rPr>
        <w:endnoteReference w:id="465"/>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r w:rsidRPr="00BA506A">
        <w:rPr>
          <w:rFonts w:ascii="Century Schoolbook" w:eastAsia="Times New Roman" w:hAnsi="Century Schoolbook" w:cs="Times New Roman"/>
        </w:rPr>
        <w:tab/>
      </w: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J.S.U.B.</w:t>
      </w:r>
      <w:r w:rsidRPr="00BA506A">
        <w:rPr>
          <w:rFonts w:ascii="Century Schoolbook" w:eastAsia="Times New Roman" w:hAnsi="Century Schoolbook" w:cs="Times New Roman"/>
        </w:rPr>
        <w:t>, the court rejected as unpersuasive the insurer’s argument that damage resulting from breach of contract must be presumed to be unexpected.  The court “rejected a definition of ‘occurrence’ that renders damage to the insured’s own work as a result of a subcontractor’s faulty workmanship expected, but renders damage to property of a third party caused by the same faulty workmanship unexpected.”</w:t>
      </w:r>
      <w:r w:rsidRPr="00BA506A">
        <w:rPr>
          <w:rFonts w:ascii="Century Schoolbook" w:eastAsia="Times New Roman" w:hAnsi="Century Schoolbook" w:cs="Times New Roman"/>
          <w:vertAlign w:val="superscript"/>
        </w:rPr>
        <w:endnoteReference w:id="466"/>
      </w:r>
      <w:r w:rsidRPr="00BA506A">
        <w:rPr>
          <w:rFonts w:ascii="Century Schoolbook" w:eastAsia="Times New Roman" w:hAnsi="Century Schoolbook" w:cs="Times New Roman"/>
        </w:rPr>
        <w:t xml:space="preserve">  The court found nothing in the definition of the term “occurrence” that limits coverage in such a manner.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American Girl</w:t>
      </w:r>
      <w:r w:rsidRPr="00BA506A">
        <w:rPr>
          <w:rFonts w:ascii="Century Schoolbook" w:eastAsia="Times New Roman" w:hAnsi="Century Schoolbook" w:cs="Times New Roman"/>
        </w:rPr>
        <w:t xml:space="preserve">, the Wisconsin Supreme Court held that there was an “occurrence” where a general contractor was sued for property damage to a warehouse that it had </w:t>
      </w:r>
      <w:r w:rsidRPr="00BA506A">
        <w:rPr>
          <w:rFonts w:ascii="Century Schoolbook" w:eastAsia="Times New Roman" w:hAnsi="Century Schoolbook" w:cs="Times New Roman"/>
        </w:rPr>
        <w:lastRenderedPageBreak/>
        <w:t>built, resulting from alleged faulty advice by a soil engineer contractor.</w:t>
      </w:r>
      <w:r w:rsidRPr="00BA506A">
        <w:rPr>
          <w:rFonts w:ascii="Century Schoolbook" w:eastAsia="Times New Roman" w:hAnsi="Century Schoolbook" w:cs="Times New Roman"/>
          <w:vertAlign w:val="superscript"/>
        </w:rPr>
        <w:endnoteReference w:id="467"/>
      </w:r>
      <w:r w:rsidRPr="00BA506A">
        <w:rPr>
          <w:rFonts w:ascii="Century Schoolbook" w:eastAsia="Times New Roman" w:hAnsi="Century Schoolbook" w:cs="Times New Roman"/>
        </w:rPr>
        <w:t xml:space="preserve">  The court reasoned that the damage to the non-defective warehouse was caused by a subcontractor’s inadequate advice, and neither the cause nor the harm was intended, anticipated, or expected.</w:t>
      </w:r>
      <w:r w:rsidRPr="00BA506A">
        <w:rPr>
          <w:rFonts w:ascii="Century Schoolbook" w:eastAsia="Times New Roman" w:hAnsi="Century Schoolbook" w:cs="Times New Roman"/>
          <w:vertAlign w:val="superscript"/>
        </w:rPr>
        <w:endnoteReference w:id="468"/>
      </w:r>
      <w:r w:rsidRPr="00BA506A">
        <w:rPr>
          <w:rFonts w:ascii="Century Schoolbook" w:eastAsia="Times New Roman" w:hAnsi="Century Schoolbook" w:cs="Times New Roman"/>
        </w:rPr>
        <w:t xml:space="preserve">  As noted above, the court in </w:t>
      </w:r>
      <w:r w:rsidRPr="00BA506A">
        <w:rPr>
          <w:rFonts w:ascii="Century Schoolbook" w:eastAsia="Times New Roman" w:hAnsi="Century Schoolbook" w:cs="Times New Roman"/>
          <w:i/>
        </w:rPr>
        <w:t>American Girl</w:t>
      </w:r>
      <w:r w:rsidRPr="00BA506A">
        <w:rPr>
          <w:rFonts w:ascii="Century Schoolbook" w:eastAsia="Times New Roman" w:hAnsi="Century Schoolbook" w:cs="Times New Roman"/>
        </w:rPr>
        <w:t xml:space="preserve"> found nothing in the language of a CGL policy to create a distinction between  breach of contract and tort in covered “occurrences.”</w:t>
      </w:r>
      <w:r w:rsidRPr="00BA506A">
        <w:rPr>
          <w:rFonts w:ascii="Century Schoolbook" w:eastAsia="Times New Roman" w:hAnsi="Century Schoolbook" w:cs="Times New Roman"/>
          <w:vertAlign w:val="superscript"/>
        </w:rPr>
        <w:endnoteReference w:id="469"/>
      </w:r>
    </w:p>
    <w:p w:rsidR="00AB16BD"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In </w:t>
      </w:r>
      <w:r w:rsidRPr="00BA506A">
        <w:rPr>
          <w:rFonts w:ascii="Century Schoolbook" w:eastAsia="Times New Roman" w:hAnsi="Century Schoolbook" w:cs="Times New Roman"/>
          <w:i/>
        </w:rPr>
        <w:t>Lamar Homes</w:t>
      </w:r>
      <w:r w:rsidRPr="00BA506A">
        <w:rPr>
          <w:rFonts w:ascii="Century Schoolbook" w:eastAsia="Times New Roman" w:hAnsi="Century Schoolbook" w:cs="Times New Roman"/>
        </w:rPr>
        <w:t>, homeowners contended that a subcontractor had defectively constructed their foundation, causing damage to non-defective portions of their home, such as the sheet rock and stone veneer.</w:t>
      </w:r>
      <w:r w:rsidRPr="00BA506A">
        <w:rPr>
          <w:rFonts w:ascii="Century Schoolbook" w:eastAsia="Times New Roman" w:hAnsi="Century Schoolbook" w:cs="Times New Roman"/>
          <w:vertAlign w:val="superscript"/>
        </w:rPr>
        <w:endnoteReference w:id="470"/>
      </w:r>
      <w:r w:rsidRPr="00BA506A">
        <w:rPr>
          <w:rFonts w:ascii="Century Schoolbook" w:eastAsia="Times New Roman" w:hAnsi="Century Schoolbook" w:cs="Times New Roman"/>
        </w:rPr>
        <w:t xml:space="preserve">  The Texas Supreme Court held that there was an “occurrence,” even though the only property damage alleged was to the home built by the general contractor, as distinguished from damage to third-party property.</w:t>
      </w:r>
      <w:r w:rsidRPr="00BA506A">
        <w:rPr>
          <w:rFonts w:ascii="Century Schoolbook" w:eastAsia="Times New Roman" w:hAnsi="Century Schoolbook" w:cs="Times New Roman"/>
          <w:vertAlign w:val="superscript"/>
        </w:rPr>
        <w:endnoteReference w:id="471"/>
      </w:r>
      <w:r w:rsidRPr="00BA506A">
        <w:rPr>
          <w:rFonts w:ascii="Century Schoolbook" w:eastAsia="Times New Roman" w:hAnsi="Century Schoolbook" w:cs="Times New Roman"/>
        </w:rPr>
        <w:t xml:space="preserve">  In reversing the lower court’s holding that “faulty workmanship that damages property of a third party is a covered ‘occurrence,’ whereas faulty workmanship that damages property of the insured contractor is not,” the supreme court explained that CGL policies do not define “‘occurrence’” in terms of the ownership or character of the property damaged by the act or event,” and that there was “no logical basis” for “distinguishing between damage to the insured’s work and damage to some third party’s property.”</w:t>
      </w:r>
      <w:r w:rsidRPr="00BA506A">
        <w:rPr>
          <w:rFonts w:ascii="Century Schoolbook" w:eastAsia="Times New Roman" w:hAnsi="Century Schoolbook" w:cs="Times New Roman"/>
          <w:vertAlign w:val="superscript"/>
        </w:rPr>
        <w:endnoteReference w:id="472"/>
      </w: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lastRenderedPageBreak/>
        <w:t xml:space="preserve">The </w:t>
      </w:r>
      <w:r w:rsidRPr="00BA506A">
        <w:rPr>
          <w:rFonts w:ascii="Century Schoolbook" w:eastAsia="Times New Roman" w:hAnsi="Century Schoolbook" w:cs="Times New Roman"/>
          <w:i/>
        </w:rPr>
        <w:t>Lamar Homes</w:t>
      </w:r>
      <w:r w:rsidRPr="00BA506A">
        <w:rPr>
          <w:rFonts w:ascii="Century Schoolbook" w:eastAsia="Times New Roman" w:hAnsi="Century Schoolbook" w:cs="Times New Roman"/>
        </w:rPr>
        <w:t xml:space="preserve"> court also rejected the insurer’s argument that the damages alleged for repairs to the home are direct economic damages flowing from the general contractor’s contractual undertaking and are conclusively presumed to have been foreseen, holding that the argument is based upon “a false assumption–that the failure to perform under a contract is always intentional (or stated differently ‘that an accident can never exist apart from a tort claim’).”</w:t>
      </w:r>
      <w:r w:rsidRPr="00BA506A">
        <w:rPr>
          <w:rFonts w:ascii="Century Schoolbook" w:eastAsia="Times New Roman" w:hAnsi="Century Schoolbook" w:cs="Times New Roman"/>
          <w:vertAlign w:val="superscript"/>
        </w:rPr>
        <w:endnoteReference w:id="473"/>
      </w:r>
      <w:r w:rsidRPr="00BA506A">
        <w:rPr>
          <w:rFonts w:ascii="Century Schoolbook" w:eastAsia="Times New Roman" w:hAnsi="Century Schoolbook" w:cs="Times New Roman"/>
        </w:rPr>
        <w:t xml:space="preserve">  As the court noted, Professor Pryor acknowledged that the argument has some intuitive appeal but concluded:</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Yet, on even a moment’s reflection, we all understand that contracts are broken, many times, for reasons that we would call “accidental.”  The wrong number of boxes was shipped because someone made a mistake in the counting.  The lawsuit was filed in the wrong venue because someone made a mistake when reading the venue statute.  As one court explained, “at bottom, an occurrence is simply an unexpected consequence of an insured’s act, even if due to negligence or faulty work.”</w:t>
      </w:r>
      <w:r w:rsidRPr="00BA506A">
        <w:rPr>
          <w:rFonts w:ascii="Century Schoolbook" w:eastAsia="Times New Roman" w:hAnsi="Century Schoolbook" w:cs="Times New Roman"/>
          <w:vertAlign w:val="superscript"/>
        </w:rPr>
        <w:endnoteReference w:id="474"/>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firstLine="360"/>
        <w:jc w:val="both"/>
        <w:rPr>
          <w:rFonts w:ascii="Century Schoolbook" w:eastAsia="Times New Roman" w:hAnsi="Century Schoolbook" w:cs="Times New Roman"/>
          <w:b/>
        </w:rPr>
      </w:pPr>
      <w:r w:rsidRPr="00BA506A">
        <w:rPr>
          <w:rFonts w:ascii="Century Schoolbook" w:eastAsia="Times New Roman" w:hAnsi="Century Schoolbook" w:cs="Times New Roman"/>
        </w:rPr>
        <w:lastRenderedPageBreak/>
        <w:t xml:space="preserve">In light of the analyses used by these other jurisdictions, the Georgia Supreme Court’s citation with approval to those cases may spell trouble for the insurer in </w:t>
      </w:r>
      <w:r w:rsidRPr="00BA506A">
        <w:rPr>
          <w:rFonts w:ascii="Century Schoolbook" w:eastAsia="Times New Roman" w:hAnsi="Century Schoolbook" w:cs="Times New Roman"/>
          <w:i/>
        </w:rPr>
        <w:t>Taylor Morrison</w:t>
      </w:r>
      <w:r w:rsidRPr="00BA506A">
        <w:rPr>
          <w:rFonts w:ascii="Century Schoolbook" w:eastAsia="Times New Roman" w:hAnsi="Century Schoolbook" w:cs="Times New Roman"/>
        </w:rPr>
        <w:t xml:space="preserve">.  The Eleventh Circuit seems to have reached the crux of the issue appropriately in certifying its questions to the supreme court: </w:t>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Pr="00BA506A" w:rsidRDefault="00AB16BD" w:rsidP="00AB16BD">
      <w:pPr>
        <w:tabs>
          <w:tab w:val="left" w:pos="540"/>
        </w:tabs>
        <w:spacing w:after="0" w:line="240" w:lineRule="auto"/>
        <w:ind w:left="720" w:right="720"/>
        <w:jc w:val="both"/>
        <w:rPr>
          <w:rFonts w:ascii="Century Schoolbook" w:eastAsia="Times New Roman" w:hAnsi="Century Schoolbook" w:cs="Times New Roman"/>
        </w:rPr>
      </w:pPr>
      <w:r w:rsidRPr="00BA506A">
        <w:rPr>
          <w:rFonts w:ascii="Century Schoolbook" w:eastAsia="Times New Roman" w:hAnsi="Century Schoolbook" w:cs="Times New Roman"/>
        </w:rPr>
        <w:t>And, while [the Georgia Supreme Court] referenced “other property” in its recent holding in Hathaway II, it is not fully clear whether it intends injury to “other property” to be a prerequisite to the existence of an “occurrence” or, rather, simply one of a number of events that can constitute an “occurrence”. . .</w:t>
      </w:r>
      <w:r w:rsidRPr="00BA506A">
        <w:rPr>
          <w:rFonts w:ascii="Century Schoolbook" w:eastAsia="Times New Roman" w:hAnsi="Century Schoolbook" w:cs="Times New Roman"/>
          <w:vertAlign w:val="superscript"/>
        </w:rPr>
        <w:endnoteReference w:id="475"/>
      </w:r>
    </w:p>
    <w:p w:rsidR="00AB16BD" w:rsidRPr="00BA506A" w:rsidRDefault="00AB16BD" w:rsidP="00AB16BD">
      <w:pPr>
        <w:tabs>
          <w:tab w:val="left" w:pos="540"/>
        </w:tabs>
        <w:spacing w:after="0" w:line="240" w:lineRule="auto"/>
        <w:jc w:val="both"/>
        <w:rPr>
          <w:rFonts w:ascii="Century Schoolbook" w:eastAsia="Times New Roman" w:hAnsi="Century Schoolbook" w:cs="Times New Roman"/>
        </w:rPr>
      </w:pPr>
    </w:p>
    <w:p w:rsidR="00AB16BD" w:rsidRDefault="00AB16BD" w:rsidP="00AB16BD">
      <w:pPr>
        <w:tabs>
          <w:tab w:val="left" w:pos="540"/>
        </w:tabs>
        <w:spacing w:after="0" w:line="240" w:lineRule="auto"/>
        <w:ind w:firstLine="360"/>
        <w:jc w:val="both"/>
        <w:rPr>
          <w:rFonts w:ascii="Century Schoolbook" w:eastAsia="Times New Roman" w:hAnsi="Century Schoolbook" w:cs="Times New Roman"/>
        </w:rPr>
      </w:pPr>
      <w:r w:rsidRPr="00BA506A">
        <w:rPr>
          <w:rFonts w:ascii="Century Schoolbook" w:eastAsia="Times New Roman" w:hAnsi="Century Schoolbook" w:cs="Times New Roman"/>
        </w:rPr>
        <w:t xml:space="preserve">At the time of this article’s publication, the Georgia Supreme Court has not ruled on the certified questions in </w:t>
      </w:r>
      <w:r w:rsidRPr="00BA506A">
        <w:rPr>
          <w:rFonts w:ascii="Century Schoolbook" w:eastAsia="Times New Roman" w:hAnsi="Century Schoolbook" w:cs="Times New Roman"/>
          <w:i/>
        </w:rPr>
        <w:t>Taylor Morrison</w:t>
      </w:r>
      <w:r w:rsidRPr="00BA506A">
        <w:rPr>
          <w:rFonts w:ascii="Century Schoolbook" w:eastAsia="Times New Roman" w:hAnsi="Century Schoolbook" w:cs="Times New Roman"/>
        </w:rPr>
        <w:t>.</w:t>
      </w:r>
    </w:p>
    <w:p w:rsidR="00AB16BD" w:rsidRDefault="00AB16BD" w:rsidP="00AB16BD">
      <w:pPr>
        <w:tabs>
          <w:tab w:val="left" w:pos="540"/>
        </w:tabs>
        <w:spacing w:after="0" w:line="240" w:lineRule="auto"/>
        <w:jc w:val="both"/>
        <w:rPr>
          <w:rFonts w:ascii="Century Schoolbook" w:eastAsia="Times New Roman" w:hAnsi="Century Schoolbook" w:cs="Times New Roman"/>
        </w:rPr>
      </w:pPr>
    </w:p>
    <w:p w:rsidR="00AB16BD" w:rsidRPr="00237D7A" w:rsidRDefault="00AB16BD" w:rsidP="00AB16BD">
      <w:pPr>
        <w:tabs>
          <w:tab w:val="left" w:pos="540"/>
        </w:tabs>
        <w:spacing w:after="0" w:line="240" w:lineRule="auto"/>
        <w:jc w:val="center"/>
        <w:rPr>
          <w:rFonts w:ascii="Century Schoolbook" w:eastAsia="Times New Roman" w:hAnsi="Century Schoolbook" w:cs="Times New Roman"/>
          <w:b/>
          <w:u w:val="single"/>
        </w:rPr>
      </w:pPr>
      <w:r w:rsidRPr="00237D7A">
        <w:rPr>
          <w:rFonts w:ascii="Century Schoolbook" w:eastAsia="Times New Roman" w:hAnsi="Century Schoolbook" w:cs="Times New Roman"/>
          <w:b/>
          <w:u w:val="single"/>
        </w:rPr>
        <w:t>End Notes</w:t>
      </w:r>
    </w:p>
    <w:p w:rsidR="00AB16BD" w:rsidRDefault="00AB16BD" w:rsidP="005C3E72">
      <w:pPr>
        <w:tabs>
          <w:tab w:val="left" w:pos="540"/>
        </w:tabs>
        <w:spacing w:after="0"/>
        <w:rPr>
          <w:rFonts w:ascii="Century Schoolbook" w:eastAsia="Times New Roman" w:hAnsi="Century Schoolbook" w:cs="Times New Roman"/>
          <w:sz w:val="19"/>
          <w:szCs w:val="19"/>
        </w:rPr>
      </w:pPr>
    </w:p>
    <w:p w:rsidR="003F419C" w:rsidRDefault="003F419C" w:rsidP="005C3E72">
      <w:pPr>
        <w:tabs>
          <w:tab w:val="left" w:pos="540"/>
        </w:tabs>
        <w:spacing w:after="0"/>
        <w:rPr>
          <w:rFonts w:ascii="Century Schoolbook" w:eastAsia="Times New Roman" w:hAnsi="Century Schoolbook" w:cs="Times New Roman"/>
          <w:sz w:val="19"/>
          <w:szCs w:val="19"/>
        </w:rPr>
        <w:sectPr w:rsidR="003F419C" w:rsidSect="00AB16BD">
          <w:endnotePr>
            <w:numFmt w:val="decimal"/>
            <w:numRestart w:val="eachSect"/>
          </w:endnotePr>
          <w:type w:val="continuous"/>
          <w:pgSz w:w="12240" w:h="15840"/>
          <w:pgMar w:top="2520" w:right="1800" w:bottom="1440" w:left="1800" w:header="720" w:footer="720" w:gutter="0"/>
          <w:cols w:num="2" w:space="720"/>
          <w:docGrid w:linePitch="360"/>
        </w:sectPr>
      </w:pPr>
    </w:p>
    <w:p w:rsidR="00C9065B" w:rsidRPr="00C9065B" w:rsidRDefault="00C9065B" w:rsidP="003B7992">
      <w:pPr>
        <w:pStyle w:val="GDLA"/>
        <w:outlineLvl w:val="0"/>
      </w:pPr>
      <w:bookmarkStart w:id="23" w:name="_Toc356227240"/>
      <w:r w:rsidRPr="00C9065B">
        <w:lastRenderedPageBreak/>
        <w:t>Admissibility in Products Liability Cases of Data Published by the Consumer Products Safety Commission’s National Electr</w:t>
      </w:r>
      <w:r w:rsidR="003B7992">
        <w:t>onic Injury Surveillance System</w:t>
      </w:r>
      <w:bookmarkEnd w:id="23"/>
    </w:p>
    <w:p w:rsidR="00C9065B" w:rsidRDefault="00C9065B" w:rsidP="00C9065B">
      <w:pPr>
        <w:pStyle w:val="Author"/>
      </w:pPr>
    </w:p>
    <w:p w:rsidR="00C9065B" w:rsidRDefault="00C9065B" w:rsidP="003B7992">
      <w:pPr>
        <w:pStyle w:val="Author"/>
        <w:outlineLvl w:val="1"/>
      </w:pPr>
      <w:bookmarkStart w:id="24" w:name="_Toc356227241"/>
      <w:r w:rsidRPr="00C9065B">
        <w:t xml:space="preserve">By James “Dart” Meadows, Lorna Norton, </w:t>
      </w:r>
      <w:r w:rsidR="00B72D4A">
        <w:t xml:space="preserve">and </w:t>
      </w:r>
      <w:r w:rsidRPr="00C9065B">
        <w:t>James Hollis</w:t>
      </w:r>
      <w:bookmarkEnd w:id="24"/>
    </w:p>
    <w:p w:rsidR="003A4EF4" w:rsidRPr="00C9065B" w:rsidRDefault="003A4EF4" w:rsidP="003B7992">
      <w:pPr>
        <w:pStyle w:val="Author"/>
        <w:outlineLvl w:val="1"/>
      </w:pPr>
    </w:p>
    <w:p w:rsidR="00C9065B" w:rsidRDefault="00C9065B" w:rsidP="00C9065B">
      <w:pPr>
        <w:tabs>
          <w:tab w:val="left" w:pos="540"/>
        </w:tabs>
        <w:spacing w:after="0"/>
        <w:rPr>
          <w:rFonts w:ascii="Century Schoolbook" w:eastAsia="Times New Roman" w:hAnsi="Century Schoolbook" w:cs="Times New Roman"/>
          <w:sz w:val="19"/>
          <w:szCs w:val="19"/>
        </w:rPr>
      </w:pPr>
    </w:p>
    <w:p w:rsidR="003A4EF4" w:rsidRDefault="003A4EF4" w:rsidP="00C9065B">
      <w:pPr>
        <w:tabs>
          <w:tab w:val="left" w:pos="540"/>
        </w:tabs>
        <w:spacing w:after="0"/>
        <w:jc w:val="both"/>
        <w:rPr>
          <w:rFonts w:ascii="Century Schoolbook" w:eastAsia="Times New Roman" w:hAnsi="Century Schoolbook" w:cs="Times New Roman"/>
          <w:sz w:val="19"/>
          <w:szCs w:val="19"/>
        </w:rPr>
        <w:sectPr w:rsidR="003A4EF4" w:rsidSect="00C9065B">
          <w:endnotePr>
            <w:numFmt w:val="decimal"/>
            <w:numRestart w:val="eachSect"/>
          </w:endnotePr>
          <w:pgSz w:w="12240" w:h="15840"/>
          <w:pgMar w:top="2520" w:right="1800" w:bottom="1440" w:left="1800" w:header="720" w:footer="720" w:gutter="0"/>
          <w:cols w:space="720"/>
          <w:docGrid w:linePitch="360"/>
        </w:sectPr>
      </w:pPr>
    </w:p>
    <w:p w:rsidR="003A4EF4" w:rsidRDefault="003E1523" w:rsidP="0019181F">
      <w:pPr>
        <w:pStyle w:val="NormalWeb"/>
        <w:pBdr>
          <w:top w:val="single" w:sz="4" w:space="1" w:color="auto"/>
          <w:left w:val="single" w:sz="4" w:space="4" w:color="auto"/>
          <w:bottom w:val="single" w:sz="4" w:space="1" w:color="auto"/>
          <w:right w:val="single" w:sz="4" w:space="4" w:color="auto"/>
        </w:pBdr>
        <w:shd w:val="clear" w:color="auto" w:fill="81BAC5"/>
        <w:jc w:val="both"/>
        <w:rPr>
          <w:rFonts w:ascii="Century Schoolbook" w:hAnsi="Century Schoolbook"/>
          <w:sz w:val="22"/>
          <w:szCs w:val="22"/>
        </w:rPr>
      </w:pPr>
      <w:r>
        <w:rPr>
          <w:noProof/>
        </w:rPr>
        <w:drawing>
          <wp:anchor distT="0" distB="0" distL="114300" distR="114300" simplePos="0" relativeHeight="251670528" behindDoc="0" locked="0" layoutInCell="1" allowOverlap="1" wp14:anchorId="50A0D870" wp14:editId="459C13B5">
            <wp:simplePos x="0" y="0"/>
            <wp:positionH relativeFrom="margin">
              <wp:posOffset>-36195</wp:posOffset>
            </wp:positionH>
            <wp:positionV relativeFrom="margin">
              <wp:posOffset>2381250</wp:posOffset>
            </wp:positionV>
            <wp:extent cx="893445" cy="1171575"/>
            <wp:effectExtent l="76200" t="76200" r="135255" b="142875"/>
            <wp:wrapSquare wrapText="bothSides"/>
            <wp:docPr id="4" name="Picture 4" descr="C:\Users\AR\AppData\Local\Microsoft\Windows\Temporary Internet Files\Content.Word\D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AppData\Local\Microsoft\Windows\Temporary Internet Files\Content.Word\Dart.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505" t="5031" b="10106"/>
                    <a:stretch/>
                  </pic:blipFill>
                  <pic:spPr bwMode="auto">
                    <a:xfrm>
                      <a:off x="0" y="0"/>
                      <a:ext cx="893445" cy="11715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FACEA7D" wp14:editId="77AC67D1">
            <wp:simplePos x="0" y="0"/>
            <wp:positionH relativeFrom="margin">
              <wp:posOffset>2925445</wp:posOffset>
            </wp:positionH>
            <wp:positionV relativeFrom="margin">
              <wp:posOffset>2969260</wp:posOffset>
            </wp:positionV>
            <wp:extent cx="962025" cy="1202055"/>
            <wp:effectExtent l="76200" t="76200" r="142875" b="131445"/>
            <wp:wrapSquare wrapText="bothSides"/>
            <wp:docPr id="6" name="Picture 6" descr="C:\Users\AR\AppData\Local\Microsoft\Windows\Temporary Internet Files\Content.Word\2010 Hollis_98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AppData\Local\Microsoft\Windows\Temporary Internet Files\Content.Word\2010 Hollis_9836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1202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F344B">
        <w:rPr>
          <w:rFonts w:ascii="Century Schoolbook" w:hAnsi="Century Schoolbook"/>
          <w:b/>
          <w:bCs/>
          <w:sz w:val="22"/>
          <w:szCs w:val="22"/>
        </w:rPr>
        <w:t xml:space="preserve">James Dartlin “Dart” </w:t>
      </w:r>
      <w:r w:rsidR="006F344B" w:rsidRPr="006F344B">
        <w:rPr>
          <w:rFonts w:ascii="Century Schoolbook" w:hAnsi="Century Schoolbook"/>
          <w:b/>
          <w:bCs/>
          <w:sz w:val="22"/>
          <w:szCs w:val="22"/>
        </w:rPr>
        <w:t>Meadows</w:t>
      </w:r>
      <w:r w:rsidR="006F344B">
        <w:rPr>
          <w:rFonts w:ascii="Century Schoolbook" w:hAnsi="Century Schoolbook"/>
          <w:bCs/>
          <w:sz w:val="22"/>
          <w:szCs w:val="22"/>
        </w:rPr>
        <w:t xml:space="preserve"> i</w:t>
      </w:r>
      <w:r w:rsidR="003A4EF4" w:rsidRPr="006F344B">
        <w:rPr>
          <w:rFonts w:ascii="Century Schoolbook" w:hAnsi="Century Schoolbook"/>
          <w:sz w:val="22"/>
          <w:szCs w:val="22"/>
        </w:rPr>
        <w:t>s</w:t>
      </w:r>
      <w:r w:rsidR="003A4EF4" w:rsidRPr="009F0B54">
        <w:rPr>
          <w:rFonts w:ascii="Century Schoolbook" w:hAnsi="Century Schoolbook"/>
          <w:sz w:val="22"/>
          <w:szCs w:val="22"/>
        </w:rPr>
        <w:t xml:space="preserve"> a trial lawyer with 30 years of experience. He has tried dozens of cases in Georgia and in other states. His practice includes business litigation, product liability, healthcare,</w:t>
      </w:r>
      <w:r w:rsidR="0019181F">
        <w:rPr>
          <w:rFonts w:ascii="Century Schoolbook" w:hAnsi="Century Schoolbook"/>
          <w:sz w:val="22"/>
          <w:szCs w:val="22"/>
        </w:rPr>
        <w:t xml:space="preserve"> and real estate litigation.</w:t>
      </w:r>
      <w:r w:rsidR="00191435">
        <w:rPr>
          <w:rFonts w:ascii="Century Schoolbook" w:hAnsi="Century Schoolbook"/>
          <w:sz w:val="22"/>
          <w:szCs w:val="22"/>
        </w:rPr>
        <w:t xml:space="preserve">  </w:t>
      </w:r>
      <w:r w:rsidR="00817093">
        <w:rPr>
          <w:rFonts w:ascii="Century Schoolbook" w:hAnsi="Century Schoolbook"/>
          <w:sz w:val="22"/>
          <w:szCs w:val="22"/>
        </w:rPr>
        <w:t>He</w:t>
      </w:r>
      <w:r w:rsidR="00191435">
        <w:rPr>
          <w:rFonts w:ascii="Century Schoolbook" w:hAnsi="Century Schoolbook"/>
          <w:sz w:val="22"/>
          <w:szCs w:val="22"/>
        </w:rPr>
        <w:t xml:space="preserve"> </w:t>
      </w:r>
      <w:r w:rsidR="003A4EF4" w:rsidRPr="009F0B54">
        <w:rPr>
          <w:rFonts w:ascii="Century Schoolbook" w:hAnsi="Century Schoolbook"/>
          <w:sz w:val="22"/>
          <w:szCs w:val="22"/>
        </w:rPr>
        <w:t xml:space="preserve"> </w:t>
      </w:r>
      <w:r w:rsidR="00C304AC">
        <w:rPr>
          <w:rFonts w:ascii="Century Schoolbook" w:hAnsi="Century Schoolbook"/>
          <w:sz w:val="22"/>
          <w:szCs w:val="22"/>
        </w:rPr>
        <w:t>represents</w:t>
      </w:r>
      <w:r w:rsidR="003A4EF4" w:rsidRPr="009F0B54">
        <w:rPr>
          <w:rFonts w:ascii="Century Schoolbook" w:hAnsi="Century Schoolbook"/>
          <w:sz w:val="22"/>
          <w:szCs w:val="22"/>
        </w:rPr>
        <w:t xml:space="preserve"> wood</w:t>
      </w:r>
      <w:r w:rsidR="00817093">
        <w:rPr>
          <w:rFonts w:ascii="Century Schoolbook" w:hAnsi="Century Schoolbook"/>
          <w:sz w:val="22"/>
          <w:szCs w:val="22"/>
        </w:rPr>
        <w:t>-</w:t>
      </w:r>
      <w:r w:rsidR="003A4EF4" w:rsidRPr="009F0B54">
        <w:rPr>
          <w:rFonts w:ascii="Century Schoolbook" w:hAnsi="Century Schoolbook"/>
          <w:sz w:val="22"/>
          <w:szCs w:val="22"/>
        </w:rPr>
        <w:t>working machinery</w:t>
      </w:r>
      <w:r w:rsidR="00817093">
        <w:rPr>
          <w:rFonts w:ascii="Century Schoolbook" w:hAnsi="Century Schoolbook"/>
          <w:sz w:val="22"/>
          <w:szCs w:val="22"/>
        </w:rPr>
        <w:t xml:space="preserve"> </w:t>
      </w:r>
      <w:r w:rsidR="003A4EF4" w:rsidRPr="009F0B54">
        <w:rPr>
          <w:rFonts w:ascii="Century Schoolbook" w:hAnsi="Century Schoolbook"/>
          <w:sz w:val="22"/>
          <w:szCs w:val="22"/>
        </w:rPr>
        <w:t xml:space="preserve">manufacturers, </w:t>
      </w:r>
      <w:r w:rsidR="00817093" w:rsidRPr="009F0B54">
        <w:rPr>
          <w:rFonts w:ascii="Century Schoolbook" w:hAnsi="Century Schoolbook"/>
          <w:sz w:val="22"/>
          <w:szCs w:val="22"/>
        </w:rPr>
        <w:t>distributors</w:t>
      </w:r>
      <w:r w:rsidR="00C304AC">
        <w:rPr>
          <w:rFonts w:ascii="Century Schoolbook" w:hAnsi="Century Schoolbook"/>
          <w:sz w:val="22"/>
          <w:szCs w:val="22"/>
        </w:rPr>
        <w:t>, and</w:t>
      </w:r>
      <w:r w:rsidR="00C304AC" w:rsidRPr="009F0B54">
        <w:rPr>
          <w:rFonts w:ascii="Century Schoolbook" w:hAnsi="Century Schoolbook"/>
          <w:sz w:val="22"/>
          <w:szCs w:val="22"/>
        </w:rPr>
        <w:t xml:space="preserve"> </w:t>
      </w:r>
      <w:r w:rsidR="00817093" w:rsidRPr="009F0B54">
        <w:rPr>
          <w:rFonts w:ascii="Century Schoolbook" w:hAnsi="Century Schoolbook"/>
          <w:sz w:val="22"/>
          <w:szCs w:val="22"/>
        </w:rPr>
        <w:t xml:space="preserve">dealers </w:t>
      </w:r>
      <w:r w:rsidR="003A4EF4" w:rsidRPr="009F0B54">
        <w:rPr>
          <w:rFonts w:ascii="Century Schoolbook" w:hAnsi="Century Schoolbook"/>
          <w:sz w:val="22"/>
          <w:szCs w:val="22"/>
        </w:rPr>
        <w:t xml:space="preserve">in product liability litigation throughout the country, including serving as national counsel. </w:t>
      </w:r>
      <w:r w:rsidR="00817093">
        <w:rPr>
          <w:rFonts w:ascii="Century Schoolbook" w:hAnsi="Century Schoolbook"/>
          <w:sz w:val="22"/>
          <w:szCs w:val="22"/>
        </w:rPr>
        <w:t xml:space="preserve"> </w:t>
      </w:r>
    </w:p>
    <w:p w:rsidR="000946D2" w:rsidRPr="003E1523" w:rsidRDefault="000946D2" w:rsidP="003A4EF4">
      <w:pPr>
        <w:pStyle w:val="NormalWeb"/>
        <w:jc w:val="both"/>
        <w:rPr>
          <w:rFonts w:ascii="Century Schoolbook" w:hAnsi="Century Schoolbook"/>
          <w:sz w:val="22"/>
          <w:szCs w:val="22"/>
        </w:rPr>
      </w:pPr>
    </w:p>
    <w:p w:rsidR="003A4EF4" w:rsidRDefault="003E1523" w:rsidP="0019181F">
      <w:pPr>
        <w:pStyle w:val="NormalWeb"/>
        <w:pBdr>
          <w:top w:val="single" w:sz="4" w:space="1" w:color="auto"/>
          <w:left w:val="single" w:sz="4" w:space="4" w:color="auto"/>
          <w:bottom w:val="single" w:sz="4" w:space="1" w:color="auto"/>
          <w:right w:val="single" w:sz="4" w:space="4" w:color="auto"/>
        </w:pBdr>
        <w:shd w:val="clear" w:color="auto" w:fill="81BAC5"/>
        <w:jc w:val="both"/>
        <w:rPr>
          <w:rFonts w:ascii="Century Schoolbook" w:hAnsi="Century Schoolbook"/>
          <w:sz w:val="22"/>
          <w:szCs w:val="22"/>
        </w:rPr>
      </w:pPr>
      <w:r>
        <w:rPr>
          <w:noProof/>
        </w:rPr>
        <w:drawing>
          <wp:anchor distT="0" distB="0" distL="114300" distR="114300" simplePos="0" relativeHeight="251671552" behindDoc="0" locked="0" layoutInCell="1" allowOverlap="1" wp14:anchorId="2C17B5C9" wp14:editId="24A5B969">
            <wp:simplePos x="0" y="0"/>
            <wp:positionH relativeFrom="margin">
              <wp:posOffset>-38100</wp:posOffset>
            </wp:positionH>
            <wp:positionV relativeFrom="margin">
              <wp:posOffset>5048250</wp:posOffset>
            </wp:positionV>
            <wp:extent cx="885825" cy="1238250"/>
            <wp:effectExtent l="76200" t="76200" r="142875" b="133350"/>
            <wp:wrapSquare wrapText="bothSides"/>
            <wp:docPr id="5" name="Picture 5" descr="C:\Users\AR\AppData\Local\Microsoft\Windows\Temporary Internet Files\Content.Word\LornaNorton 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AppData\Local\Microsoft\Windows\Temporary Internet Files\Content.Word\LornaNorton 120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6877"/>
                    <a:stretch/>
                  </pic:blipFill>
                  <pic:spPr bwMode="auto">
                    <a:xfrm>
                      <a:off x="0" y="0"/>
                      <a:ext cx="885825" cy="12382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EF4" w:rsidRPr="009F0B54">
        <w:rPr>
          <w:rStyle w:val="Strong"/>
          <w:rFonts w:ascii="Century Schoolbook" w:hAnsi="Century Schoolbook"/>
          <w:sz w:val="22"/>
          <w:szCs w:val="22"/>
        </w:rPr>
        <w:t>L</w:t>
      </w:r>
      <w:r w:rsidR="006F344B">
        <w:rPr>
          <w:rStyle w:val="Strong"/>
          <w:rFonts w:ascii="Century Schoolbook" w:hAnsi="Century Schoolbook"/>
          <w:sz w:val="22"/>
          <w:szCs w:val="22"/>
        </w:rPr>
        <w:t>orna McGilvray Norton</w:t>
      </w:r>
      <w:r w:rsidR="003A4EF4" w:rsidRPr="009F0B54">
        <w:rPr>
          <w:rStyle w:val="Strong"/>
          <w:rFonts w:ascii="Century Schoolbook" w:hAnsi="Century Schoolbook"/>
          <w:sz w:val="22"/>
          <w:szCs w:val="22"/>
        </w:rPr>
        <w:t xml:space="preserve"> </w:t>
      </w:r>
      <w:r w:rsidR="003A4EF4" w:rsidRPr="009F0B54">
        <w:rPr>
          <w:rFonts w:ascii="Century Schoolbook" w:hAnsi="Century Schoolbook"/>
          <w:sz w:val="22"/>
          <w:szCs w:val="22"/>
        </w:rPr>
        <w:t>joined Balch &amp; Bingham's predecessor in Atlanta, in 1997. Lorna is in the Atlanta office and a member of the firm's Litigation Section. Her practice focuses on commercial litigation, including trial and appellate matters involving complex contract disputes, business torts, and products liability and medical malpractice defense.</w:t>
      </w:r>
    </w:p>
    <w:p w:rsidR="003A4EF4" w:rsidRPr="009F0B54" w:rsidRDefault="003A4EF4" w:rsidP="003A4EF4">
      <w:pPr>
        <w:pStyle w:val="NormalWeb"/>
        <w:jc w:val="both"/>
        <w:rPr>
          <w:rFonts w:ascii="Century Schoolbook" w:hAnsi="Century Schoolbook"/>
          <w:sz w:val="22"/>
          <w:szCs w:val="22"/>
        </w:rPr>
      </w:pPr>
    </w:p>
    <w:p w:rsidR="003A4EF4" w:rsidRPr="009F0B54" w:rsidRDefault="006F344B" w:rsidP="0019181F">
      <w:pPr>
        <w:pStyle w:val="bbbodytext0"/>
        <w:pBdr>
          <w:top w:val="single" w:sz="4" w:space="1" w:color="auto"/>
          <w:left w:val="single" w:sz="4" w:space="4" w:color="auto"/>
          <w:bottom w:val="single" w:sz="4" w:space="1" w:color="auto"/>
          <w:right w:val="single" w:sz="4" w:space="4" w:color="auto"/>
        </w:pBdr>
        <w:shd w:val="clear" w:color="auto" w:fill="81BAC5"/>
        <w:spacing w:before="0" w:beforeAutospacing="0" w:after="0" w:afterAutospacing="0"/>
        <w:jc w:val="both"/>
        <w:rPr>
          <w:rFonts w:ascii="Century Schoolbook" w:hAnsi="Century Schoolbook"/>
          <w:sz w:val="22"/>
          <w:szCs w:val="22"/>
        </w:rPr>
      </w:pPr>
      <w:r>
        <w:rPr>
          <w:rStyle w:val="Strong"/>
          <w:rFonts w:ascii="Century Schoolbook" w:hAnsi="Century Schoolbook"/>
          <w:sz w:val="22"/>
          <w:szCs w:val="22"/>
        </w:rPr>
        <w:t>James L. Hollis</w:t>
      </w:r>
      <w:r w:rsidR="003A4EF4" w:rsidRPr="009F0B54">
        <w:rPr>
          <w:rFonts w:ascii="Century Schoolbook" w:hAnsi="Century Schoolbook"/>
          <w:sz w:val="22"/>
          <w:szCs w:val="22"/>
        </w:rPr>
        <w:t xml:space="preserve"> is a Partner in Balch &amp; Bingham's Atlanta office. He is the head of the firm's product liability group. Jim has a diverse practice that includes product liability, </w:t>
      </w:r>
      <w:r w:rsidR="003E1523">
        <w:rPr>
          <w:rFonts w:ascii="Century Schoolbook" w:hAnsi="Century Schoolbook"/>
          <w:sz w:val="22"/>
          <w:szCs w:val="22"/>
        </w:rPr>
        <w:t xml:space="preserve">toxic tort, and </w:t>
      </w:r>
      <w:r w:rsidR="003A4EF4" w:rsidRPr="009F0B54">
        <w:rPr>
          <w:rFonts w:ascii="Century Schoolbook" w:hAnsi="Century Schoolbook"/>
          <w:sz w:val="22"/>
          <w:szCs w:val="22"/>
        </w:rPr>
        <w:t>construction defect</w:t>
      </w:r>
      <w:r w:rsidR="0019181F">
        <w:rPr>
          <w:rFonts w:ascii="Century Schoolbook" w:hAnsi="Century Schoolbook"/>
          <w:sz w:val="22"/>
          <w:szCs w:val="22"/>
        </w:rPr>
        <w:t xml:space="preserve"> litigation.  </w:t>
      </w:r>
      <w:r w:rsidR="003A4EF4" w:rsidRPr="009F0B54">
        <w:rPr>
          <w:rFonts w:ascii="Century Schoolbook" w:hAnsi="Century Schoolbook"/>
          <w:sz w:val="22"/>
          <w:szCs w:val="22"/>
        </w:rPr>
        <w:t xml:space="preserve">He also has experience representing bidders in state and local government contract disputes. Jim's product liability practice focuses on defending manufacturers of a variety of industrial products against catastrophic personal injury and property damage claims. </w:t>
      </w:r>
    </w:p>
    <w:p w:rsidR="003A4EF4" w:rsidRDefault="003A4EF4" w:rsidP="00C9065B">
      <w:pPr>
        <w:tabs>
          <w:tab w:val="left" w:pos="540"/>
        </w:tabs>
        <w:spacing w:after="0"/>
        <w:jc w:val="both"/>
        <w:rPr>
          <w:rFonts w:ascii="Century Schoolbook" w:eastAsia="Times New Roman" w:hAnsi="Century Schoolbook" w:cs="Times New Roman"/>
        </w:rPr>
      </w:pPr>
    </w:p>
    <w:p w:rsidR="003A4EF4" w:rsidRPr="003A4EF4" w:rsidRDefault="003A4EF4"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jc w:val="both"/>
        <w:rPr>
          <w:rFonts w:ascii="Century Schoolbook" w:eastAsia="Times New Roman" w:hAnsi="Century Schoolbook" w:cs="Times New Roman"/>
          <w:b/>
        </w:rPr>
      </w:pPr>
      <w:r w:rsidRPr="00C9065B">
        <w:rPr>
          <w:rFonts w:ascii="Century Schoolbook" w:eastAsia="Times New Roman" w:hAnsi="Century Schoolbook" w:cs="Times New Roman"/>
          <w:b/>
        </w:rPr>
        <w:t xml:space="preserve">I. </w:t>
      </w:r>
      <w:r w:rsidRPr="00C9065B">
        <w:rPr>
          <w:rFonts w:ascii="Century Schoolbook" w:eastAsia="Times New Roman" w:hAnsi="Century Schoolbook" w:cs="Times New Roman"/>
          <w:b/>
        </w:rPr>
        <w:tab/>
        <w:t>Introduction</w:t>
      </w:r>
    </w:p>
    <w:p w:rsidR="00CA5B74" w:rsidRDefault="00CA5B74" w:rsidP="00C9065B">
      <w:pPr>
        <w:tabs>
          <w:tab w:val="left" w:pos="540"/>
        </w:tabs>
        <w:spacing w:after="0"/>
        <w:ind w:firstLine="36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In several recent product liability actions,</w:t>
      </w:r>
      <w:r w:rsidRPr="00C9065B">
        <w:rPr>
          <w:rFonts w:ascii="Century Schoolbook" w:eastAsia="Times New Roman" w:hAnsi="Century Schoolbook" w:cs="Times New Roman"/>
          <w:vertAlign w:val="superscript"/>
        </w:rPr>
        <w:endnoteReference w:id="476"/>
      </w:r>
      <w:r w:rsidRPr="00C9065B">
        <w:rPr>
          <w:rFonts w:ascii="Century Schoolbook" w:eastAsia="Times New Roman" w:hAnsi="Century Schoolbook" w:cs="Times New Roman"/>
        </w:rPr>
        <w:t xml:space="preserve"> plaintiffs have sought to introduce evidence of data that the Consumer Product Safety Commission (“CPSC”) had compiled, including CPSC statistical extrapolations that estimate the total number of accidents occurring each year involving a </w:t>
      </w:r>
      <w:r w:rsidRPr="00C9065B">
        <w:rPr>
          <w:rFonts w:ascii="Century Schoolbook" w:eastAsia="Times New Roman" w:hAnsi="Century Schoolbook" w:cs="Times New Roman"/>
        </w:rPr>
        <w:lastRenderedPageBreak/>
        <w:t xml:space="preserve">particular class of consumer product.  This “other accident” statistical evidence is derived from information that the CPSC gathers from representative hospitals regarding accidents involving consumer products, as part of the CPSC’s National Electronic Injury Surveillance System (“NEISS”) program.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Most of these recent product liability suits involved injuries associated with the plaintiffs’ use of table saws.  The plaintiffs sought to use NEISS’s extrapolated estimates of the total number of injuries involving table saws each year in the United States.  The plaintiffs argued that this evidence was relevant to show that the defendant manufacturers had notice of the dangerousness of table saws in general and of the specific models of table saws at issue.  The plaintiffs also claimed that the evidence was relevant to show that the saws were unreasonably dangerous.  The plaintiffs argued that the manufacturers should have redesigned their saws or refused entirely to sell the saws.  This article discusses evidentiary issues associated with NEISS data and CPSC’s statistical extrapolations of reported injuries involving particular classes of consumer products.  This article uses table saws as an example of the real-</w:t>
      </w:r>
      <w:r w:rsidRPr="00C9065B">
        <w:rPr>
          <w:rFonts w:ascii="Century Schoolbook" w:eastAsia="Times New Roman" w:hAnsi="Century Schoolbook" w:cs="Times New Roman"/>
        </w:rPr>
        <w:lastRenderedPageBreak/>
        <w:t xml:space="preserve">world concerns caused by admitting such evidence into a products liability case.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Most courts considering this issue have concluded that the evidence is inadmissible, although one court recently admitted some NEISS data in a products liability case.  As discussed below, there are several compelling arguments that support the exclusion of evidence from the NEISS database in products liability cases.  First, the information contained in the NEISS database, the statistical conclusions derived from this data, and the “societal costs” of injuries involving consumer products are all hearsay for which no exception applies.  Second, this evidence is irrelevant because the plaintiffs cannot show that the other accidents referenced in the NEISS database are substantially similar to their own accidents.  Third, even if the evidence is relevant, its probative value is substantially outweighed by its prejudicial effect and the likelihood that the data will confuse and mislead the jury.  Finally, this evidence is inadmissible as a basis for expert opinions under O.C.G.A. § 24-7-703 because it is not the type of evidence reasonably relied upon by designers of the products.  Although the case law does not uniformly exclude such evidence, the weight of authority </w:t>
      </w:r>
      <w:r w:rsidRPr="00C9065B">
        <w:rPr>
          <w:rFonts w:ascii="Century Schoolbook" w:eastAsia="Times New Roman" w:hAnsi="Century Schoolbook" w:cs="Times New Roman"/>
        </w:rPr>
        <w:lastRenderedPageBreak/>
        <w:t>indicates that this evidence is inadmissible.</w:t>
      </w:r>
    </w:p>
    <w:p w:rsidR="00C9065B" w:rsidRPr="00C9065B" w:rsidRDefault="00C9065B" w:rsidP="00C9065B">
      <w:pPr>
        <w:tabs>
          <w:tab w:val="left" w:pos="540"/>
        </w:tabs>
        <w:spacing w:after="0"/>
        <w:jc w:val="center"/>
        <w:rPr>
          <w:rFonts w:ascii="Century Schoolbook" w:eastAsia="Times New Roman" w:hAnsi="Century Schoolbook" w:cs="Times New Roman"/>
        </w:rPr>
      </w:pP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A.  CPSC Data and</w:t>
      </w: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NEISS Background</w:t>
      </w: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and Methodology</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NEISS is a data-collection system operated by the CPSC that records emergency room visits for injuries which are associated with consumer products.</w:t>
      </w:r>
      <w:r w:rsidRPr="00C9065B">
        <w:rPr>
          <w:rFonts w:ascii="Century Schoolbook" w:eastAsia="Times New Roman" w:hAnsi="Century Schoolbook" w:cs="Times New Roman"/>
          <w:vertAlign w:val="superscript"/>
        </w:rPr>
        <w:endnoteReference w:id="477"/>
      </w:r>
      <w:r w:rsidRPr="00C9065B">
        <w:rPr>
          <w:rFonts w:ascii="Century Schoolbook" w:eastAsia="Times New Roman" w:hAnsi="Century Schoolbook" w:cs="Times New Roman"/>
        </w:rPr>
        <w:t xml:space="preserve">  The NEISS system monitors less than two percent of emergency rooms throughout the United States, or only about 100 hospitals out of over 5,300 nationwide.</w:t>
      </w:r>
      <w:r w:rsidRPr="00C9065B">
        <w:rPr>
          <w:rFonts w:ascii="Century Schoolbook" w:eastAsia="Times New Roman" w:hAnsi="Century Schoolbook" w:cs="Times New Roman"/>
          <w:vertAlign w:val="superscript"/>
        </w:rPr>
        <w:endnoteReference w:id="478"/>
      </w:r>
      <w:r w:rsidRPr="00C9065B">
        <w:rPr>
          <w:rFonts w:ascii="Century Schoolbook" w:eastAsia="Times New Roman" w:hAnsi="Century Schoolbook" w:cs="Times New Roman"/>
        </w:rPr>
        <w:t xml:space="preserve">  The CPSC relies on this small sample to estimate, through extrapolation, the total number of consumer-product-related injuries in the United States during a given period of time for a particular class of consumer product.  The degree of extrapolation is significant.  For example, the most recent NEISS data infers that there were 32,251 “bench or table saw” injuries in 2011, based on 694 actual injuries reported as involving table saws in that year.</w:t>
      </w:r>
      <w:r w:rsidRPr="00C9065B">
        <w:rPr>
          <w:rFonts w:ascii="Century Schoolbook" w:eastAsia="Times New Roman" w:hAnsi="Century Schoolbook" w:cs="Times New Roman"/>
          <w:vertAlign w:val="superscript"/>
        </w:rPr>
        <w:endnoteReference w:id="479"/>
      </w:r>
      <w:r w:rsidRPr="00C9065B">
        <w:rPr>
          <w:rFonts w:ascii="Century Schoolbook" w:eastAsia="Times New Roman" w:hAnsi="Century Schoolbook" w:cs="Times New Roman"/>
        </w:rPr>
        <w:t xml:space="preserve">  The CPSC substantially increases its estimate, based on its assumption that only about a half of all injured people are treated in hospital emergency rooms.</w:t>
      </w:r>
      <w:r w:rsidRPr="00C9065B">
        <w:rPr>
          <w:rFonts w:ascii="Century Schoolbook" w:eastAsia="Times New Roman" w:hAnsi="Century Schoolbook" w:cs="Times New Roman"/>
          <w:vertAlign w:val="superscript"/>
        </w:rPr>
        <w:endnoteReference w:id="480"/>
      </w:r>
      <w:r w:rsidRPr="00C9065B">
        <w:rPr>
          <w:rFonts w:ascii="Century Schoolbook" w:eastAsia="Times New Roman" w:hAnsi="Century Schoolbook" w:cs="Times New Roman"/>
        </w:rPr>
        <w:t xml:space="preserve">  The distinction between injuries that are treated in NEISS hospital emergency rooms and those that are not is critical in estimating </w:t>
      </w:r>
      <w:r w:rsidRPr="00C9065B">
        <w:rPr>
          <w:rFonts w:ascii="Century Schoolbook" w:eastAsia="Times New Roman" w:hAnsi="Century Schoolbook" w:cs="Times New Roman"/>
        </w:rPr>
        <w:lastRenderedPageBreak/>
        <w:t>the number of medically attended injuries and the social costs attributable to those injuries.</w:t>
      </w:r>
      <w:r w:rsidRPr="00C9065B">
        <w:rPr>
          <w:rFonts w:ascii="Century Schoolbook" w:eastAsia="Times New Roman" w:hAnsi="Century Schoolbook" w:cs="Times New Roman"/>
          <w:vertAlign w:val="superscript"/>
        </w:rPr>
        <w:endnoteReference w:id="481"/>
      </w:r>
      <w:r w:rsidRPr="00C9065B">
        <w:rPr>
          <w:rFonts w:ascii="Century Schoolbook" w:eastAsia="Times New Roman" w:hAnsi="Century Schoolbook" w:cs="Times New Roman"/>
        </w:rPr>
        <w:t xml:space="preserve">  The CPSC injury estimates cover all products within a given classification, regardless of which company manufactured the product.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NEISS’s data collection process begins when a patient informs a clerk, nurse, or physician at one of the sampled hospitals how his injury allegedly occurred, which information is then noted in the patient’s medical record.  The hospital’s NEISS coordinator reviews the emergency room records and determines whether there were injuries allegedly involving consumer products.  The NEISS coordinator collects basic information from the medical records, including a brief description of the incident, and assigns one of approximately 900 product codes to the case.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NEISS data and estimates are based solely on injuries treated in hospital emergency rooms that patients report are </w:t>
      </w:r>
      <w:r w:rsidRPr="00C9065B">
        <w:rPr>
          <w:rFonts w:ascii="Century Schoolbook" w:eastAsia="Times New Roman" w:hAnsi="Century Schoolbook" w:cs="Times New Roman"/>
          <w:b/>
          <w:i/>
        </w:rPr>
        <w:t>related to</w:t>
      </w:r>
      <w:r w:rsidRPr="00C9065B">
        <w:rPr>
          <w:rFonts w:ascii="Century Schoolbook" w:eastAsia="Times New Roman" w:hAnsi="Century Schoolbook" w:cs="Times New Roman"/>
        </w:rPr>
        <w:t xml:space="preserve"> consumer products.  This does not always mean that the injury was </w:t>
      </w:r>
      <w:r w:rsidRPr="00C9065B">
        <w:rPr>
          <w:rFonts w:ascii="Century Schoolbook" w:eastAsia="Times New Roman" w:hAnsi="Century Schoolbook" w:cs="Times New Roman"/>
          <w:b/>
          <w:i/>
        </w:rPr>
        <w:t>caused by</w:t>
      </w:r>
      <w:r w:rsidRPr="00C9065B">
        <w:rPr>
          <w:rFonts w:ascii="Century Schoolbook" w:eastAsia="Times New Roman" w:hAnsi="Century Schoolbook" w:cs="Times New Roman"/>
        </w:rPr>
        <w:t xml:space="preserve"> a consumer product.  For example, if a patient says he strained his back while lifting a table saw, that injury would be reported in the NEISS database as a “table saw injury.”</w:t>
      </w:r>
      <w:r w:rsidRPr="00C9065B">
        <w:rPr>
          <w:rFonts w:ascii="Century Schoolbook" w:eastAsia="Times New Roman" w:hAnsi="Century Schoolbook" w:cs="Times New Roman"/>
          <w:vertAlign w:val="superscript"/>
        </w:rPr>
        <w:endnoteReference w:id="482"/>
      </w:r>
      <w:r w:rsidRPr="00C9065B">
        <w:rPr>
          <w:rFonts w:ascii="Century Schoolbook" w:eastAsia="Times New Roman" w:hAnsi="Century Schoolbook" w:cs="Times New Roman"/>
        </w:rPr>
        <w:t xml:space="preserve">  For this reason, the CPSC expressly </w:t>
      </w:r>
      <w:r w:rsidRPr="00C9065B">
        <w:rPr>
          <w:rFonts w:ascii="Century Schoolbook" w:eastAsia="Times New Roman" w:hAnsi="Century Schoolbook" w:cs="Times New Roman"/>
        </w:rPr>
        <w:lastRenderedPageBreak/>
        <w:t>provides the following warning concerning its NEISS data:</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NEISS Data and estimates are based on injuries treated in hospital emergency rooms that patients say are </w:t>
      </w:r>
      <w:r w:rsidRPr="00C9065B">
        <w:rPr>
          <w:rFonts w:ascii="Century Schoolbook" w:eastAsia="Times New Roman" w:hAnsi="Century Schoolbook" w:cs="Times New Roman"/>
          <w:i/>
        </w:rPr>
        <w:t>related to</w:t>
      </w:r>
      <w:r w:rsidRPr="00C9065B">
        <w:rPr>
          <w:rFonts w:ascii="Century Schoolbook" w:eastAsia="Times New Roman" w:hAnsi="Century Schoolbook" w:cs="Times New Roman"/>
        </w:rPr>
        <w:t xml:space="preserve"> products.  Therefore, it is incorrect, when using NEISS data, to say the injuries were </w:t>
      </w:r>
      <w:r w:rsidRPr="00C9065B">
        <w:rPr>
          <w:rFonts w:ascii="Century Schoolbook" w:eastAsia="Times New Roman" w:hAnsi="Century Schoolbook" w:cs="Times New Roman"/>
          <w:i/>
        </w:rPr>
        <w:t>caused by</w:t>
      </w:r>
      <w:r w:rsidRPr="00C9065B">
        <w:rPr>
          <w:rFonts w:ascii="Century Schoolbook" w:eastAsia="Times New Roman" w:hAnsi="Century Schoolbook" w:cs="Times New Roman"/>
        </w:rPr>
        <w:t xml:space="preserve"> the product.</w:t>
      </w:r>
      <w:r w:rsidRPr="00C9065B">
        <w:rPr>
          <w:rFonts w:ascii="Century Schoolbook" w:eastAsia="Times New Roman" w:hAnsi="Century Schoolbook" w:cs="Times New Roman"/>
          <w:vertAlign w:val="superscript"/>
        </w:rPr>
        <w:endnoteReference w:id="483"/>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B750F3">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Further, the NEISS database contains a highly abbreviated description of the accidents.  The sparse description makes it impossible to determine which, if any, of the other incidents are similar to plaintiff’s accident in a particular case.  Oftentimes, it is impossible to determine even what specific product was involved or what the person was doing when he was injured.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In most product liability actions involving table saws, for example, the plaintiffs claim hand or finger injuries from contact with a spinning saw blade.  Many of the accidents reported in the NEISS data, however, are facially irrelevant because, even based on the limited information that is available in the NEISS reports, it is immediately apparent that the reported injuries do not involve contact with a saw blade.</w:t>
      </w:r>
      <w:r w:rsidRPr="00C9065B">
        <w:rPr>
          <w:rFonts w:ascii="Century Schoolbook" w:eastAsia="Times New Roman" w:hAnsi="Century Schoolbook" w:cs="Times New Roman"/>
          <w:vertAlign w:val="superscript"/>
        </w:rPr>
        <w:t xml:space="preserve"> </w:t>
      </w:r>
      <w:r w:rsidRPr="00C9065B">
        <w:rPr>
          <w:rFonts w:ascii="Century Schoolbook" w:eastAsia="Times New Roman" w:hAnsi="Century Schoolbook" w:cs="Times New Roman"/>
          <w:vertAlign w:val="superscript"/>
        </w:rPr>
        <w:endnoteReference w:id="484"/>
      </w:r>
      <w:r w:rsidRPr="00C9065B">
        <w:rPr>
          <w:rFonts w:ascii="Century Schoolbook" w:eastAsia="Times New Roman" w:hAnsi="Century Schoolbook" w:cs="Times New Roman"/>
        </w:rPr>
        <w:t xml:space="preserve">  Therefore, to the extent a plaintiff contends that the defendant manufacturer should </w:t>
      </w:r>
      <w:r w:rsidRPr="00C9065B">
        <w:rPr>
          <w:rFonts w:ascii="Century Schoolbook" w:eastAsia="Times New Roman" w:hAnsi="Century Schoolbook" w:cs="Times New Roman"/>
        </w:rPr>
        <w:lastRenderedPageBreak/>
        <w:t>have designed the saw’s blade guard to make it safer (which is often the case), a redesigned blade guard would not have prevented the reported injury and is irrelevant.  Thus, although the NEISS database may be a useful monitoring tool for the CPSC for regulatory purposes, its statistical conclusions and evidence derived from those conclusions should not be admitted to demonstrate notice, negligence, defect, causation, or for any other purpose in a suit involving a table saw manufacturer.</w:t>
      </w:r>
    </w:p>
    <w:p w:rsidR="00C9065B" w:rsidRPr="00C9065B" w:rsidRDefault="00C9065B" w:rsidP="00C9065B">
      <w:pPr>
        <w:tabs>
          <w:tab w:val="left" w:pos="540"/>
        </w:tabs>
        <w:spacing w:after="0"/>
        <w:jc w:val="both"/>
        <w:rPr>
          <w:rFonts w:ascii="Century Schoolbook" w:eastAsia="Times New Roman" w:hAnsi="Century Schoolbook" w:cs="Times New Roman"/>
          <w:b/>
          <w:bCs/>
          <w:iCs/>
          <w:u w:val="single"/>
        </w:rPr>
      </w:pPr>
    </w:p>
    <w:p w:rsid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B. “Societal Costs” Estimates</w:t>
      </w:r>
      <w:r>
        <w:rPr>
          <w:rFonts w:ascii="Century Schoolbook" w:eastAsia="Times New Roman" w:hAnsi="Century Schoolbook" w:cs="Times New Roman"/>
          <w:b/>
          <w:bCs/>
          <w:iCs/>
        </w:rPr>
        <w:t xml:space="preserve"> Based on Extrapolated</w:t>
      </w: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NEISS Data</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plaintiffs in recent products liability cases involving table saws also have sought to introduce expert testimony of the annual “societal costs” of injuries related to table saws based on NEISS’s extrapolated data, in an effort to establish the unreasonably dangerous design of table saws.  According to the CPSC, the “societal cost” amount is derived from the NEISS data and is based on four categories of costs:  (1) medical costs of the injuries; (2) work losses caused by the injuries; (3) the pain and suffering experienced by the victim; and (4) the product liability costs associated with the accidents.  Plaintiffs have attempted to use the </w:t>
      </w:r>
      <w:r w:rsidRPr="00C9065B">
        <w:rPr>
          <w:rFonts w:ascii="Century Schoolbook" w:eastAsia="Times New Roman" w:hAnsi="Century Schoolbook" w:cs="Times New Roman"/>
        </w:rPr>
        <w:lastRenderedPageBreak/>
        <w:t xml:space="preserve">CSPC’s NEISS accident data to make the blanket assertion that there are “x number” of accidents in the United States annually involving table saws, and that those accidents result in “x dollars” in annual “societal costs,” to establish that such costs outweigh the benefits of the particular table saw at issue.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B750F3">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Similar “costs to society” arguments can be made about injuries involving any of the consumer products for which the CPSC gathers NEISS data, to show that those products are unreasonably dangerous under a “societal” cost-benefit analysis.  Plaintiffs’ experts may use NEISS data to measure the costs associated with injuries involving a particular category of consumer product and to estimate the benefits of regulations designed to reduce those costs.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However, a sound argument can be made that a prediction of the total societal costs of injuries caused by all consumer products in a given category is not probative of the risks and benefits inherent in the particular design of the particular product in a given case.  In other words, the societal costs of a class of consumer products are irrelevant in determining the reasonableness of the design of a single product within that class, as is </w:t>
      </w:r>
      <w:r w:rsidRPr="00C9065B">
        <w:rPr>
          <w:rFonts w:ascii="Century Schoolbook" w:eastAsia="Times New Roman" w:hAnsi="Century Schoolbook" w:cs="Times New Roman"/>
        </w:rPr>
        <w:lastRenderedPageBreak/>
        <w:t>required by most products liability statutes.</w:t>
      </w:r>
      <w:r w:rsidRPr="00C9065B">
        <w:rPr>
          <w:rFonts w:ascii="Century Schoolbook" w:eastAsia="Times New Roman" w:hAnsi="Century Schoolbook" w:cs="Times New Roman"/>
          <w:vertAlign w:val="superscript"/>
        </w:rPr>
        <w:endnoteReference w:id="485"/>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In fact, as with the general NEISS data, the CPSC offers “societal cost” estimates with a specific caveat related even to the class of products analyzed:</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The estimates are indices, not actual estimates of expected injury costs reduction.  This is because injury cost estimates are based on 2001 emergency room-treated injury estimates. . . .  The cost figures and the table do not represent an actual estimate of the cost associated with any of the product groups for a specific year.  They were developed, using the data available, to provide indices for the purpose of comparison.</w:t>
      </w:r>
      <w:r w:rsidRPr="00C9065B">
        <w:rPr>
          <w:rFonts w:ascii="Century Schoolbook" w:eastAsia="Times New Roman" w:hAnsi="Century Schoolbook" w:cs="Times New Roman"/>
          <w:vertAlign w:val="superscript"/>
        </w:rPr>
        <w:endnoteReference w:id="486"/>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same statement is even stronger when comparing a product group cost to those associated with a particular product.  As such, an expert’s testimony regarding “cost to society” is subject to the same shortcomings and reliability concerns that plague evidence which is based on </w:t>
      </w:r>
      <w:r w:rsidRPr="00C9065B">
        <w:rPr>
          <w:rFonts w:ascii="Century Schoolbook" w:eastAsia="Times New Roman" w:hAnsi="Century Schoolbook" w:cs="Times New Roman"/>
        </w:rPr>
        <w:lastRenderedPageBreak/>
        <w:t>or derived from NEISS data generally.  In short, although NEISS injury estimates may be relevant to the CPSC in evaluating the federal regulatory scheme governing a class of consumer products, they have no relevance to a jury’s determination as to the sufficiency of particular product’s design.</w:t>
      </w:r>
    </w:p>
    <w:p w:rsidR="00C9065B" w:rsidRDefault="00C9065B" w:rsidP="00C9065B">
      <w:pPr>
        <w:tabs>
          <w:tab w:val="left" w:pos="540"/>
        </w:tabs>
        <w:spacing w:after="0"/>
        <w:jc w:val="both"/>
        <w:rPr>
          <w:rFonts w:ascii="Century Schoolbook" w:eastAsia="Times New Roman" w:hAnsi="Century Schoolbook" w:cs="Times New Roman"/>
        </w:rPr>
      </w:pPr>
    </w:p>
    <w:p w:rsidR="00CA5B74" w:rsidRPr="00C9065B" w:rsidRDefault="00CA5B74"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left="540" w:hanging="540"/>
        <w:jc w:val="both"/>
        <w:rPr>
          <w:rFonts w:ascii="Century Schoolbook" w:eastAsia="Times New Roman" w:hAnsi="Century Schoolbook" w:cs="Times New Roman"/>
          <w:b/>
          <w:bCs/>
        </w:rPr>
      </w:pPr>
      <w:r w:rsidRPr="00C9065B">
        <w:rPr>
          <w:rFonts w:ascii="Century Schoolbook" w:eastAsia="Times New Roman" w:hAnsi="Century Schoolbook" w:cs="Times New Roman"/>
          <w:b/>
          <w:bCs/>
        </w:rPr>
        <w:t>II.</w:t>
      </w:r>
      <w:r w:rsidRPr="00C9065B">
        <w:rPr>
          <w:rFonts w:ascii="Century Schoolbook" w:eastAsia="Times New Roman" w:hAnsi="Century Schoolbook" w:cs="Times New Roman"/>
          <w:b/>
          <w:bCs/>
        </w:rPr>
        <w:tab/>
        <w:t>Grounds for the Exclusion of NEISS Data and Statistical Extrapolations</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There are several arguments that a products liability defendant can make to exclude evidence of CPSC statistics or conclusions that are derived from NEISS data.  First, this type of “other accident” evidence consists of unverified and unreliable hearsay accounts of accidents which plaintiffs cannot prove are substantially similar to their accidents.  Plaintiffs usually seek to introduce this evidence in documentary form, without first-hand testimony and without having conducted discovery concerning the facts and circumstances of any of the other accidents referenced in the database.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Second, the NEISS data is irrelevant because it does not identify any specific make or model of the </w:t>
      </w:r>
      <w:r w:rsidRPr="00C9065B">
        <w:rPr>
          <w:rFonts w:ascii="Century Schoolbook" w:eastAsia="Times New Roman" w:hAnsi="Century Schoolbook" w:cs="Times New Roman"/>
        </w:rPr>
        <w:lastRenderedPageBreak/>
        <w:t xml:space="preserve">particular consumer product involved, does not provide any specifics on how each accident occurred, and does not provide any confirmation of patients’ reports of the circumstances of their injuries.  In fact, it is impossible to determine whether a particular manufacturer’s products even were involved in any of the other accidents, because NEISS identified only the class of product, </w:t>
      </w:r>
      <w:r w:rsidRPr="00C9065B">
        <w:rPr>
          <w:rFonts w:ascii="Century Schoolbook" w:eastAsia="Times New Roman" w:hAnsi="Century Schoolbook" w:cs="Times New Roman"/>
          <w:i/>
        </w:rPr>
        <w:t>i.e.</w:t>
      </w:r>
      <w:r w:rsidRPr="00C9065B">
        <w:rPr>
          <w:rFonts w:ascii="Century Schoolbook" w:eastAsia="Times New Roman" w:hAnsi="Century Schoolbook" w:cs="Times New Roman"/>
        </w:rPr>
        <w:t xml:space="preserve">, a table or a bench saw.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Third, admitting such evidence at trial is unfairly prejudicial to the defendant and causes an avalanche of collateral issues that will confuse the issues and waste the jury’s time.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Fourth, to the extent that plaintiffs attempt to “back door” this otherwise inadmissible evidence at trial by submitting it as a foundation for their experts’ opinion testimony, the evidence is prohibited by O.C.G.A. § 24-7-703 because the evidence is not of a type reasonably relied upon by experts in the field and is also highly prejudicial to defendants.  </w:t>
      </w:r>
    </w:p>
    <w:p w:rsidR="00C9065B" w:rsidRPr="00C9065B" w:rsidRDefault="00C9065B" w:rsidP="00C9065B">
      <w:pPr>
        <w:tabs>
          <w:tab w:val="left" w:pos="540"/>
        </w:tabs>
        <w:spacing w:after="0"/>
        <w:jc w:val="both"/>
        <w:rPr>
          <w:rFonts w:ascii="Century Schoolbook" w:eastAsia="Times New Roman" w:hAnsi="Century Schoolbook" w:cs="Times New Roman"/>
          <w:b/>
          <w:bCs/>
          <w:iCs/>
          <w:u w:val="single"/>
        </w:rPr>
      </w:pP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A.  The NEISS Data and</w:t>
      </w: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Statistical Conclusions</w:t>
      </w:r>
    </w:p>
    <w:p w:rsidR="00C9065B" w:rsidRPr="00C9065B" w:rsidRDefault="00C9065B" w:rsidP="00C9065B">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Derived from It Are Hearsay</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principal argument to exclude this evidence is that the NEISS data is inadmissible hearsay.  Plaintiffs will </w:t>
      </w:r>
      <w:r w:rsidRPr="00C9065B">
        <w:rPr>
          <w:rFonts w:ascii="Century Schoolbook" w:eastAsia="Times New Roman" w:hAnsi="Century Schoolbook" w:cs="Times New Roman"/>
        </w:rPr>
        <w:lastRenderedPageBreak/>
        <w:t>likely attempt to introduce the other accident evidence (or the statistical conclusions drawn from it) to show that the other accidents actually happened as reported in the NEISS database.  Otherwise, there would be no purpose in introducing the evidence at trial.  However, none of the other injured persons reflected in the NEISS database will be present at trial to testify concerning their particular accidents.  NEISS does not even identify these people by name.  The NEISS data evidence is classic hearsay.</w:t>
      </w:r>
      <w:r w:rsidRPr="00C9065B">
        <w:rPr>
          <w:rFonts w:ascii="Century Schoolbook" w:eastAsia="Times New Roman" w:hAnsi="Century Schoolbook" w:cs="Times New Roman"/>
          <w:vertAlign w:val="superscript"/>
        </w:rPr>
        <w:endnoteReference w:id="487"/>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NEISS data actually contains four layers of hearsay.  Before the information gets to the NEISS database, a patient reports an account of his injury to a medical provider in a hospital’s emergency room.  The medical provider then records his or her interpretation of the patient’s statement in the patient’s medical record.  Some time later, the hospital’s NEISS coordinator reviews the hospital’s daily medical records to determine which cases should be reported to the NEISS.  This information is then published in the NEISS database that plaintiffs will seek to offer at trial to show that the reported accidents in fact happened as reported.  For such multi-layer hearsay evidence to be admissible, </w:t>
      </w:r>
      <w:r w:rsidRPr="00C9065B">
        <w:rPr>
          <w:rFonts w:ascii="Century Schoolbook" w:eastAsia="Times New Roman" w:hAnsi="Century Schoolbook" w:cs="Times New Roman"/>
        </w:rPr>
        <w:lastRenderedPageBreak/>
        <w:t>each layer must satisfy an exception to the hearsay rule.</w:t>
      </w:r>
      <w:r w:rsidRPr="00C9065B">
        <w:rPr>
          <w:rFonts w:ascii="Century Schoolbook" w:eastAsia="Times New Roman" w:hAnsi="Century Schoolbook" w:cs="Times New Roman"/>
          <w:vertAlign w:val="superscript"/>
        </w:rPr>
        <w:endnoteReference w:id="488"/>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jc w:val="both"/>
        <w:rPr>
          <w:rFonts w:ascii="Century Schoolbook" w:eastAsia="Times New Roman" w:hAnsi="Century Schoolbook" w:cs="Times New Roman"/>
          <w:b/>
          <w:u w:val="single"/>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The only two exceptions potentially applicable to the NEISS data are the public records exception and the business records exception.</w:t>
      </w:r>
      <w:r w:rsidRPr="00C9065B">
        <w:rPr>
          <w:rFonts w:ascii="Century Schoolbook" w:eastAsia="Times New Roman" w:hAnsi="Century Schoolbook" w:cs="Times New Roman"/>
          <w:vertAlign w:val="superscript"/>
        </w:rPr>
        <w:endnoteReference w:id="489"/>
      </w:r>
      <w:r w:rsidRPr="00C9065B">
        <w:rPr>
          <w:rFonts w:ascii="Century Schoolbook" w:eastAsia="Times New Roman" w:hAnsi="Century Schoolbook" w:cs="Times New Roman"/>
        </w:rPr>
        <w:t xml:space="preserve">  The primary emphasis of both exceptions is on the reliability and trustworthiness of the records sought to be introduced, and the trial judge exercises broad discretion in determining admissibility.</w:t>
      </w:r>
      <w:r w:rsidRPr="00C9065B">
        <w:rPr>
          <w:rFonts w:ascii="Century Schoolbook" w:eastAsia="Times New Roman" w:hAnsi="Century Schoolbook" w:cs="Times New Roman"/>
          <w:vertAlign w:val="superscript"/>
        </w:rPr>
        <w:endnoteReference w:id="490"/>
      </w:r>
      <w:r w:rsidRPr="00C9065B">
        <w:rPr>
          <w:rFonts w:ascii="Century Schoolbook" w:eastAsia="Times New Roman" w:hAnsi="Century Schoolbook" w:cs="Times New Roman"/>
        </w:rPr>
        <w:t xml:space="preserve">  However, courts should be alert to records that are the “mere accumulations of hearsay or uninformed opinion.”</w:t>
      </w:r>
      <w:r w:rsidRPr="00C9065B">
        <w:rPr>
          <w:rFonts w:ascii="Century Schoolbook" w:eastAsia="Times New Roman" w:hAnsi="Century Schoolbook" w:cs="Times New Roman"/>
          <w:vertAlign w:val="superscript"/>
        </w:rPr>
        <w:endnoteReference w:id="491"/>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jc w:val="center"/>
        <w:rPr>
          <w:rFonts w:ascii="Century Schoolbook" w:eastAsia="Times New Roman" w:hAnsi="Century Schoolbook" w:cs="Times New Roman"/>
          <w:b/>
          <w:bCs/>
        </w:rPr>
      </w:pPr>
      <w:r w:rsidRPr="00C9065B">
        <w:rPr>
          <w:rFonts w:ascii="Century Schoolbook" w:eastAsia="Times New Roman" w:hAnsi="Century Schoolbook" w:cs="Times New Roman"/>
          <w:b/>
          <w:bCs/>
        </w:rPr>
        <w:t>1.  The NEISS Data and Statistical Conclusions Derived from It Do Not Satisfy the Public Records Exception</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Under the public records exception, records from a public agency are admissible in a civil action if they set forth “the activities of the public office” or “matters observed pursuant to duty imposed by law as to which matters there was a duty to report.”</w:t>
      </w:r>
      <w:r w:rsidRPr="00C9065B">
        <w:rPr>
          <w:rFonts w:ascii="Century Schoolbook" w:eastAsia="Times New Roman" w:hAnsi="Century Schoolbook" w:cs="Times New Roman"/>
          <w:vertAlign w:val="superscript"/>
        </w:rPr>
        <w:endnoteReference w:id="492"/>
      </w:r>
      <w:r w:rsidRPr="00C9065B">
        <w:rPr>
          <w:rFonts w:ascii="Century Schoolbook" w:eastAsia="Times New Roman" w:hAnsi="Century Schoolbook" w:cs="Times New Roman"/>
        </w:rPr>
        <w:t xml:space="preserve">  It is clear that the proffered data are not records of the CPSC’s own activities, nor are they matters that any CPSC officials observed.</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public records exception further states that public records are admissible if they set forth “factual </w:t>
      </w:r>
      <w:r w:rsidRPr="00C9065B">
        <w:rPr>
          <w:rFonts w:ascii="Century Schoolbook" w:eastAsia="Times New Roman" w:hAnsi="Century Schoolbook" w:cs="Times New Roman"/>
        </w:rPr>
        <w:lastRenderedPageBreak/>
        <w:t>findings resulting from an investigation made pursuant to authority granted by law, unless the sources of information or other circumstances indicate lack of trustworthiness.”</w:t>
      </w:r>
      <w:r w:rsidRPr="00C9065B">
        <w:rPr>
          <w:rFonts w:ascii="Century Schoolbook" w:eastAsia="Times New Roman" w:hAnsi="Century Schoolbook" w:cs="Times New Roman"/>
          <w:vertAlign w:val="superscript"/>
        </w:rPr>
        <w:endnoteReference w:id="493"/>
      </w:r>
      <w:r w:rsidRPr="00C9065B">
        <w:rPr>
          <w:rFonts w:ascii="Century Schoolbook" w:eastAsia="Times New Roman" w:hAnsi="Century Schoolbook" w:cs="Times New Roman"/>
        </w:rPr>
        <w:t xml:space="preserve">  The Advisory Committee Note to Federal Rule of Evidence 803(8), upon which O.C.G.A. § 24-8-803(8) is based, refers to this type of public record as an “evaluative report.”</w:t>
      </w:r>
      <w:r w:rsidRPr="00C9065B">
        <w:rPr>
          <w:rFonts w:ascii="Century Schoolbook" w:eastAsia="Times New Roman" w:hAnsi="Century Schoolbook" w:cs="Times New Roman"/>
          <w:vertAlign w:val="superscript"/>
        </w:rPr>
        <w:endnoteReference w:id="494"/>
      </w:r>
      <w:r w:rsidRPr="00C9065B">
        <w:rPr>
          <w:rFonts w:ascii="Century Schoolbook" w:eastAsia="Times New Roman" w:hAnsi="Century Schoolbook" w:cs="Times New Roman"/>
        </w:rPr>
        <w:t xml:space="preserve">  Factors relevant to determining admissibility under this exception include the timeliness of the investigation, the special skill or experience of the official conducting the investigation, and whether a hearing was held and the level at which it was conducted.</w:t>
      </w:r>
      <w:r w:rsidRPr="00C9065B">
        <w:rPr>
          <w:rFonts w:ascii="Century Schoolbook" w:eastAsia="Times New Roman" w:hAnsi="Century Schoolbook" w:cs="Times New Roman"/>
          <w:vertAlign w:val="superscript"/>
        </w:rPr>
        <w:endnoteReference w:id="495"/>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In each of the incidents contained in the NEISS data, there is no “factual finding resulting from an investigation.”</w:t>
      </w:r>
      <w:r w:rsidRPr="00C9065B">
        <w:rPr>
          <w:rFonts w:ascii="Century Schoolbook" w:eastAsia="Times New Roman" w:hAnsi="Century Schoolbook" w:cs="Times New Roman"/>
          <w:vertAlign w:val="superscript"/>
        </w:rPr>
        <w:endnoteReference w:id="496"/>
      </w:r>
      <w:r w:rsidRPr="00C9065B">
        <w:rPr>
          <w:rFonts w:ascii="Century Schoolbook" w:eastAsia="Times New Roman" w:hAnsi="Century Schoolbook" w:cs="Times New Roman"/>
        </w:rPr>
        <w:t xml:space="preserve">  The NEISS system is simply an accumulation of patient statements to healthcare providers and healthcare provider statements to the CPSC.  In the absence of factual findings resulting from investigation, the data does not fall within the scope of the exception of O.C.G.A. § 24-8-803(8)(C).</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w:t>
      </w:r>
      <w:r w:rsidRPr="00C9065B">
        <w:rPr>
          <w:rFonts w:ascii="Century Schoolbook" w:eastAsia="Times New Roman" w:hAnsi="Century Schoolbook" w:cs="Times New Roman"/>
          <w:i/>
        </w:rPr>
        <w:t>Wielgus v. Ryobi Technologies, Inc.</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497"/>
      </w:r>
      <w:r w:rsidRPr="00C9065B">
        <w:rPr>
          <w:rFonts w:ascii="Century Schoolbook" w:eastAsia="Times New Roman" w:hAnsi="Century Schoolbook" w:cs="Times New Roman"/>
        </w:rPr>
        <w:t xml:space="preserve"> however, the federal district court reached a different conclusion.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held that evidence derived from the NEISS database satisfies the </w:t>
      </w:r>
      <w:r w:rsidRPr="00C9065B">
        <w:rPr>
          <w:rFonts w:ascii="Century Schoolbook" w:eastAsia="Times New Roman" w:hAnsi="Century Schoolbook" w:cs="Times New Roman"/>
        </w:rPr>
        <w:lastRenderedPageBreak/>
        <w:t xml:space="preserve">public records exception of Federal Rule of Evidence 803(8), because it set out “factual findings from a legally authorized investigation.”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court relied on the Seventh Circuit’s decision in </w:t>
      </w:r>
      <w:r w:rsidRPr="00C9065B">
        <w:rPr>
          <w:rFonts w:ascii="Century Schoolbook" w:eastAsia="Times New Roman" w:hAnsi="Century Schoolbook" w:cs="Times New Roman"/>
          <w:i/>
        </w:rPr>
        <w:t>In re Oil Spill by Amoco Cadiz Off Coast of France</w:t>
      </w:r>
      <w:r w:rsidRPr="00C9065B">
        <w:rPr>
          <w:rFonts w:ascii="Century Schoolbook" w:eastAsia="Times New Roman" w:hAnsi="Century Schoolbook" w:cs="Times New Roman"/>
          <w:vertAlign w:val="superscript"/>
        </w:rPr>
        <w:endnoteReference w:id="498"/>
      </w:r>
      <w:r w:rsidRPr="00C9065B">
        <w:rPr>
          <w:rFonts w:ascii="Century Schoolbook" w:eastAsia="Times New Roman" w:hAnsi="Century Schoolbook" w:cs="Times New Roman"/>
        </w:rPr>
        <w:t xml:space="preserve"> in ruling that the fact “that a public document contains multiple levels of hearsay does not make it automatically unreliable and therefore untrustworthy for purposes of Rule 803(8),” and that government agencies, when preparing reports, “necessarily must gather data from other sources, among them the NEISS database, since the occurrence that forms the basis for the statistics did not occur firsthand to the agency preparing the report.”</w:t>
      </w:r>
      <w:r w:rsidRPr="00C9065B">
        <w:rPr>
          <w:rFonts w:ascii="Century Schoolbook" w:eastAsia="Times New Roman" w:hAnsi="Century Schoolbook" w:cs="Times New Roman"/>
          <w:vertAlign w:val="superscript"/>
        </w:rPr>
        <w:endnoteReference w:id="499"/>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Cases from federal circuit courts across the country have addressed the circumstances under which “factual findings from a legally authorized investigation” satisfy the hearsay exception of Rule 803(8), and they suggest that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court’s reliance on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to admit the NEISS reports in that case was erroneous.  As one leading treatise states, for hearsay evidence to be admissible under Rule 803(8):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all persons furnishing and recording information must be </w:t>
      </w:r>
      <w:r w:rsidRPr="00C9065B">
        <w:rPr>
          <w:rFonts w:ascii="Century Schoolbook" w:eastAsia="Times New Roman" w:hAnsi="Century Schoolbook" w:cs="Times New Roman"/>
        </w:rPr>
        <w:lastRenderedPageBreak/>
        <w:t>under an official duty to do so.  If the supplier of the information is not under such a duty, an essential link is broken; the assurance of accuracy does not extend to the information itself, and the fact that it may be recorded with scrupulous accuracy is of no avail.  An illustration is the report of a police officer incorporating information obtained from a bystander:  the police officer qualifies as acting pursuant to an official duty but the bystander does not.</w:t>
      </w:r>
      <w:r w:rsidRPr="00C9065B">
        <w:rPr>
          <w:rFonts w:ascii="Century Schoolbook" w:eastAsia="Times New Roman" w:hAnsi="Century Schoolbook" w:cs="Times New Roman"/>
          <w:vertAlign w:val="superscript"/>
        </w:rPr>
        <w:endnoteReference w:id="500"/>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It concludes that the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case is “incorrectly decided” and suggests that the court misapplied the public records exception.</w:t>
      </w:r>
      <w:r w:rsidRPr="00C9065B">
        <w:rPr>
          <w:rFonts w:ascii="Century Schoolbook" w:eastAsia="Times New Roman" w:hAnsi="Century Schoolbook" w:cs="Times New Roman"/>
          <w:vertAlign w:val="superscript"/>
        </w:rPr>
        <w:endnoteReference w:id="501"/>
      </w:r>
      <w:r w:rsidRPr="00C9065B">
        <w:rPr>
          <w:rFonts w:ascii="Century Schoolbook" w:eastAsia="Times New Roman" w:hAnsi="Century Schoolbook" w:cs="Times New Roman"/>
        </w:rPr>
        <w:t xml:space="preserve">  In short, the public records exception does not apply where information in the record was supplied by an outsider who was under no official or public duty to supply it.  Instead, the public records exception: </w:t>
      </w:r>
    </w:p>
    <w:p w:rsidR="00C9065B" w:rsidRPr="00C9065B" w:rsidRDefault="00C9065B" w:rsidP="00C9065B">
      <w:pPr>
        <w:tabs>
          <w:tab w:val="left" w:pos="540"/>
        </w:tabs>
        <w:spacing w:after="0"/>
        <w:jc w:val="both"/>
        <w:rPr>
          <w:rFonts w:ascii="Century Schoolbook" w:eastAsia="Times New Roman" w:hAnsi="Century Schoolbook" w:cs="Times New Roman"/>
        </w:rPr>
      </w:pPr>
    </w:p>
    <w:p w:rsidR="00C9065B" w:rsidRPr="00C9065B" w:rsidRDefault="00C9065B" w:rsidP="00C9065B">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embraces material that reflects multiple layers of what we might call </w:t>
      </w:r>
      <w:r w:rsidRPr="00C9065B">
        <w:rPr>
          <w:rFonts w:ascii="Century Schoolbook" w:eastAsia="Times New Roman" w:hAnsi="Century Schoolbook" w:cs="Times New Roman"/>
        </w:rPr>
        <w:lastRenderedPageBreak/>
        <w:t>“internal hearsay,” meaning statements by one agent or employee of a government department or agency that is repeated or becomes the basis for a statement by another agent or employee of a government department or agency, as information is passed among public officials before being finally recorded in what is offered at trial.</w:t>
      </w:r>
      <w:r w:rsidRPr="00C9065B">
        <w:rPr>
          <w:rFonts w:ascii="Century Schoolbook" w:eastAsia="Times New Roman" w:hAnsi="Century Schoolbook" w:cs="Times New Roman"/>
          <w:vertAlign w:val="superscript"/>
        </w:rPr>
        <w:endnoteReference w:id="502"/>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rPr>
          <w:rFonts w:ascii="Century Schoolbook" w:eastAsia="Times New Roman" w:hAnsi="Century Schoolbook" w:cs="Times New Roman"/>
        </w:rPr>
      </w:pP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Specifically as to factual findings resulting from an investigation, “the public records exception embraces findings by the office or agency, and is not a basis for offering simply the conclusions, opinions, or statements of people who communicate with the office or agency.”</w:t>
      </w:r>
      <w:r w:rsidRPr="00C9065B">
        <w:rPr>
          <w:rFonts w:ascii="Century Schoolbook" w:eastAsia="Times New Roman" w:hAnsi="Century Schoolbook" w:cs="Times New Roman"/>
          <w:vertAlign w:val="superscript"/>
        </w:rPr>
        <w:endnoteReference w:id="503"/>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For example, in </w:t>
      </w:r>
      <w:r w:rsidRPr="00C9065B">
        <w:rPr>
          <w:rFonts w:ascii="Century Schoolbook" w:eastAsia="Times New Roman" w:hAnsi="Century Schoolbook" w:cs="Times New Roman"/>
          <w:i/>
        </w:rPr>
        <w:t>John McShain, Inc. v. Cessna Aircraft Co.</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04"/>
      </w:r>
      <w:r w:rsidRPr="00C9065B">
        <w:rPr>
          <w:rFonts w:ascii="Century Schoolbook" w:eastAsia="Times New Roman" w:hAnsi="Century Schoolbook" w:cs="Times New Roman"/>
        </w:rPr>
        <w:t xml:space="preserve"> a suit alleging that landing gear defects caused a Cessna plane to crash, the plaintiff sought to introduce into evidence thirty accident reports submitted to the National Transportation Safety Board regarding previous accidents in which the landing gear of Cessna aircraft gave way.</w:t>
      </w:r>
      <w:r w:rsidRPr="00C9065B">
        <w:rPr>
          <w:rFonts w:ascii="Century Schoolbook" w:eastAsia="Times New Roman" w:hAnsi="Century Schoolbook" w:cs="Times New Roman"/>
          <w:vertAlign w:val="superscript"/>
        </w:rPr>
        <w:endnoteReference w:id="505"/>
      </w:r>
      <w:r w:rsidRPr="00C9065B">
        <w:rPr>
          <w:rFonts w:ascii="Century Schoolbook" w:eastAsia="Times New Roman" w:hAnsi="Century Schoolbook" w:cs="Times New Roman"/>
        </w:rPr>
        <w:t xml:space="preserve">  The accident reports </w:t>
      </w:r>
      <w:r w:rsidRPr="00C9065B">
        <w:rPr>
          <w:rFonts w:ascii="Century Schoolbook" w:eastAsia="Times New Roman" w:hAnsi="Century Schoolbook" w:cs="Times New Roman"/>
        </w:rPr>
        <w:lastRenderedPageBreak/>
        <w:t>included statements filed by pilots, the reports of government investigators, and statements by witnesses to those accidents.</w:t>
      </w:r>
      <w:r w:rsidRPr="00C9065B">
        <w:rPr>
          <w:rFonts w:ascii="Century Schoolbook" w:eastAsia="Times New Roman" w:hAnsi="Century Schoolbook" w:cs="Times New Roman"/>
          <w:vertAlign w:val="superscript"/>
        </w:rPr>
        <w:endnoteReference w:id="506"/>
      </w:r>
      <w:r w:rsidRPr="00C9065B">
        <w:rPr>
          <w:rFonts w:ascii="Century Schoolbook" w:eastAsia="Times New Roman" w:hAnsi="Century Schoolbook" w:cs="Times New Roman"/>
        </w:rPr>
        <w:t xml:space="preserve">  The court excluded the accident reports, finding that they included inadmissible hearsay.</w:t>
      </w:r>
      <w:r w:rsidRPr="00C9065B">
        <w:rPr>
          <w:rFonts w:ascii="Century Schoolbook" w:eastAsia="Times New Roman" w:hAnsi="Century Schoolbook" w:cs="Times New Roman"/>
          <w:vertAlign w:val="superscript"/>
        </w:rPr>
        <w:endnoteReference w:id="507"/>
      </w:r>
      <w:r w:rsidRPr="00C9065B">
        <w:rPr>
          <w:rFonts w:ascii="Century Schoolbook" w:eastAsia="Times New Roman" w:hAnsi="Century Schoolbook" w:cs="Times New Roman"/>
        </w:rPr>
        <w:t xml:space="preserve">  “To the extent that the NTSB reports consist of the statements of pilots or other witnesses regarding the accidents, they constitute inadmissible hearsay evidence.”</w:t>
      </w:r>
      <w:r w:rsidRPr="00C9065B">
        <w:rPr>
          <w:rFonts w:ascii="Century Schoolbook" w:eastAsia="Times New Roman" w:hAnsi="Century Schoolbook" w:cs="Times New Roman"/>
          <w:vertAlign w:val="superscript"/>
        </w:rPr>
        <w:endnoteReference w:id="508"/>
      </w:r>
      <w:r w:rsidRPr="00C9065B">
        <w:rPr>
          <w:rFonts w:ascii="Century Schoolbook" w:eastAsia="Times New Roman" w:hAnsi="Century Schoolbook" w:cs="Times New Roman"/>
        </w:rPr>
        <w:t xml:space="preserve">  Rule 803(8) allows only reports by officials; the pilots and other witnesses whose statements were included within the reports were not NTSB officials for this purpose.</w:t>
      </w:r>
      <w:r w:rsidRPr="00C9065B">
        <w:rPr>
          <w:rFonts w:ascii="Century Schoolbook" w:eastAsia="Times New Roman" w:hAnsi="Century Schoolbook" w:cs="Times New Roman"/>
          <w:vertAlign w:val="superscript"/>
        </w:rPr>
        <w:endnoteReference w:id="509"/>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w:t>
      </w:r>
      <w:r w:rsidRPr="00C9065B">
        <w:rPr>
          <w:rFonts w:ascii="Century Schoolbook" w:eastAsia="Times New Roman" w:hAnsi="Century Schoolbook" w:cs="Times New Roman"/>
          <w:i/>
        </w:rPr>
        <w:t>U.S. v. Gonzalez</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10"/>
      </w:r>
      <w:r w:rsidRPr="00C9065B">
        <w:rPr>
          <w:rFonts w:ascii="Century Schoolbook" w:eastAsia="Times New Roman" w:hAnsi="Century Schoolbook" w:cs="Times New Roman"/>
        </w:rPr>
        <w:t xml:space="preserve"> the defendant, appealing his conviction for cocaine trafficking, challenged the exclusion of an Ecuadorian police officer’s report, arguing that it was admissible under Rule 803(8).</w:t>
      </w:r>
      <w:r w:rsidRPr="00C9065B">
        <w:rPr>
          <w:rFonts w:ascii="Century Schoolbook" w:eastAsia="Times New Roman" w:hAnsi="Century Schoolbook" w:cs="Times New Roman"/>
          <w:vertAlign w:val="superscript"/>
        </w:rPr>
        <w:endnoteReference w:id="511"/>
      </w:r>
      <w:r w:rsidRPr="00C9065B">
        <w:rPr>
          <w:rFonts w:ascii="Century Schoolbook" w:eastAsia="Times New Roman" w:hAnsi="Century Schoolbook" w:cs="Times New Roman"/>
        </w:rPr>
        <w:t xml:space="preserve">  The court affirmed, finding that “[a]though the excluded statement in the police report is contained in a section of the report labeled ‘Conclusions,’ it appears that the ‘conclusion’ was nothing more than a reiteration of a report and statement of another person.  The report expresses no finding; it just transcribes what a third party said.  We cannot say that the district court abused its discretion in classifying this evidence as hearsay and not as ‘factual findings resulting from an </w:t>
      </w:r>
      <w:r w:rsidRPr="00C9065B">
        <w:rPr>
          <w:rFonts w:ascii="Century Schoolbook" w:eastAsia="Times New Roman" w:hAnsi="Century Schoolbook" w:cs="Times New Roman"/>
        </w:rPr>
        <w:lastRenderedPageBreak/>
        <w:t>investigation’ admissible under” Rule 803(8).</w:t>
      </w:r>
      <w:r w:rsidRPr="00C9065B">
        <w:rPr>
          <w:rFonts w:ascii="Century Schoolbook" w:eastAsia="Times New Roman" w:hAnsi="Century Schoolbook" w:cs="Times New Roman"/>
          <w:vertAlign w:val="superscript"/>
        </w:rPr>
        <w:endnoteReference w:id="512"/>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w:t>
      </w:r>
      <w:r w:rsidRPr="00C9065B">
        <w:rPr>
          <w:rFonts w:ascii="Century Schoolbook" w:eastAsia="Times New Roman" w:hAnsi="Century Schoolbook" w:cs="Times New Roman"/>
          <w:i/>
        </w:rPr>
        <w:t>Hickson Corp. v. Norfolk Southern Ry. Co.</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13"/>
      </w:r>
      <w:r w:rsidRPr="00C9065B">
        <w:rPr>
          <w:rFonts w:ascii="Century Schoolbook" w:eastAsia="Times New Roman" w:hAnsi="Century Schoolbook" w:cs="Times New Roman"/>
        </w:rPr>
        <w:t xml:space="preserve"> the defendant sought to exclude reports prepared by the Tennessee Department of Environment and Conservation and the Tennessee Emergency Management Authority concerning a spill of hazardous chemicals.</w:t>
      </w:r>
      <w:r w:rsidRPr="00C9065B">
        <w:rPr>
          <w:rFonts w:ascii="Century Schoolbook" w:eastAsia="Times New Roman" w:hAnsi="Century Schoolbook" w:cs="Times New Roman"/>
          <w:vertAlign w:val="superscript"/>
        </w:rPr>
        <w:endnoteReference w:id="514"/>
      </w:r>
      <w:r w:rsidRPr="00C9065B">
        <w:rPr>
          <w:rFonts w:ascii="Century Schoolbook" w:eastAsia="Times New Roman" w:hAnsi="Century Schoolbook" w:cs="Times New Roman"/>
        </w:rPr>
        <w:t xml:space="preserve">  The initial source of the information concerning the spill was a Norfolk Southern employee whose duties included notifying and providing information to the appropriate governmental authorities regarding the release of any hazardous materials.</w:t>
      </w:r>
      <w:r w:rsidRPr="00C9065B">
        <w:rPr>
          <w:rFonts w:ascii="Century Schoolbook" w:eastAsia="Times New Roman" w:hAnsi="Century Schoolbook" w:cs="Times New Roman"/>
          <w:vertAlign w:val="superscript"/>
        </w:rPr>
        <w:endnoteReference w:id="515"/>
      </w:r>
      <w:r w:rsidRPr="00C9065B">
        <w:rPr>
          <w:rFonts w:ascii="Century Schoolbook" w:eastAsia="Times New Roman" w:hAnsi="Century Schoolbook" w:cs="Times New Roman"/>
        </w:rPr>
        <w:t xml:space="preserve">  That employee had received his information from another a Norfolk Southern employee stationed at the train yard.</w:t>
      </w:r>
      <w:r w:rsidRPr="00C9065B">
        <w:rPr>
          <w:rFonts w:ascii="Century Schoolbook" w:eastAsia="Times New Roman" w:hAnsi="Century Schoolbook" w:cs="Times New Roman"/>
          <w:vertAlign w:val="superscript"/>
        </w:rPr>
        <w:endnoteReference w:id="516"/>
      </w:r>
      <w:r w:rsidRPr="00C9065B">
        <w:rPr>
          <w:rFonts w:ascii="Century Schoolbook" w:eastAsia="Times New Roman" w:hAnsi="Century Schoolbook" w:cs="Times New Roman"/>
        </w:rPr>
        <w:t xml:space="preserve">  The defendant argued that the reports should be excluded because they contained multiple levels of hearsay.</w:t>
      </w:r>
      <w:r w:rsidRPr="00C9065B">
        <w:rPr>
          <w:rFonts w:ascii="Century Schoolbook" w:eastAsia="Times New Roman" w:hAnsi="Century Schoolbook" w:cs="Times New Roman"/>
          <w:vertAlign w:val="superscript"/>
        </w:rPr>
        <w:endnoteReference w:id="517"/>
      </w:r>
      <w:r w:rsidRPr="00C9065B">
        <w:rPr>
          <w:rFonts w:ascii="Century Schoolbook" w:eastAsia="Times New Roman" w:hAnsi="Century Schoolbook" w:cs="Times New Roman"/>
        </w:rPr>
        <w:t xml:space="preserve">  The court recognized that Rule 803(8) allows for the admission of reports from these governmental entities, because they regularly prepare reports of hazardous environmental situations.</w:t>
      </w:r>
      <w:r w:rsidRPr="00C9065B">
        <w:rPr>
          <w:rFonts w:ascii="Century Schoolbook" w:eastAsia="Times New Roman" w:hAnsi="Century Schoolbook" w:cs="Times New Roman"/>
          <w:vertAlign w:val="superscript"/>
        </w:rPr>
        <w:endnoteReference w:id="518"/>
      </w:r>
      <w:r w:rsidRPr="00C9065B">
        <w:rPr>
          <w:rFonts w:ascii="Century Schoolbook" w:eastAsia="Times New Roman" w:hAnsi="Century Schoolbook" w:cs="Times New Roman"/>
        </w:rPr>
        <w:t xml:space="preserve">  The court held that the district court should have excluded the reports, though, finding that “although the exhibits were compiled by a public agency and included ‘factual findings resulting from an investigation made pursuant to authority granted by law,’ </w:t>
      </w:r>
      <w:r w:rsidRPr="00C9065B">
        <w:rPr>
          <w:rFonts w:ascii="Century Schoolbook" w:eastAsia="Times New Roman" w:hAnsi="Century Schoolbook" w:cs="Times New Roman"/>
        </w:rPr>
        <w:lastRenderedPageBreak/>
        <w:t>the original information recorded on the documents did not originate with a government official and the multiple levels of hearsay result in a lack of the necessary indicia of reliability to make the documents trustworthy and hence admissible ….”</w:t>
      </w:r>
      <w:r w:rsidRPr="00C9065B">
        <w:rPr>
          <w:rFonts w:ascii="Century Schoolbook" w:eastAsia="Times New Roman" w:hAnsi="Century Schoolbook" w:cs="Times New Roman"/>
          <w:vertAlign w:val="superscript"/>
        </w:rPr>
        <w:endnoteReference w:id="519"/>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Finally, in </w:t>
      </w:r>
      <w:r w:rsidRPr="00C9065B">
        <w:rPr>
          <w:rFonts w:ascii="Century Schoolbook" w:eastAsia="Times New Roman" w:hAnsi="Century Schoolbook" w:cs="Times New Roman"/>
          <w:i/>
        </w:rPr>
        <w:t>In re Oil Spill by Amoco Cadiz Off Coast of France</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20"/>
      </w:r>
      <w:r w:rsidRPr="00C9065B">
        <w:rPr>
          <w:rFonts w:ascii="Century Schoolbook" w:eastAsia="Times New Roman" w:hAnsi="Century Schoolbook" w:cs="Times New Roman"/>
        </w:rPr>
        <w:t xml:space="preserve"> the defendant sought to exclude reports of clean-up expenses incurred by local communities in France that were impacted by an oil spill.</w:t>
      </w:r>
      <w:r w:rsidRPr="00C9065B">
        <w:rPr>
          <w:rFonts w:ascii="Century Schoolbook" w:eastAsia="Times New Roman" w:hAnsi="Century Schoolbook" w:cs="Times New Roman"/>
          <w:vertAlign w:val="superscript"/>
        </w:rPr>
        <w:endnoteReference w:id="521"/>
      </w:r>
      <w:r w:rsidRPr="00C9065B">
        <w:rPr>
          <w:rFonts w:ascii="Century Schoolbook" w:eastAsia="Times New Roman" w:hAnsi="Century Schoolbook" w:cs="Times New Roman"/>
        </w:rPr>
        <w:t xml:space="preserve">  The reports detailed the costs of the communities’ employees, requisitioned staff, food, and other costs involved in the cleanup.</w:t>
      </w:r>
      <w:r w:rsidRPr="00C9065B">
        <w:rPr>
          <w:rFonts w:ascii="Century Schoolbook" w:eastAsia="Times New Roman" w:hAnsi="Century Schoolbook" w:cs="Times New Roman"/>
          <w:vertAlign w:val="superscript"/>
        </w:rPr>
        <w:endnoteReference w:id="522"/>
      </w:r>
      <w:r w:rsidRPr="00C9065B">
        <w:rPr>
          <w:rFonts w:ascii="Century Schoolbook" w:eastAsia="Times New Roman" w:hAnsi="Century Schoolbook" w:cs="Times New Roman"/>
        </w:rPr>
        <w:t xml:space="preserve">  Most of these expense records appeared on official forms bearing the community’s seal and were accompanied by time sheets, bills, receipts, or similar documentation.</w:t>
      </w:r>
      <w:r w:rsidRPr="00C9065B">
        <w:rPr>
          <w:rFonts w:ascii="Century Schoolbook" w:eastAsia="Times New Roman" w:hAnsi="Century Schoolbook" w:cs="Times New Roman"/>
          <w:vertAlign w:val="superscript"/>
        </w:rPr>
        <w:endnoteReference w:id="523"/>
      </w:r>
      <w:r w:rsidRPr="00C9065B">
        <w:rPr>
          <w:rFonts w:ascii="Century Schoolbook" w:eastAsia="Times New Roman" w:hAnsi="Century Schoolbook" w:cs="Times New Roman"/>
        </w:rPr>
        <w:t xml:space="preserve">  The court held that these documents satisfied Rule 803(8) because they were official expense reports that were filled out by government employees using raw data that was supplied by other government employees.</w:t>
      </w:r>
      <w:r w:rsidRPr="00C9065B">
        <w:rPr>
          <w:rFonts w:ascii="Century Schoolbook" w:eastAsia="Times New Roman" w:hAnsi="Century Schoolbook" w:cs="Times New Roman"/>
          <w:vertAlign w:val="superscript"/>
        </w:rPr>
        <w:endnoteReference w:id="524"/>
      </w:r>
      <w:r w:rsidRPr="00C9065B">
        <w:rPr>
          <w:rFonts w:ascii="Century Schoolbook" w:eastAsia="Times New Roman" w:hAnsi="Century Schoolbook" w:cs="Times New Roman"/>
        </w:rPr>
        <w:t xml:space="preserve">  As such, they set forth (A) the activities of the office or agency and/or (B) matters observed pursuant to duty imposed by law as to which matters there was a duty to report.</w:t>
      </w:r>
      <w:r w:rsidRPr="00C9065B">
        <w:rPr>
          <w:rFonts w:ascii="Century Schoolbook" w:eastAsia="Times New Roman" w:hAnsi="Century Schoolbook" w:cs="Times New Roman"/>
          <w:vertAlign w:val="superscript"/>
        </w:rPr>
        <w:endnoteReference w:id="525"/>
      </w:r>
      <w:r w:rsidRPr="00C9065B">
        <w:rPr>
          <w:rFonts w:ascii="Century Schoolbook" w:eastAsia="Times New Roman" w:hAnsi="Century Schoolbook" w:cs="Times New Roman"/>
        </w:rPr>
        <w:t xml:space="preserve">  The court did </w:t>
      </w:r>
      <w:r w:rsidRPr="00C9065B">
        <w:rPr>
          <w:rFonts w:ascii="Century Schoolbook" w:eastAsia="Times New Roman" w:hAnsi="Century Schoolbook" w:cs="Times New Roman"/>
          <w:i/>
        </w:rPr>
        <w:t>not</w:t>
      </w:r>
      <w:r w:rsidRPr="00C9065B">
        <w:rPr>
          <w:rFonts w:ascii="Century Schoolbook" w:eastAsia="Times New Roman" w:hAnsi="Century Schoolbook" w:cs="Times New Roman"/>
        </w:rPr>
        <w:t xml:space="preserve"> hold, however, that the evidence was admissible because it set out “factual findings from a legally authorized </w:t>
      </w:r>
      <w:r w:rsidRPr="00C9065B">
        <w:rPr>
          <w:rFonts w:ascii="Century Schoolbook" w:eastAsia="Times New Roman" w:hAnsi="Century Schoolbook" w:cs="Times New Roman"/>
        </w:rPr>
        <w:lastRenderedPageBreak/>
        <w:t xml:space="preserve">investigation,” which was the basis for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court’s reliance on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to admit the NEISS data.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Accordingly,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is not relevant with regard to the admissibility of data from NEISS reports.  All of the information contained in the documents sought to be excluded in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originated with agents or employees of the local governmental entities seeking reimbursement for their clean-up expenses, and constituted records of the local governments’ activities and/or matters as to which they had an official duty to report.  There is no indication in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that any of the information contained in the communities’ expense reports was supplied by third persons (outside the governmental entities) who were under no official public duty to report.  Thus,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involved documents that contained the multiple layers of the “internal hearsay” that Rule 803(8) allows.  The case is distinguishable from the facts of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because the information contained in the NEISS reports originates with and is transmitted through at least two levels of “outsider” third parties before reaching a public official whose duty it is to record the information.</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lastRenderedPageBreak/>
        <w:t xml:space="preserve">Fifteen years after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the Seventh Circuit issued its opinion in </w:t>
      </w:r>
      <w:r w:rsidRPr="00C9065B">
        <w:rPr>
          <w:rFonts w:ascii="Century Schoolbook" w:eastAsia="Times New Roman" w:hAnsi="Century Schoolbook" w:cs="Times New Roman"/>
          <w:i/>
        </w:rPr>
        <w:t>Boim v. Holy Land Foundation for Relief and Development</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26"/>
      </w:r>
      <w:r w:rsidRPr="00C9065B">
        <w:rPr>
          <w:rFonts w:ascii="Century Schoolbook" w:eastAsia="Times New Roman" w:hAnsi="Century Schoolbook" w:cs="Times New Roman"/>
        </w:rPr>
        <w:t xml:space="preserve"> a wrongful death case seeking damages for the killing of an American citizen in Israel.  The court excluded from evidence a memorandum written by the assistant director of counterterrorism in the FBI, because the memorandum repeated statements from “informants and other individuals” who, in contrast to the assistant director, were under no official duty to report the matters addressed in the statements.  Thus, the Seventh Circuit’s ruling in </w:t>
      </w:r>
      <w:r w:rsidRPr="00C9065B">
        <w:rPr>
          <w:rFonts w:ascii="Century Schoolbook" w:eastAsia="Times New Roman" w:hAnsi="Century Schoolbook" w:cs="Times New Roman"/>
          <w:i/>
        </w:rPr>
        <w:t>Boim</w:t>
      </w:r>
      <w:r w:rsidRPr="00C9065B">
        <w:rPr>
          <w:rFonts w:ascii="Century Schoolbook" w:eastAsia="Times New Roman" w:hAnsi="Century Schoolbook" w:cs="Times New Roman"/>
        </w:rPr>
        <w:t xml:space="preserve"> is entirely consistent with the manner in which other federal circuit courts have applied the public records exception to factual findings resulting from a government agency’s investigation; information in the records which originates from a third party who is under no public duty to report it is hearsay and must be excluded.</w:t>
      </w:r>
      <w:r w:rsidRPr="00C9065B">
        <w:rPr>
          <w:rFonts w:ascii="Century Schoolbook" w:eastAsia="Times New Roman" w:hAnsi="Century Schoolbook" w:cs="Times New Roman"/>
          <w:vertAlign w:val="superscript"/>
        </w:rPr>
        <w:endnoteReference w:id="527"/>
      </w:r>
      <w:r w:rsidRPr="00C9065B">
        <w:rPr>
          <w:rFonts w:ascii="Century Schoolbook" w:eastAsia="Times New Roman" w:hAnsi="Century Schoolbook" w:cs="Times New Roman"/>
        </w:rPr>
        <w:t xml:space="preserve">  For that reason,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should not have controlled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case.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initial source of the information which is contained in NEISS reports is the injured patients in hospital emergency rooms.  The second source of information is the health care providers who transcribe in their medical records what the patients said about how their injuries </w:t>
      </w:r>
      <w:r w:rsidRPr="00C9065B">
        <w:rPr>
          <w:rFonts w:ascii="Century Schoolbook" w:eastAsia="Times New Roman" w:hAnsi="Century Schoolbook" w:cs="Times New Roman"/>
        </w:rPr>
        <w:lastRenderedPageBreak/>
        <w:t xml:space="preserve">occurred.  Before the information reaches the hospital NEISS coordinators, it has already gone through two layers of “outsider” hearsay.  The accuracy and trustworthiness of the information that eventually reaches the NEISS coordinators are substantially more suspect than would be reports that record merely raw data transmitted between government employees, even if the NEISS coordinators enter the information into the NEISS database accurately.  The NEISS reports consist, at a minimum, of triple hearsay – the report itself, the healthcare providers’ statements contained in the report, and the patients’ statements to the healthcare providers.  If a traumatized patient is unable to communicate with his healthcare providers, someone else likely would convey what the patient had said about his injury, thereby creating a fourth layer of hearsay.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Moreover, the NEISS reports express no “factual findings resulting from an investigation” by a public agency but merely reiterate what a third party said another third party said.  Because the initial and secondary sources of the information contained in the NEISS reports were under no official duty to report the information, the NEISS reports are not admissible under Rule 803(8) or </w:t>
      </w:r>
      <w:r w:rsidRPr="00C9065B">
        <w:rPr>
          <w:rFonts w:ascii="Century Schoolbook" w:eastAsia="Times New Roman" w:hAnsi="Century Schoolbook" w:cs="Times New Roman"/>
        </w:rPr>
        <w:lastRenderedPageBreak/>
        <w:t>O.C.G.A. § 24-8-803(8)(C), unless each level of hearsay falls within an exception to the hearsay rule.  Because the original information recorded in the NEISS reports did not originate with a government official, the multiple levels of hearsay result in a lack of the necessary indicia of reliability to make the reports trustworthy and admissible.</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a footnote,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court stated that “[t]he defendants’ comparison to investigative accident reports produced by CPSC” in other cases “is unavailing in light of”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which “squarely rejects this [double hearsay] concern when applied to the public records exception.”</w:t>
      </w:r>
      <w:r w:rsidRPr="00C9065B">
        <w:rPr>
          <w:rFonts w:ascii="Century Schoolbook" w:eastAsia="Times New Roman" w:hAnsi="Century Schoolbook" w:cs="Times New Roman"/>
          <w:vertAlign w:val="superscript"/>
        </w:rPr>
        <w:endnoteReference w:id="528"/>
      </w:r>
      <w:r w:rsidRPr="00C9065B">
        <w:rPr>
          <w:rFonts w:ascii="Century Schoolbook" w:eastAsia="Times New Roman" w:hAnsi="Century Schoolbook" w:cs="Times New Roman"/>
        </w:rPr>
        <w:t xml:space="preserve">  As discussed above, the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court did not reject this double hearsay concern, because it was not presented with the admissibility of public records in which the sources of information contained in the records were outsiders.  Further,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defendants did not cite </w:t>
      </w:r>
      <w:r w:rsidRPr="00C9065B">
        <w:rPr>
          <w:rFonts w:ascii="Century Schoolbook" w:eastAsia="Times New Roman" w:hAnsi="Century Schoolbook" w:cs="Times New Roman"/>
          <w:i/>
        </w:rPr>
        <w:t>Kloepfer v. Honda Motor Co., Ltd.</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29"/>
      </w:r>
      <w:r w:rsidRPr="00C9065B">
        <w:rPr>
          <w:rFonts w:ascii="Century Schoolbook" w:eastAsia="Times New Roman" w:hAnsi="Century Schoolbook" w:cs="Times New Roman"/>
        </w:rPr>
        <w:t xml:space="preserve"> which addresses the admissibility under the public records exception of government documents about all-terrain vehicle accidents, injuries, and statistics (presumably contained in CPSC reports, although the </w:t>
      </w:r>
      <w:r w:rsidRPr="00C9065B">
        <w:rPr>
          <w:rFonts w:ascii="Century Schoolbook" w:eastAsia="Times New Roman" w:hAnsi="Century Schoolbook" w:cs="Times New Roman"/>
          <w:i/>
        </w:rPr>
        <w:t>Kloepfer</w:t>
      </w:r>
      <w:r w:rsidRPr="00C9065B">
        <w:rPr>
          <w:rFonts w:ascii="Century Schoolbook" w:eastAsia="Times New Roman" w:hAnsi="Century Schoolbook" w:cs="Times New Roman"/>
        </w:rPr>
        <w:t xml:space="preserve"> opinion does not specify).  In </w:t>
      </w:r>
      <w:r w:rsidRPr="00C9065B">
        <w:rPr>
          <w:rFonts w:ascii="Century Schoolbook" w:eastAsia="Times New Roman" w:hAnsi="Century Schoolbook" w:cs="Times New Roman"/>
          <w:i/>
        </w:rPr>
        <w:t>Kloepfer</w:t>
      </w:r>
      <w:r w:rsidRPr="00C9065B">
        <w:rPr>
          <w:rFonts w:ascii="Century Schoolbook" w:eastAsia="Times New Roman" w:hAnsi="Century Schoolbook" w:cs="Times New Roman"/>
        </w:rPr>
        <w:t xml:space="preserve">, the plaintiffs argued that such documents were admissible under the </w:t>
      </w:r>
      <w:r w:rsidRPr="00C9065B">
        <w:rPr>
          <w:rFonts w:ascii="Century Schoolbook" w:eastAsia="Times New Roman" w:hAnsi="Century Schoolbook" w:cs="Times New Roman"/>
        </w:rPr>
        <w:lastRenderedPageBreak/>
        <w:t>public records exception as factual findings from an investigation.  The court of appeals rejected the argument, holding that the evidence did not satisfy Rule 803(8)’s standards for trustworthiness and reliability.  “Inasmuch as the proffered reports were not limited to three-wheeled vehicles, did not relate to an investigation into this accident or to the Honda model involved herein, but rather accidents, injuries and statistics involving all all-terrain vehicles manufactured by over twenty manufacturers, we hold that the district court did not err in excluding the reports.”</w:t>
      </w:r>
      <w:r w:rsidRPr="00C9065B">
        <w:rPr>
          <w:rFonts w:ascii="Century Schoolbook" w:eastAsia="Times New Roman" w:hAnsi="Century Schoolbook" w:cs="Times New Roman"/>
          <w:vertAlign w:val="superscript"/>
        </w:rPr>
        <w:endnoteReference w:id="530"/>
      </w:r>
      <w:r w:rsidRPr="00C9065B">
        <w:rPr>
          <w:rFonts w:ascii="Century Schoolbook" w:eastAsia="Times New Roman" w:hAnsi="Century Schoolbook" w:cs="Times New Roman"/>
        </w:rPr>
        <w:t xml:space="preserve">  </w:t>
      </w:r>
      <w:r w:rsidRPr="00C9065B">
        <w:rPr>
          <w:rFonts w:ascii="Century Schoolbook" w:eastAsia="Times New Roman" w:hAnsi="Century Schoolbook" w:cs="Times New Roman"/>
          <w:i/>
        </w:rPr>
        <w:t>Kloepfer</w:t>
      </w:r>
      <w:r w:rsidRPr="00C9065B">
        <w:rPr>
          <w:rFonts w:ascii="Century Schoolbook" w:eastAsia="Times New Roman" w:hAnsi="Century Schoolbook" w:cs="Times New Roman"/>
        </w:rPr>
        <w:t xml:space="preserve"> refutes </w:t>
      </w:r>
      <w:r w:rsidRPr="00C9065B">
        <w:rPr>
          <w:rFonts w:ascii="Century Schoolbook" w:eastAsia="Times New Roman" w:hAnsi="Century Schoolbook" w:cs="Times New Roman"/>
          <w:i/>
        </w:rPr>
        <w:t>Wielgus’s</w:t>
      </w:r>
      <w:r w:rsidRPr="00C9065B">
        <w:rPr>
          <w:rFonts w:ascii="Century Schoolbook" w:eastAsia="Times New Roman" w:hAnsi="Century Schoolbook" w:cs="Times New Roman"/>
        </w:rPr>
        <w:t xml:space="preserve"> conclusion and strongly supports exclusion of the CPSC’s NEISS reports.</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As the First Circuit said in upholding a trial court’s exclusion of CPSC reports: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CPSC reports are untrustworthy because they contain double hearsay in many instances[:] the CPSC investigator at one level, and the accident victim interviewee at yet another level removed.  Most of the data contained in the reports is simply a </w:t>
      </w:r>
      <w:r w:rsidRPr="00C9065B">
        <w:rPr>
          <w:rFonts w:ascii="Century Schoolbook" w:eastAsia="Times New Roman" w:hAnsi="Century Schoolbook" w:cs="Times New Roman"/>
        </w:rPr>
        <w:lastRenderedPageBreak/>
        <w:t>paraphrasing of versions of accidents given by the victims themselves who surely cannot be regarded as disinterested observers.</w:t>
      </w:r>
      <w:r w:rsidRPr="00C9065B">
        <w:rPr>
          <w:rFonts w:ascii="Century Schoolbook" w:eastAsia="Times New Roman" w:hAnsi="Century Schoolbook" w:cs="Times New Roman"/>
          <w:vertAlign w:val="superscript"/>
        </w:rPr>
        <w:endnoteReference w:id="531"/>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u w:val="single"/>
        </w:rPr>
      </w:pPr>
      <w:r w:rsidRPr="00C9065B">
        <w:rPr>
          <w:rFonts w:ascii="Century Schoolbook" w:eastAsia="Times New Roman" w:hAnsi="Century Schoolbook" w:cs="Times New Roman"/>
        </w:rPr>
        <w:t>The CPSC gathers the data, but it does not apply the experience, expertise or judgment of the agency in a way that would create the reliability that can result when a public agency is acting pursuant to its lawful duties.</w:t>
      </w:r>
      <w:r w:rsidRPr="00C9065B">
        <w:rPr>
          <w:rFonts w:ascii="Century Schoolbook" w:eastAsia="Times New Roman" w:hAnsi="Century Schoolbook" w:cs="Times New Roman"/>
          <w:vertAlign w:val="superscript"/>
        </w:rPr>
        <w:endnoteReference w:id="532"/>
      </w:r>
      <w:r w:rsidRPr="00C9065B">
        <w:rPr>
          <w:rFonts w:ascii="Century Schoolbook" w:eastAsia="Times New Roman" w:hAnsi="Century Schoolbook" w:cs="Times New Roman"/>
        </w:rPr>
        <w:t xml:space="preserve">  Because the NEISS reports are not based on any CPSC official’s or employee’s personal knowledge or observation, but instead are based upon information supplied by outside sources (patients) who were under no legal duty to observe and report the information, the NEISS reports are inadmissible under O.C.G.A. § 24-8-803(8).</w:t>
      </w:r>
      <w:r w:rsidRPr="00C9065B">
        <w:rPr>
          <w:rFonts w:ascii="Century Schoolbook" w:eastAsia="Times New Roman" w:hAnsi="Century Schoolbook" w:cs="Times New Roman"/>
          <w:vertAlign w:val="superscript"/>
        </w:rPr>
        <w:endnoteReference w:id="533"/>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b/>
          <w:u w:val="single"/>
        </w:rPr>
      </w:pPr>
    </w:p>
    <w:p w:rsidR="00C9065B" w:rsidRPr="00C9065B" w:rsidRDefault="00C9065B" w:rsidP="00583044">
      <w:pPr>
        <w:tabs>
          <w:tab w:val="left" w:pos="540"/>
        </w:tabs>
        <w:spacing w:after="0"/>
        <w:jc w:val="center"/>
        <w:rPr>
          <w:rFonts w:ascii="Century Schoolbook" w:eastAsia="Times New Roman" w:hAnsi="Century Schoolbook" w:cs="Times New Roman"/>
          <w:b/>
          <w:bCs/>
        </w:rPr>
      </w:pPr>
      <w:r w:rsidRPr="00C9065B">
        <w:rPr>
          <w:rFonts w:ascii="Century Schoolbook" w:eastAsia="Times New Roman" w:hAnsi="Century Schoolbook" w:cs="Times New Roman"/>
          <w:b/>
          <w:bCs/>
        </w:rPr>
        <w:t>2.  The NEISS Data and Statistical Conclusions Derived from It Do Not Satisfy the Business Records Exception</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same lack of trustworthiness which prevents the applicability of the public records exception also bars the NEISS data evidence from admissibility under the business records exception.  Under O.C.G.A. § 24-8-803(6), records of regularly </w:t>
      </w:r>
      <w:r w:rsidRPr="00C9065B">
        <w:rPr>
          <w:rFonts w:ascii="Century Schoolbook" w:eastAsia="Times New Roman" w:hAnsi="Century Schoolbook" w:cs="Times New Roman"/>
        </w:rPr>
        <w:lastRenderedPageBreak/>
        <w:t xml:space="preserve">conducted business activity are admissible if, as shown by the testimony of the records custodian: (A) the records were made at or near the time of the events they describe; (B) the records were made by a person with personal knowledge and a business duty to report; (C) the records were kept in the course of a regularly conducted business activity; and (D) it was the regular practice of that business activity to make the record.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w:t>
      </w:r>
      <w:r w:rsidRPr="00C9065B">
        <w:rPr>
          <w:rFonts w:ascii="Century Schoolbook" w:eastAsia="Times New Roman" w:hAnsi="Century Schoolbook" w:cs="Times New Roman"/>
          <w:i/>
        </w:rPr>
        <w:t>Wilson v. Zapata Off-Shore Co.</w:t>
      </w:r>
      <w:r w:rsidRPr="00C9065B">
        <w:rPr>
          <w:rFonts w:ascii="Century Schoolbook" w:eastAsia="Times New Roman" w:hAnsi="Century Schoolbook" w:cs="Times New Roman"/>
        </w:rPr>
        <w:t>,</w:t>
      </w:r>
      <w:r w:rsidRPr="00C9065B">
        <w:rPr>
          <w:rFonts w:ascii="Century Schoolbook" w:eastAsia="Times New Roman" w:hAnsi="Century Schoolbook" w:cs="Times New Roman"/>
          <w:vertAlign w:val="superscript"/>
        </w:rPr>
        <w:endnoteReference w:id="534"/>
      </w:r>
      <w:r w:rsidRPr="00C9065B">
        <w:rPr>
          <w:rFonts w:ascii="Century Schoolbook" w:eastAsia="Times New Roman" w:hAnsi="Century Schoolbook" w:cs="Times New Roman"/>
        </w:rPr>
        <w:t>  the Fifth Circuit affirmed the trial court’s exclusion of portions of the plaintiff’s hospital records which reported a statement by the plaintiff’s sister to a social worker, who recorded that “informant reports that the patient is a habitual liar and has been all of her life.”</w:t>
      </w:r>
      <w:r w:rsidRPr="00C9065B">
        <w:rPr>
          <w:rFonts w:ascii="Century Schoolbook" w:eastAsia="Times New Roman" w:hAnsi="Century Schoolbook" w:cs="Times New Roman"/>
          <w:vertAlign w:val="superscript"/>
        </w:rPr>
        <w:endnoteReference w:id="535"/>
      </w:r>
      <w:r w:rsidRPr="00C9065B">
        <w:rPr>
          <w:rFonts w:ascii="Century Schoolbook" w:eastAsia="Times New Roman" w:hAnsi="Century Schoolbook" w:cs="Times New Roman"/>
        </w:rPr>
        <w:t xml:space="preserve">  As the court explained: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Double hearsay in the context of a business record exists when the record is prepared by an employee with information supplied by another person.  If both the source and the recorder of the information, as well as every other participant in the chain producing </w:t>
      </w:r>
      <w:r w:rsidRPr="00C9065B">
        <w:rPr>
          <w:rFonts w:ascii="Century Schoolbook" w:eastAsia="Times New Roman" w:hAnsi="Century Schoolbook" w:cs="Times New Roman"/>
        </w:rPr>
        <w:lastRenderedPageBreak/>
        <w:t>the record, are acting in the regular course of business, the multiple hearsay is excused by Rule 803(6).  However, if the source of the information is an outsider, … Rule 803(6) does not, by itself, permit the admission of the business record.  The outsider’s statement must fall within another hearsay exception to be admissible because it does not have the presumption of accuracy that statements made during the regular course of business have.</w:t>
      </w:r>
      <w:r w:rsidRPr="00C9065B">
        <w:rPr>
          <w:rFonts w:ascii="Century Schoolbook" w:eastAsia="Times New Roman" w:hAnsi="Century Schoolbook" w:cs="Times New Roman"/>
          <w:vertAlign w:val="superscript"/>
        </w:rPr>
        <w:endnoteReference w:id="536"/>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As discussed above, all of the data in the NEISS database was provided by and collected from “outsiders,” namely patients at hospitals.  Such data thus possesses no indicia of reliability and trustworthiness and has no presumption of accuracy that admissible business records have.</w:t>
      </w:r>
      <w:r w:rsidRPr="00C9065B">
        <w:rPr>
          <w:rFonts w:ascii="Century Schoolbook" w:eastAsia="Times New Roman" w:hAnsi="Century Schoolbook" w:cs="Times New Roman"/>
          <w:vertAlign w:val="superscript"/>
        </w:rPr>
        <w:endnoteReference w:id="537"/>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Thus, the NEISS data fails to meet the reliability and trustworthiness requirements of the business records and public records exceptions.  It is impossible to verify from the face of </w:t>
      </w:r>
      <w:r w:rsidRPr="00C9065B">
        <w:rPr>
          <w:rFonts w:ascii="Century Schoolbook" w:eastAsia="Times New Roman" w:hAnsi="Century Schoolbook" w:cs="Times New Roman"/>
        </w:rPr>
        <w:lastRenderedPageBreak/>
        <w:t xml:space="preserve">the NEISS data essential information including: (1) who generated the reports; (2) who provided each patient’s medical history and who took it down in the medical records; (3) the actual information in the medical records upon which the NEISS data relied; and (4) the procedures for entering this information and verifying the accuracy of each of the statements.  Essentially, the reports are a conglomeration of highly abbreviated notes from a variety of unknown sources, which reports might or might not reflect accurate accounts of what actually happened.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The only way to overcome the hearsay nature of this other-accident evidence is for plaintiffs to present testimony from the injured parties in those other cases to explain what occurred in each case.  Permitting documentary evidence from the NEISS database would be tantamount to allowing the persons who made the statements in those other cases to testify against the defendants without being under oath or subject to cross-examination.  Because plaintiffs will be unable to show that the NEISS data is anything but unreliable hearsay, defendant manufacturers have a strong argument that courts should exclude this evidence.</w:t>
      </w:r>
    </w:p>
    <w:p w:rsidR="00817093" w:rsidRPr="00C9065B" w:rsidRDefault="00817093" w:rsidP="00583044">
      <w:pPr>
        <w:tabs>
          <w:tab w:val="left" w:pos="540"/>
        </w:tabs>
        <w:spacing w:after="0"/>
        <w:ind w:firstLine="360"/>
        <w:jc w:val="both"/>
        <w:rPr>
          <w:rFonts w:ascii="Century Schoolbook" w:eastAsia="Times New Roman" w:hAnsi="Century Schoolbook" w:cs="Times New Roman"/>
        </w:rPr>
      </w:pPr>
    </w:p>
    <w:p w:rsidR="00C9065B" w:rsidRPr="00C9065B" w:rsidRDefault="00C9065B" w:rsidP="00C9065B">
      <w:pPr>
        <w:tabs>
          <w:tab w:val="left" w:pos="540"/>
        </w:tabs>
        <w:spacing w:after="0"/>
        <w:rPr>
          <w:rFonts w:ascii="Century Schoolbook" w:eastAsia="Times New Roman" w:hAnsi="Century Schoolbook" w:cs="Times New Roman"/>
          <w:b/>
          <w:bCs/>
          <w:iCs/>
          <w:u w:val="single"/>
        </w:rPr>
      </w:pPr>
    </w:p>
    <w:p w:rsidR="00C9065B" w:rsidRPr="00C9065B" w:rsidRDefault="00C9065B" w:rsidP="00583044">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lastRenderedPageBreak/>
        <w:t>B. The NEISS Data and</w:t>
      </w:r>
    </w:p>
    <w:p w:rsidR="00C9065B" w:rsidRPr="00C9065B" w:rsidRDefault="00C9065B" w:rsidP="00583044">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Statistical Conclusions</w:t>
      </w:r>
    </w:p>
    <w:p w:rsidR="00C9065B" w:rsidRDefault="00C9065B" w:rsidP="00583044">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Derived from It Are Irrelevant</w:t>
      </w:r>
    </w:p>
    <w:p w:rsidR="00583044" w:rsidRPr="00C9065B" w:rsidRDefault="00583044" w:rsidP="00C9065B">
      <w:pPr>
        <w:tabs>
          <w:tab w:val="left" w:pos="540"/>
        </w:tabs>
        <w:spacing w:after="0"/>
        <w:rPr>
          <w:rFonts w:ascii="Century Schoolbook" w:eastAsia="Times New Roman" w:hAnsi="Century Schoolbook" w:cs="Times New Roman"/>
          <w:b/>
          <w:bCs/>
          <w:iCs/>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In addition to the issue of hearsay, the NEISS reports should be excluded because most of the information in them is irrelevant to the issues in the products liability suit.  Georgia courts have imposed tight restrictions on plaintiffs’ attempts to introduce evidence of other incidents in personal injury product liability cases.  “[E]vidence of other incidents involving the product is admissible, and relevant to the issues of notice of a defect and punitive damages, provided there is a showing of substantial similarity.”</w:t>
      </w:r>
      <w:r w:rsidRPr="00C9065B">
        <w:rPr>
          <w:rFonts w:ascii="Century Schoolbook" w:eastAsia="Times New Roman" w:hAnsi="Century Schoolbook" w:cs="Times New Roman"/>
          <w:vertAlign w:val="superscript"/>
        </w:rPr>
        <w:endnoteReference w:id="538"/>
      </w:r>
      <w:r w:rsidRPr="00C9065B">
        <w:rPr>
          <w:rFonts w:ascii="Century Schoolbook" w:eastAsia="Times New Roman" w:hAnsi="Century Schoolbook" w:cs="Times New Roman"/>
        </w:rPr>
        <w:t xml:space="preserve">  “[B]ecause of the potential prejudicial impact of prior occurrences or accidents, such evidence is only admissible if conditions substantially similar to the occurrence caused the prior accidents, and the prior incidents were not too remote in time.”</w:t>
      </w:r>
      <w:r w:rsidRPr="00C9065B">
        <w:rPr>
          <w:rFonts w:ascii="Century Schoolbook" w:eastAsia="Times New Roman" w:hAnsi="Century Schoolbook" w:cs="Times New Roman"/>
          <w:vertAlign w:val="superscript"/>
        </w:rPr>
        <w:endnoteReference w:id="539"/>
      </w:r>
      <w:r w:rsidRPr="00C9065B">
        <w:rPr>
          <w:rFonts w:ascii="Century Schoolbook" w:eastAsia="Times New Roman" w:hAnsi="Century Schoolbook" w:cs="Times New Roman"/>
        </w:rPr>
        <w:t xml:space="preserve">  “Without a showing of substantial similarity, the evidence is irrelevant as a matter of law.”</w:t>
      </w:r>
      <w:r w:rsidRPr="00C9065B">
        <w:rPr>
          <w:rFonts w:ascii="Century Schoolbook" w:eastAsia="Times New Roman" w:hAnsi="Century Schoolbook" w:cs="Times New Roman"/>
          <w:vertAlign w:val="superscript"/>
        </w:rPr>
        <w:endnoteReference w:id="540"/>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products liability cases, the ‘rule of substantial similarity’ prohibits the admission into evidence of other transactions, occurrences, or claims unless the proponent first shows that there is a ‘substantial similarity’ between the other transactions, occurrences, or claims </w:t>
      </w:r>
      <w:r w:rsidRPr="00C9065B">
        <w:rPr>
          <w:rFonts w:ascii="Century Schoolbook" w:eastAsia="Times New Roman" w:hAnsi="Century Schoolbook" w:cs="Times New Roman"/>
        </w:rPr>
        <w:lastRenderedPageBreak/>
        <w:t>and the claim at issue in the litigation.</w:t>
      </w:r>
      <w:r w:rsidRPr="00C9065B">
        <w:rPr>
          <w:rFonts w:ascii="Century Schoolbook" w:eastAsia="Times New Roman" w:hAnsi="Century Schoolbook" w:cs="Times New Roman"/>
          <w:vertAlign w:val="superscript"/>
        </w:rPr>
        <w:t xml:space="preserve"> </w:t>
      </w:r>
      <w:r w:rsidRPr="00C9065B">
        <w:rPr>
          <w:rFonts w:ascii="Century Schoolbook" w:eastAsia="Times New Roman" w:hAnsi="Century Schoolbook" w:cs="Times New Roman"/>
        </w:rPr>
        <w:t xml:space="preserve"> The showing of substantial similarity must include a showing of similarity as to causation.”</w:t>
      </w:r>
      <w:r w:rsidRPr="00C9065B">
        <w:rPr>
          <w:rFonts w:ascii="Century Schoolbook" w:eastAsia="Times New Roman" w:hAnsi="Century Schoolbook" w:cs="Times New Roman"/>
          <w:vertAlign w:val="superscript"/>
        </w:rPr>
        <w:endnoteReference w:id="541"/>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To show substantial similarity, a plaintiff must present evidence “(1) that the products involved in the other incidents and the present incident shared a common design and manufacturing process; (2) that the products suffered from a common defect; and (3) that any common defects shared the same causation.”</w:t>
      </w:r>
      <w:r w:rsidRPr="00C9065B">
        <w:rPr>
          <w:rFonts w:ascii="Century Schoolbook" w:eastAsia="Times New Roman" w:hAnsi="Century Schoolbook" w:cs="Times New Roman"/>
          <w:vertAlign w:val="superscript"/>
        </w:rPr>
        <w:endnoteReference w:id="542"/>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Federal courts addressing “other accident evidence” have held that the court “must be apprised of the specific facts</w:t>
      </w:r>
      <w:r w:rsidRPr="00C9065B">
        <w:rPr>
          <w:rFonts w:ascii="Century Schoolbook" w:eastAsia="Times New Roman" w:hAnsi="Century Schoolbook" w:cs="Times New Roman"/>
          <w:i/>
        </w:rPr>
        <w:t xml:space="preserve"> </w:t>
      </w:r>
      <w:r w:rsidRPr="00C9065B">
        <w:rPr>
          <w:rFonts w:ascii="Century Schoolbook" w:eastAsia="Times New Roman" w:hAnsi="Century Schoolbook" w:cs="Times New Roman"/>
        </w:rPr>
        <w:t>of the previous incidents in order to make a reasoned determination as to whether the prior incidents are ‘substantially similar.’”</w:t>
      </w:r>
      <w:r w:rsidRPr="00C9065B">
        <w:rPr>
          <w:rFonts w:ascii="Century Schoolbook" w:eastAsia="Times New Roman" w:hAnsi="Century Schoolbook" w:cs="Times New Roman"/>
          <w:vertAlign w:val="superscript"/>
        </w:rPr>
        <w:endnoteReference w:id="543"/>
      </w:r>
      <w:r w:rsidRPr="00C9065B">
        <w:rPr>
          <w:rFonts w:ascii="Century Schoolbook" w:eastAsia="Times New Roman" w:hAnsi="Century Schoolbook" w:cs="Times New Roman"/>
        </w:rPr>
        <w:t xml:space="preserve">  The conditions surrounding the accidents will not be considered sufficiently similar if there is either a different sequence of events or if the accidents occurred in a different manner.</w:t>
      </w:r>
      <w:r w:rsidRPr="00C9065B">
        <w:rPr>
          <w:rFonts w:ascii="Century Schoolbook" w:eastAsia="Times New Roman" w:hAnsi="Century Schoolbook" w:cs="Times New Roman"/>
          <w:vertAlign w:val="superscript"/>
        </w:rPr>
        <w:endnoteReference w:id="544"/>
      </w:r>
      <w:r w:rsidRPr="00C9065B">
        <w:rPr>
          <w:rFonts w:ascii="Century Schoolbook" w:eastAsia="Times New Roman" w:hAnsi="Century Schoolbook" w:cs="Times New Roman"/>
        </w:rPr>
        <w:t xml:space="preserve">  The “foundational requirement of establishing substantial similarity is especially important in cases where the evidence is proffered to show the existence of a design defect.”</w:t>
      </w:r>
      <w:r w:rsidRPr="00C9065B">
        <w:rPr>
          <w:rFonts w:ascii="Century Schoolbook" w:eastAsia="Times New Roman" w:hAnsi="Century Schoolbook" w:cs="Times New Roman"/>
          <w:vertAlign w:val="superscript"/>
        </w:rPr>
        <w:endnoteReference w:id="545"/>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reasons for these restrictions are clear.  A jury should focus on determining whether the product at issue is defective and whether such </w:t>
      </w:r>
      <w:r w:rsidRPr="00C9065B">
        <w:rPr>
          <w:rFonts w:ascii="Century Schoolbook" w:eastAsia="Times New Roman" w:hAnsi="Century Schoolbook" w:cs="Times New Roman"/>
        </w:rPr>
        <w:lastRenderedPageBreak/>
        <w:t>defect caused the plaintiff’s injury.  This determination should be made based on the relevant evidence at trial, rather than on the fact that a similar product was involved in other incidents.  It is improper for a jury to conclude that the specific product at issue was defective based on the fact that other people had been injured while somehow using somewhat similar products.</w:t>
      </w:r>
      <w:r w:rsidRPr="00C9065B">
        <w:rPr>
          <w:rFonts w:ascii="Century Schoolbook" w:eastAsia="Times New Roman" w:hAnsi="Century Schoolbook" w:cs="Times New Roman"/>
          <w:vertAlign w:val="superscript"/>
        </w:rPr>
        <w:endnoteReference w:id="546"/>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Plaintiffs seeking to introduce NEISS data cannot demonstrate that any of the other incidents in the NEISS database occurred under similar, much less substantially similar, circumstances.  Plaintiffs cannot conduct any meaningful discovery into the accidents that are reported in the NEISS database—which is a critical issue, because the database alone provides almost no information about the nature of the other accidents.  Indeed, the NEISS data lacks sufficient information from which the parties could determine such critical information as: (1) the name of the injured party; (2) the manufacturer of the product involved; (3) the specific model of the product; (4)  how the product was being used at the time of the incident; (5) the exact nature of the work being performed; (6) the experience of the product’s user; (7) whether the product was being operated in accordance with its </w:t>
      </w:r>
      <w:r w:rsidRPr="00C9065B">
        <w:rPr>
          <w:rFonts w:ascii="Century Schoolbook" w:eastAsia="Times New Roman" w:hAnsi="Century Schoolbook" w:cs="Times New Roman"/>
        </w:rPr>
        <w:lastRenderedPageBreak/>
        <w:t xml:space="preserve">instructions; and (8) whether the product had been improperly altered or damaged.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The NEISS database’s summaries of hearsay accounts of how an incident occurred are insufficient to demonstrate the required substantial similarity.  The NEISS database generally provides only a brief accident description, often stating nothing more than the indication that a patient was, for instance, injured while using a table or bench saw.</w:t>
      </w:r>
      <w:r w:rsidRPr="00C9065B">
        <w:rPr>
          <w:rFonts w:ascii="Century Schoolbook" w:eastAsia="Times New Roman" w:hAnsi="Century Schoolbook" w:cs="Times New Roman"/>
          <w:vertAlign w:val="superscript"/>
        </w:rPr>
        <w:endnoteReference w:id="547"/>
      </w:r>
      <w:r w:rsidRPr="00C9065B">
        <w:rPr>
          <w:rFonts w:ascii="Century Schoolbook" w:eastAsia="Times New Roman" w:hAnsi="Century Schoolbook" w:cs="Times New Roman"/>
        </w:rPr>
        <w:t xml:space="preserve">  Because plaintiffs cannot investigate how the accidents reported in the NEISS database happened, or even what type of product was involved in each of the other accidents, plaintiffs cannot demonstrate that those other accidents happened under conditions that were even remotely similar, much less substantially similar, to their accident.  Moreover, because the NEISS database does not identify specific product manufacturers, it is impossible to identify which other accidents even involved a product made by the same manufacturer, much less that it was the specific product model at issue in the particular case.  Thus, a plaintiff will be unable to establish that the products involved in the other incidents in the NEISS data and in his incident “shared a common design and manufacturing process; [and] suffered </w:t>
      </w:r>
      <w:r w:rsidRPr="00C9065B">
        <w:rPr>
          <w:rFonts w:ascii="Century Schoolbook" w:eastAsia="Times New Roman" w:hAnsi="Century Schoolbook" w:cs="Times New Roman"/>
        </w:rPr>
        <w:lastRenderedPageBreak/>
        <w:t>from a common defect; and . . . that any common defects shared the same causation.”</w:t>
      </w:r>
      <w:r w:rsidRPr="00C9065B">
        <w:rPr>
          <w:rFonts w:ascii="Century Schoolbook" w:eastAsia="Times New Roman" w:hAnsi="Century Schoolbook" w:cs="Times New Roman"/>
          <w:vertAlign w:val="superscript"/>
        </w:rPr>
        <w:endnoteReference w:id="548"/>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rPr>
          <w:rFonts w:ascii="Century Schoolbook" w:eastAsia="Times New Roman" w:hAnsi="Century Schoolbook" w:cs="Times New Roman"/>
        </w:rPr>
      </w:pPr>
    </w:p>
    <w:p w:rsidR="00CB516E" w:rsidRDefault="00C9065B" w:rsidP="00CA5B7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With regard to table saw or bench saw data, for example, the limited information in the NEISS database reveals that many accidents did not even involve a blade contact injury and therefore did not occur under substantially similar circumstances.</w:t>
      </w:r>
      <w:r w:rsidRPr="00C9065B">
        <w:rPr>
          <w:rFonts w:ascii="Century Schoolbook" w:eastAsia="Times New Roman" w:hAnsi="Century Schoolbook" w:cs="Times New Roman"/>
          <w:vertAlign w:val="superscript"/>
        </w:rPr>
        <w:endnoteReference w:id="549"/>
      </w:r>
      <w:r w:rsidRPr="00C9065B">
        <w:rPr>
          <w:rFonts w:ascii="Century Schoolbook" w:eastAsia="Times New Roman" w:hAnsi="Century Schoolbook" w:cs="Times New Roman"/>
        </w:rPr>
        <w:t xml:space="preserve">  As a result, many of the accidents are facially irrelevant and should not be admitted into evidence or included in statistical extrapolations that plaintiffs might offer at trial.  Furthermore, the dissimilar accidents taint the extrapolated statistical conclusions which are drawn from the data, particularly given the large degree of extrapolation which is made from the limited number of actual incidents.  </w:t>
      </w:r>
    </w:p>
    <w:p w:rsidR="00C9065B" w:rsidRPr="00C9065B" w:rsidRDefault="00C9065B" w:rsidP="00C9065B">
      <w:pPr>
        <w:tabs>
          <w:tab w:val="left" w:pos="540"/>
        </w:tabs>
        <w:spacing w:after="0"/>
        <w:rPr>
          <w:rFonts w:ascii="Century Schoolbook" w:eastAsia="Times New Roman" w:hAnsi="Century Schoolbook" w:cs="Times New Roman"/>
          <w:b/>
          <w:bCs/>
          <w:iCs/>
        </w:rPr>
      </w:pPr>
    </w:p>
    <w:p w:rsidR="00C9065B" w:rsidRPr="00C9065B" w:rsidRDefault="00C9065B" w:rsidP="00583044">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C. The NEISS Data and</w:t>
      </w:r>
    </w:p>
    <w:p w:rsidR="00C9065B" w:rsidRPr="00C9065B" w:rsidRDefault="00C9065B" w:rsidP="00583044">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Statistical Conclusions Derived from It Are Unduly Prejudicial and Confusing</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Even if a plaintiff were able to overcome the hearsay problems and prove that the other incidents contained in the NEISS data were substantially similar to the facts and circumstances of his case, courts should still exclude this evidence because there is a “danger of unfair </w:t>
      </w:r>
      <w:r w:rsidRPr="00C9065B">
        <w:rPr>
          <w:rFonts w:ascii="Century Schoolbook" w:eastAsia="Times New Roman" w:hAnsi="Century Schoolbook" w:cs="Times New Roman"/>
        </w:rPr>
        <w:lastRenderedPageBreak/>
        <w:t>prejudice, confusion of the issues, or misleading the jury.”</w:t>
      </w:r>
      <w:r w:rsidRPr="00C9065B">
        <w:rPr>
          <w:rFonts w:ascii="Century Schoolbook" w:eastAsia="Times New Roman" w:hAnsi="Century Schoolbook" w:cs="Times New Roman"/>
          <w:vertAlign w:val="superscript"/>
        </w:rPr>
        <w:endnoteReference w:id="550"/>
      </w:r>
      <w:r w:rsidRPr="00C9065B">
        <w:rPr>
          <w:rFonts w:ascii="Century Schoolbook" w:eastAsia="Times New Roman" w:hAnsi="Century Schoolbook" w:cs="Times New Roman"/>
        </w:rPr>
        <w:t xml:space="preserve">  Evidence of other incidents or accidents tends to inject collateral issues and to divert the jury’s attention from the matter directly in controversy.  Even if a substantial similarity of circumstances is established, a court still has broad discretion to “exclude otherwise relevant evidence when its probative value is substantially outweighed by the risk that its admission will create substantial danger of undue prejudice or of confusing the issues or misleading the jury.”</w:t>
      </w:r>
      <w:r w:rsidRPr="00C9065B">
        <w:rPr>
          <w:rFonts w:ascii="Century Schoolbook" w:eastAsia="Times New Roman" w:hAnsi="Century Schoolbook" w:cs="Times New Roman"/>
          <w:vertAlign w:val="superscript"/>
        </w:rPr>
        <w:endnoteReference w:id="551"/>
      </w:r>
      <w:r w:rsidRPr="00C9065B">
        <w:rPr>
          <w:rFonts w:ascii="Century Schoolbook" w:eastAsia="Times New Roman" w:hAnsi="Century Schoolbook" w:cs="Times New Roman"/>
        </w:rPr>
        <w:t xml:space="preserve">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As federal courts across the country have observed, juries tend to consider evidence of other incidents as proof of product defect, negligence, or causation, rather than as notice of a potential defect.</w:t>
      </w:r>
      <w:r w:rsidRPr="00C9065B">
        <w:rPr>
          <w:rFonts w:ascii="Century Schoolbook" w:eastAsia="Times New Roman" w:hAnsi="Century Schoolbook" w:cs="Times New Roman"/>
          <w:vertAlign w:val="superscript"/>
        </w:rPr>
        <w:endnoteReference w:id="552"/>
      </w:r>
      <w:r w:rsidRPr="00C9065B">
        <w:rPr>
          <w:rFonts w:ascii="Century Schoolbook" w:eastAsia="Times New Roman" w:hAnsi="Century Schoolbook" w:cs="Times New Roman"/>
        </w:rPr>
        <w:t xml:space="preserve">  Accordingly, to the extent that the jury considers evidence of other incidents contained in the NEISS data as proof of product defect, negligence, or causation, rather than as notice of a potential defect, such evidence gives rise to a particularly dangerous form of unfair prejudice against the defendant which could lead to an erroneous finding of liability.  Plaintiffs may attempt to introduce the NEISS data and statistical conclusions drawn from that data to show that there are thousands of accidents in the United </w:t>
      </w:r>
      <w:r w:rsidRPr="00C9065B">
        <w:rPr>
          <w:rFonts w:ascii="Century Schoolbook" w:eastAsia="Times New Roman" w:hAnsi="Century Schoolbook" w:cs="Times New Roman"/>
        </w:rPr>
        <w:lastRenderedPageBreak/>
        <w:t xml:space="preserve">States each year involving a particular class of consumer product and that, correspondingly, all similar products – including the ones involved in their accidents – must be defectively designed.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This unfair prejudice is compounded if plaintiffs are allowed to establish this premise solely through documentary evidence of other unrelated incidents that are set out in the NEISS data.  Because the defendant would not be able to challenge the circumstances of the other incidents, the other, unknown injured parties essentially would be testifying against the defendant without being subject to cross-examination.  It would be prejudicial to allow the jury to infer that the product at issue is defective simply because individuals who have not been called to testify at trial have asserted that, at some point, they had some type of incident involving some type of arguably similar product.  In contrast, the probative value of the other-incident evidence from the NEISS database is negligible in light of the unreliability of the evidence and the lack of any proof as to the particular circumstances surrounding those other incidents.   </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A5B74" w:rsidRDefault="00C9065B" w:rsidP="00CA5B7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Moreover, evidence of other incidents could confuse the jury by </w:t>
      </w:r>
      <w:r w:rsidRPr="00C9065B">
        <w:rPr>
          <w:rFonts w:ascii="Century Schoolbook" w:eastAsia="Times New Roman" w:hAnsi="Century Schoolbook" w:cs="Times New Roman"/>
        </w:rPr>
        <w:lastRenderedPageBreak/>
        <w:t>focusing their attention on collateral issues that are not relevant to the case.  “[T]he danger [in allowing a plaintiff to introduce the NEISS data and conclusions] is that the parties will have to litigate the truth of the allegations in each of the [other] complaints, resulting in a multitude of mini-trials and diverting the focus from the incident at issue.”</w:t>
      </w:r>
      <w:r w:rsidRPr="00C9065B">
        <w:rPr>
          <w:rFonts w:ascii="Century Schoolbook" w:eastAsia="Times New Roman" w:hAnsi="Century Schoolbook" w:cs="Times New Roman"/>
          <w:vertAlign w:val="superscript"/>
        </w:rPr>
        <w:endnoteReference w:id="553"/>
      </w:r>
      <w:r w:rsidRPr="00C9065B">
        <w:rPr>
          <w:rFonts w:ascii="Century Schoolbook" w:eastAsia="Times New Roman" w:hAnsi="Century Schoolbook" w:cs="Times New Roman"/>
        </w:rPr>
        <w:t xml:space="preserve">  Establishing either similarity or dissimilarity of even one other incident could take much of the court’s time.  In short, any probative value of telling the jury through the NEISS data that other incidents occurred is substantially outweighed by the potential for unfair prejudice to the defendant, by the potential for confusing the jury, and by the waste of judicial time and resources.  </w:t>
      </w:r>
    </w:p>
    <w:p w:rsidR="003F419C" w:rsidRPr="00C9065B" w:rsidRDefault="003F419C" w:rsidP="00C9065B">
      <w:pPr>
        <w:tabs>
          <w:tab w:val="left" w:pos="540"/>
        </w:tabs>
        <w:spacing w:after="0"/>
        <w:rPr>
          <w:rFonts w:ascii="Century Schoolbook" w:eastAsia="Times New Roman" w:hAnsi="Century Schoolbook" w:cs="Times New Roman"/>
          <w:b/>
          <w:bCs/>
          <w:iCs/>
          <w:u w:val="single"/>
        </w:rPr>
      </w:pPr>
    </w:p>
    <w:p w:rsidR="00C9065B" w:rsidRPr="00C9065B" w:rsidRDefault="00583044" w:rsidP="00583044">
      <w:pPr>
        <w:tabs>
          <w:tab w:val="left" w:pos="540"/>
        </w:tabs>
        <w:spacing w:after="0"/>
        <w:jc w:val="center"/>
        <w:rPr>
          <w:rFonts w:ascii="Century Schoolbook" w:eastAsia="Times New Roman" w:hAnsi="Century Schoolbook" w:cs="Times New Roman"/>
          <w:b/>
          <w:bCs/>
          <w:iCs/>
        </w:rPr>
      </w:pPr>
      <w:r>
        <w:rPr>
          <w:rFonts w:ascii="Century Schoolbook" w:eastAsia="Times New Roman" w:hAnsi="Century Schoolbook" w:cs="Times New Roman"/>
          <w:b/>
          <w:bCs/>
          <w:iCs/>
        </w:rPr>
        <w:t xml:space="preserve">D. </w:t>
      </w:r>
      <w:r w:rsidR="00C9065B" w:rsidRPr="00C9065B">
        <w:rPr>
          <w:rFonts w:ascii="Century Schoolbook" w:eastAsia="Times New Roman" w:hAnsi="Century Schoolbook" w:cs="Times New Roman"/>
          <w:b/>
          <w:bCs/>
          <w:iCs/>
        </w:rPr>
        <w:t>“Societal Costs” Evidence Based on NEISS Data Is Also Irrelevant and Unduly Prejudicial</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There is no support for admission of the “societal cost” calculations to which a plaintiff’s expert may testify in weighing the costs associated with a particular product design against the design’s usefulness.  In recent products liability cases involving table saws, the plaintiffs sought to present expert testimony regarding the “societal costs” from table saw injuries, which the CSPC estimates to </w:t>
      </w:r>
      <w:r w:rsidRPr="00C9065B">
        <w:rPr>
          <w:rFonts w:ascii="Century Schoolbook" w:eastAsia="Times New Roman" w:hAnsi="Century Schoolbook" w:cs="Times New Roman"/>
        </w:rPr>
        <w:lastRenderedPageBreak/>
        <w:t xml:space="preserve">be approximately $2 billion per year.  Starting with this aggregate amount, the experts estimated that there are eight million table saws currently in use in the United States, and that each table saw thus generates on average $2,000 in “societal costs” over its lifetime, assuming a ten-year product life.  The experts compared this “societal cost” to the typical price of a table saw, which they claimed ranges from $250 to $500, and concluded that each table saw costs society at least four times more in injury-related costs than the price of the saw itself.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Factors that Georgia courts consider in balancing the risks inherent in a product design against the utility or benefit derived from the product include: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usefulness of the product; the gravity and severity of the danger posed by the design; the likelihood of that danger; the avoidability of the danger, </w:t>
      </w:r>
      <w:r w:rsidRPr="00C9065B">
        <w:rPr>
          <w:rFonts w:ascii="Century Schoolbook" w:eastAsia="Times New Roman" w:hAnsi="Century Schoolbook" w:cs="Times New Roman"/>
          <w:i/>
        </w:rPr>
        <w:t>i.e.</w:t>
      </w:r>
      <w:r w:rsidRPr="00C9065B">
        <w:rPr>
          <w:rFonts w:ascii="Century Schoolbook" w:eastAsia="Times New Roman" w:hAnsi="Century Schoolbook" w:cs="Times New Roman"/>
        </w:rPr>
        <w:t xml:space="preserve">, the user’s knowledge of the product, publicity surrounding the danger, or the efficacy of warnings, as well as common knowledge and the expectation of </w:t>
      </w:r>
      <w:r w:rsidRPr="00C9065B">
        <w:rPr>
          <w:rFonts w:ascii="Century Schoolbook" w:eastAsia="Times New Roman" w:hAnsi="Century Schoolbook" w:cs="Times New Roman"/>
        </w:rPr>
        <w:lastRenderedPageBreak/>
        <w:t>danger; the user’s ability to avoid danger; the state of the art at the time the product is manufactured; the ability to eliminate danger without impairing the usefulness of the product or making it too expensive; and the feasibility of spreading the loss in the setting of the product’s price or by purchasing insurance.</w:t>
      </w:r>
      <w:r w:rsidRPr="00C9065B">
        <w:rPr>
          <w:rFonts w:ascii="Century Schoolbook" w:eastAsia="Times New Roman" w:hAnsi="Century Schoolbook" w:cs="Times New Roman"/>
          <w:vertAlign w:val="superscript"/>
        </w:rPr>
        <w:endnoteReference w:id="554"/>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Although courts have pointed out that these factors are not exclusive and will vary depending on the facts of each case, none of the cases from Georgia’s state or federal courts look to the costs to society from injuries associated with a </w:t>
      </w:r>
      <w:r w:rsidRPr="00C9065B">
        <w:rPr>
          <w:rFonts w:ascii="Century Schoolbook" w:eastAsia="Times New Roman" w:hAnsi="Century Schoolbook" w:cs="Times New Roman"/>
          <w:i/>
        </w:rPr>
        <w:t>particular class</w:t>
      </w:r>
      <w:r w:rsidRPr="00C9065B">
        <w:rPr>
          <w:rFonts w:ascii="Century Schoolbook" w:eastAsia="Times New Roman" w:hAnsi="Century Schoolbook" w:cs="Times New Roman"/>
        </w:rPr>
        <w:t xml:space="preserve"> of product in performing a risk-utility analysis of the product’s design.</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Besides the fact that the CPSC’s $2 billion figure is based on NEISS data, which is unreliable and inadmissible, the CPSC itself acknowledges that the cost estimates are mere indices, not actual estimates of expected injury cost reduction, and are to be used for purposes of comparison only.</w:t>
      </w:r>
      <w:r w:rsidRPr="00C9065B">
        <w:rPr>
          <w:rFonts w:ascii="Century Schoolbook" w:eastAsia="Times New Roman" w:hAnsi="Century Schoolbook" w:cs="Times New Roman"/>
          <w:vertAlign w:val="superscript"/>
        </w:rPr>
        <w:endnoteReference w:id="555"/>
      </w:r>
      <w:r w:rsidRPr="00C9065B">
        <w:rPr>
          <w:rFonts w:ascii="Century Schoolbook" w:eastAsia="Times New Roman" w:hAnsi="Century Schoolbook" w:cs="Times New Roman"/>
        </w:rPr>
        <w:t xml:space="preserve">  In addition, estimates of eight million saws in use and a ten-year product life are </w:t>
      </w:r>
      <w:r w:rsidRPr="00C9065B">
        <w:rPr>
          <w:rFonts w:ascii="Century Schoolbook" w:eastAsia="Times New Roman" w:hAnsi="Century Schoolbook" w:cs="Times New Roman"/>
        </w:rPr>
        <w:lastRenderedPageBreak/>
        <w:t xml:space="preserve">speculative, particularly where such evidence cannot be shown to relate to the particular make and model of product at issue in a given case.  Such evidence has no bearing on the determination of whether the defendant manufacturers designed a defective product or what damages, if any, plaintiffs sustained as a result of their accidents.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As at least one court has held specifically with regard to such evidence derived from </w:t>
      </w:r>
      <w:r w:rsidRPr="00C9065B">
        <w:rPr>
          <w:rFonts w:ascii="Century Schoolbook" w:eastAsia="Times New Roman" w:hAnsi="Century Schoolbook" w:cs="Times New Roman"/>
          <w:i/>
        </w:rPr>
        <w:t>NEISS</w:t>
      </w:r>
      <w:r w:rsidRPr="00C9065B">
        <w:rPr>
          <w:rFonts w:ascii="Century Schoolbook" w:eastAsia="Times New Roman" w:hAnsi="Century Schoolbook" w:cs="Times New Roman"/>
        </w:rPr>
        <w:t xml:space="preserve"> data that there is no legal support for the admissibility of such “cost to society” testimony.</w:t>
      </w:r>
      <w:r w:rsidRPr="00C9065B">
        <w:rPr>
          <w:rFonts w:ascii="Century Schoolbook" w:eastAsia="Times New Roman" w:hAnsi="Century Schoolbook" w:cs="Times New Roman"/>
          <w:vertAlign w:val="superscript"/>
        </w:rPr>
        <w:endnoteReference w:id="556"/>
      </w:r>
      <w:r w:rsidRPr="00C9065B">
        <w:rPr>
          <w:rFonts w:ascii="Century Schoolbook" w:eastAsia="Times New Roman" w:hAnsi="Century Schoolbook" w:cs="Times New Roman"/>
        </w:rPr>
        <w:t xml:space="preserv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although holding that NEISS data is “arguably relevant to demonstrate that the defendants had notice of the risks involved in their products,” nevertheless concluded that “it is a much bigger stretch to say that CPSC’s extrapolation of the </w:t>
      </w:r>
      <w:r w:rsidRPr="00C9065B">
        <w:rPr>
          <w:rFonts w:ascii="Century Schoolbook" w:eastAsia="Times New Roman" w:hAnsi="Century Schoolbook" w:cs="Times New Roman"/>
          <w:bCs/>
        </w:rPr>
        <w:t>societal</w:t>
      </w:r>
      <w:r w:rsidRPr="00C9065B">
        <w:rPr>
          <w:rFonts w:ascii="Century Schoolbook" w:eastAsia="Times New Roman" w:hAnsi="Century Schoolbook" w:cs="Times New Roman"/>
        </w:rPr>
        <w:t xml:space="preserve"> </w:t>
      </w:r>
      <w:r w:rsidRPr="00C9065B">
        <w:rPr>
          <w:rFonts w:ascii="Century Schoolbook" w:eastAsia="Times New Roman" w:hAnsi="Century Schoolbook" w:cs="Times New Roman"/>
          <w:bCs/>
        </w:rPr>
        <w:t>costs</w:t>
      </w:r>
      <w:r w:rsidRPr="00C9065B">
        <w:rPr>
          <w:rFonts w:ascii="Century Schoolbook" w:eastAsia="Times New Roman" w:hAnsi="Century Schoolbook" w:cs="Times New Roman"/>
        </w:rPr>
        <w:t xml:space="preserve"> of injuries caused by all table saws – which it clarifies are not ‘actual estimates’ – are relevant to the question whether the design benefits of the [table saw at issue] outweigh its risks. . . .  This court remains unconvinced that a prediction of the total societal costs of injuries caused by all table saws is probative of the risks and benefits inherent in the particular design of the” table saw at issue.</w:t>
      </w:r>
      <w:r w:rsidRPr="00C9065B">
        <w:rPr>
          <w:rFonts w:ascii="Century Schoolbook" w:eastAsia="Times New Roman" w:hAnsi="Century Schoolbook" w:cs="Times New Roman"/>
          <w:vertAlign w:val="superscript"/>
        </w:rPr>
        <w:endnoteReference w:id="557"/>
      </w:r>
      <w:r w:rsidRPr="00C9065B">
        <w:rPr>
          <w:rFonts w:ascii="Century Schoolbook" w:eastAsia="Times New Roman" w:hAnsi="Century Schoolbook" w:cs="Times New Roman"/>
        </w:rPr>
        <w:t xml:space="preserve">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lastRenderedPageBreak/>
        <w:t xml:space="preserve">The fact that the societal cost figure is based on </w:t>
      </w:r>
      <w:r w:rsidRPr="00C9065B">
        <w:rPr>
          <w:rFonts w:ascii="Century Schoolbook" w:eastAsia="Times New Roman" w:hAnsi="Century Schoolbook" w:cs="Times New Roman"/>
          <w:i/>
        </w:rPr>
        <w:t>all types</w:t>
      </w:r>
      <w:r w:rsidRPr="00C9065B">
        <w:rPr>
          <w:rFonts w:ascii="Century Schoolbook" w:eastAsia="Times New Roman" w:hAnsi="Century Schoolbook" w:cs="Times New Roman"/>
        </w:rPr>
        <w:t xml:space="preserve"> of injuries related to an </w:t>
      </w:r>
      <w:r w:rsidRPr="00C9065B">
        <w:rPr>
          <w:rFonts w:ascii="Century Schoolbook" w:eastAsia="Times New Roman" w:hAnsi="Century Schoolbook" w:cs="Times New Roman"/>
          <w:i/>
        </w:rPr>
        <w:t>entire clas</w:t>
      </w:r>
      <w:r w:rsidRPr="00C9065B">
        <w:rPr>
          <w:rFonts w:ascii="Century Schoolbook" w:eastAsia="Times New Roman" w:hAnsi="Century Schoolbook" w:cs="Times New Roman"/>
        </w:rPr>
        <w:t xml:space="preserve">s of consumer product, regardless of model or manufacturer, is also likely to confuse the jury with respect to the cost of injuries related to the specific model of product involved in the plaintiff’s injury, a figure that cannot be determined from NEISS data.  </w:t>
      </w:r>
    </w:p>
    <w:p w:rsidR="00C9065B" w:rsidRPr="00C9065B" w:rsidRDefault="00C9065B" w:rsidP="00C9065B">
      <w:pPr>
        <w:tabs>
          <w:tab w:val="left" w:pos="540"/>
        </w:tabs>
        <w:spacing w:after="0"/>
        <w:rPr>
          <w:rFonts w:ascii="Century Schoolbook" w:eastAsia="Times New Roman" w:hAnsi="Century Schoolbook" w:cs="Times New Roman"/>
          <w:b/>
          <w:bCs/>
          <w:iCs/>
          <w:u w:val="single"/>
        </w:rPr>
      </w:pPr>
    </w:p>
    <w:p w:rsidR="00C9065B" w:rsidRPr="00C9065B" w:rsidRDefault="00C9065B" w:rsidP="00583044">
      <w:pPr>
        <w:tabs>
          <w:tab w:val="left" w:pos="540"/>
        </w:tabs>
        <w:spacing w:after="0"/>
        <w:jc w:val="center"/>
        <w:rPr>
          <w:rFonts w:ascii="Century Schoolbook" w:eastAsia="Times New Roman" w:hAnsi="Century Schoolbook" w:cs="Times New Roman"/>
          <w:b/>
          <w:bCs/>
          <w:iCs/>
        </w:rPr>
      </w:pPr>
      <w:r w:rsidRPr="00C9065B">
        <w:rPr>
          <w:rFonts w:ascii="Century Schoolbook" w:eastAsia="Times New Roman" w:hAnsi="Century Schoolbook" w:cs="Times New Roman"/>
          <w:b/>
          <w:bCs/>
          <w:iCs/>
        </w:rPr>
        <w:t>E.  Evidence from the NEISS Database Is Not Admissible as a Foundation for Expert Opinions</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In an attempt to circumvent these valid arguments against the admissibility of such evidence, plaintiffs have sought to introduce the NEISS data and the extrapolated statistics derived from the data as a foundation for their experts’ opinions.  An expert’s testimony, however, may not be used merely as a conduit for the introduction of the otherwise inadmissible evidence on which the expert relied in forming his opinion.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O.C.G.A. § 24-7-703 states in part:</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left="720" w:right="72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The facts or data in the particular proceeding upon which an expert bases an opinion or inference may be those perceived by or made known to the expert at </w:t>
      </w:r>
      <w:r w:rsidRPr="00C9065B">
        <w:rPr>
          <w:rFonts w:ascii="Century Schoolbook" w:eastAsia="Times New Roman" w:hAnsi="Century Schoolbook" w:cs="Times New Roman"/>
        </w:rPr>
        <w:lastRenderedPageBreak/>
        <w:t xml:space="preserve">or before the hearing.  If of a type reasonably relied upon by experts in the particular field in forming opinions or inferences upon the subject, such facts or data need not be admissible in evidence in order for the opinion or inference to be admitted.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Thus, although an expert may base his testimony on material that is inadmissible, the proponent of such testimony must demonstrate that the otherwise inadmissible evidence is “of a type reasonably relied upon by experts in the particular field in forming opinions or inferences upon the subject.”  Plaintiffs cannot establish that experts in the field of, for instance, table saw design reasonably rely on the NEISS data and, more specifically, the extrapolated statistics of “related” incidents, in forming opinions on the subject of table saw design.  Indeed, the CPSC itself advises </w:t>
      </w:r>
      <w:r w:rsidRPr="00C9065B">
        <w:rPr>
          <w:rFonts w:ascii="Century Schoolbook" w:eastAsia="Times New Roman" w:hAnsi="Century Schoolbook" w:cs="Times New Roman"/>
          <w:i/>
        </w:rPr>
        <w:t>against</w:t>
      </w:r>
      <w:r w:rsidRPr="00C9065B">
        <w:rPr>
          <w:rFonts w:ascii="Century Schoolbook" w:eastAsia="Times New Roman" w:hAnsi="Century Schoolbook" w:cs="Times New Roman"/>
        </w:rPr>
        <w:t xml:space="preserve"> relying on the data as a basis for determining the number of accidents </w:t>
      </w:r>
      <w:r w:rsidRPr="00C9065B">
        <w:rPr>
          <w:rFonts w:ascii="Century Schoolbook" w:eastAsia="Times New Roman" w:hAnsi="Century Schoolbook" w:cs="Times New Roman"/>
          <w:i/>
        </w:rPr>
        <w:t>caused</w:t>
      </w:r>
      <w:r w:rsidRPr="00C9065B">
        <w:rPr>
          <w:rFonts w:ascii="Century Schoolbook" w:eastAsia="Times New Roman" w:hAnsi="Century Schoolbook" w:cs="Times New Roman"/>
        </w:rPr>
        <w:t xml:space="preserve"> by a product – which is how plaintiffs’ experts might be expected to rely on the evidence at trial.  </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lastRenderedPageBreak/>
        <w:t xml:space="preserve">The second prong of O.C.G.A. § 24-7-703 – that inadmissible evidence may be disclosed to the jury if its probative value substantially outweighs its prejudicial effect – also requires exclusion of such evidence.  As discussed above, the NEISS data and the conclusions drawn from it are highly prejudicial to defendant manufacturers, and the probative value of such evidence is negligible in light of the unreliability of the evidence and the lack of any proof as to the particular circumstances surrounding the other incidents referenced in the NEISS data.  </w:t>
      </w:r>
    </w:p>
    <w:p w:rsidR="00C9065B" w:rsidRDefault="00C9065B" w:rsidP="00C9065B">
      <w:pPr>
        <w:tabs>
          <w:tab w:val="left" w:pos="540"/>
        </w:tabs>
        <w:spacing w:after="0"/>
        <w:rPr>
          <w:rFonts w:ascii="Century Schoolbook" w:eastAsia="Times New Roman" w:hAnsi="Century Schoolbook" w:cs="Times New Roman"/>
        </w:rPr>
      </w:pPr>
    </w:p>
    <w:p w:rsidR="003F419C" w:rsidRPr="00C9065B" w:rsidRDefault="003F419C"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left="540" w:hanging="540"/>
        <w:rPr>
          <w:rFonts w:ascii="Century Schoolbook" w:eastAsia="Times New Roman" w:hAnsi="Century Schoolbook" w:cs="Times New Roman"/>
          <w:b/>
          <w:bCs/>
        </w:rPr>
      </w:pPr>
      <w:r w:rsidRPr="00C9065B">
        <w:rPr>
          <w:rFonts w:ascii="Century Schoolbook" w:eastAsia="Times New Roman" w:hAnsi="Century Schoolbook" w:cs="Times New Roman"/>
          <w:b/>
          <w:bCs/>
        </w:rPr>
        <w:t>III.</w:t>
      </w:r>
      <w:r w:rsidRPr="00C9065B">
        <w:rPr>
          <w:rFonts w:ascii="Century Schoolbook" w:eastAsia="Times New Roman" w:hAnsi="Century Schoolbook" w:cs="Times New Roman"/>
          <w:b/>
          <w:bCs/>
        </w:rPr>
        <w:tab/>
        <w:t>Conclusion</w:t>
      </w:r>
    </w:p>
    <w:p w:rsidR="00C9065B" w:rsidRPr="00C9065B" w:rsidRDefault="00C9065B" w:rsidP="00C9065B">
      <w:pPr>
        <w:tabs>
          <w:tab w:val="left" w:pos="540"/>
        </w:tabs>
        <w:spacing w:after="0"/>
        <w:rPr>
          <w:rFonts w:ascii="Century Schoolbook" w:eastAsia="Times New Roman" w:hAnsi="Century Schoolbook" w:cs="Times New Roman"/>
        </w:rPr>
      </w:pPr>
    </w:p>
    <w:p w:rsidR="00C9065B" w:rsidRPr="00C9065B" w:rsidRDefault="00C9065B" w:rsidP="00583044">
      <w:pPr>
        <w:tabs>
          <w:tab w:val="left" w:pos="540"/>
        </w:tabs>
        <w:spacing w:after="0"/>
        <w:ind w:firstLine="36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Evidence of other injuries involving consumer products that is gathered by the CPSC and published in its NEISS database should not be admitted into evidence in products liability cases.  The NEISS data consists of multiple layers of hearsay, the initial sources of which were patients and healthcare providers who were under no official duty to report the skeletal amount of information that ultimately finds its way into the NEISS database.  Although a federal court in Illinois ruled otherwise in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case, that decision was based on a flawed reading of the Seventh Circuit’s decision in </w:t>
      </w:r>
      <w:r w:rsidRPr="00C9065B">
        <w:rPr>
          <w:rFonts w:ascii="Century Schoolbook" w:eastAsia="Times New Roman" w:hAnsi="Century Schoolbook" w:cs="Times New Roman"/>
          <w:i/>
        </w:rPr>
        <w:t>Amoco Cadiz</w:t>
      </w:r>
      <w:r w:rsidRPr="00C9065B">
        <w:rPr>
          <w:rFonts w:ascii="Century Schoolbook" w:eastAsia="Times New Roman" w:hAnsi="Century Schoolbook" w:cs="Times New Roman"/>
        </w:rPr>
        <w:t xml:space="preserve"> and </w:t>
      </w:r>
      <w:r w:rsidRPr="00C9065B">
        <w:rPr>
          <w:rFonts w:ascii="Century Schoolbook" w:eastAsia="Times New Roman" w:hAnsi="Century Schoolbook" w:cs="Times New Roman"/>
        </w:rPr>
        <w:lastRenderedPageBreak/>
        <w:t xml:space="preserve">other cases.  Thus, to the extent that courts might rely on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decision as supporting the admission of NEISS data, defense counsel should urge the courts to look behind the </w:t>
      </w:r>
      <w:r w:rsidRPr="00C9065B">
        <w:rPr>
          <w:rFonts w:ascii="Century Schoolbook" w:eastAsia="Times New Roman" w:hAnsi="Century Schoolbook" w:cs="Times New Roman"/>
          <w:i/>
        </w:rPr>
        <w:t>Wielgus</w:t>
      </w:r>
      <w:r w:rsidRPr="00C9065B">
        <w:rPr>
          <w:rFonts w:ascii="Century Schoolbook" w:eastAsia="Times New Roman" w:hAnsi="Century Schoolbook" w:cs="Times New Roman"/>
        </w:rPr>
        <w:t xml:space="preserve"> court’s ultimate ruling – that the NEISS data satisfies the public records exception to the hearsay rule – to the unsound reasoning on which the ruling was based.</w:t>
      </w:r>
    </w:p>
    <w:p w:rsidR="00C9065B" w:rsidRPr="00C9065B" w:rsidRDefault="00C9065B" w:rsidP="00583044">
      <w:pPr>
        <w:tabs>
          <w:tab w:val="left" w:pos="540"/>
        </w:tabs>
        <w:spacing w:after="0"/>
        <w:jc w:val="both"/>
        <w:rPr>
          <w:rFonts w:ascii="Century Schoolbook" w:eastAsia="Times New Roman" w:hAnsi="Century Schoolbook" w:cs="Times New Roman"/>
        </w:rPr>
      </w:pPr>
    </w:p>
    <w:p w:rsidR="00C9065B" w:rsidRDefault="00C9065B" w:rsidP="00583044">
      <w:pPr>
        <w:tabs>
          <w:tab w:val="left" w:pos="540"/>
        </w:tabs>
        <w:spacing w:after="0"/>
        <w:jc w:val="both"/>
        <w:rPr>
          <w:rFonts w:ascii="Century Schoolbook" w:eastAsia="Times New Roman" w:hAnsi="Century Schoolbook" w:cs="Times New Roman"/>
        </w:rPr>
      </w:pPr>
      <w:r w:rsidRPr="00C9065B">
        <w:rPr>
          <w:rFonts w:ascii="Century Schoolbook" w:eastAsia="Times New Roman" w:hAnsi="Century Schoolbook" w:cs="Times New Roman"/>
        </w:rPr>
        <w:t xml:space="preserve">Evidence of or derived from the NEISS database is also irrelevant, due to the impossibility of showing any degree of similarity between the other incidents reflected in that data and the injury or accident at issue in a given products liability lawsuit.  If courts were to allow such evidence, then defendant manufacturers would be unfairly prejudiced by the plaintiffs’ arguments that the defendants’ products must have been defectively designed simply based on the number of other accidents involving – although not caused by – an entire class of consumer products to which the defendants’ products belong.  </w:t>
      </w:r>
    </w:p>
    <w:p w:rsidR="00CA5B74" w:rsidRDefault="00CA5B74" w:rsidP="00583044">
      <w:pPr>
        <w:tabs>
          <w:tab w:val="left" w:pos="540"/>
        </w:tabs>
        <w:spacing w:after="0"/>
        <w:jc w:val="both"/>
        <w:rPr>
          <w:rFonts w:ascii="Century Schoolbook" w:eastAsia="Times New Roman" w:hAnsi="Century Schoolbook" w:cs="Times New Roman"/>
        </w:rPr>
      </w:pPr>
    </w:p>
    <w:p w:rsidR="00CA5B74" w:rsidRDefault="00CA5B74" w:rsidP="00583044">
      <w:pPr>
        <w:tabs>
          <w:tab w:val="left" w:pos="540"/>
        </w:tabs>
        <w:spacing w:after="0"/>
        <w:jc w:val="both"/>
        <w:rPr>
          <w:rFonts w:ascii="Century Schoolbook" w:eastAsia="Times New Roman" w:hAnsi="Century Schoolbook" w:cs="Times New Roman"/>
        </w:rPr>
      </w:pPr>
    </w:p>
    <w:p w:rsidR="00583044" w:rsidRDefault="00583044" w:rsidP="00583044">
      <w:pPr>
        <w:tabs>
          <w:tab w:val="left" w:pos="540"/>
        </w:tabs>
        <w:spacing w:after="0"/>
        <w:jc w:val="both"/>
        <w:rPr>
          <w:rFonts w:ascii="Century Schoolbook" w:eastAsia="Times New Roman" w:hAnsi="Century Schoolbook" w:cs="Times New Roman"/>
        </w:rPr>
      </w:pPr>
    </w:p>
    <w:p w:rsidR="00583044" w:rsidRPr="00583044" w:rsidRDefault="00583044" w:rsidP="00583044">
      <w:pPr>
        <w:tabs>
          <w:tab w:val="left" w:pos="540"/>
        </w:tabs>
        <w:spacing w:after="0"/>
        <w:jc w:val="center"/>
        <w:rPr>
          <w:rFonts w:ascii="Century Schoolbook" w:eastAsia="Times New Roman" w:hAnsi="Century Schoolbook" w:cs="Times New Roman"/>
          <w:b/>
          <w:u w:val="single"/>
        </w:rPr>
      </w:pPr>
      <w:r w:rsidRPr="00583044">
        <w:rPr>
          <w:rFonts w:ascii="Century Schoolbook" w:eastAsia="Times New Roman" w:hAnsi="Century Schoolbook" w:cs="Times New Roman"/>
          <w:b/>
          <w:u w:val="single"/>
        </w:rPr>
        <w:t>End Notes</w:t>
      </w:r>
    </w:p>
    <w:p w:rsidR="009E7551" w:rsidRDefault="009E7551" w:rsidP="005C3E72">
      <w:pPr>
        <w:tabs>
          <w:tab w:val="left" w:pos="540"/>
        </w:tabs>
        <w:spacing w:after="0"/>
        <w:rPr>
          <w:rFonts w:ascii="Century Schoolbook" w:eastAsia="Times New Roman" w:hAnsi="Century Schoolbook" w:cs="Times New Roman"/>
          <w:sz w:val="19"/>
          <w:szCs w:val="19"/>
        </w:rPr>
      </w:pPr>
    </w:p>
    <w:p w:rsidR="003F419C" w:rsidRDefault="003F419C" w:rsidP="005C3E72">
      <w:pPr>
        <w:tabs>
          <w:tab w:val="left" w:pos="540"/>
        </w:tabs>
        <w:spacing w:after="0"/>
        <w:rPr>
          <w:rFonts w:ascii="Century Schoolbook" w:eastAsia="Times New Roman" w:hAnsi="Century Schoolbook" w:cs="Times New Roman"/>
          <w:sz w:val="19"/>
          <w:szCs w:val="19"/>
        </w:rPr>
        <w:sectPr w:rsidR="003F419C" w:rsidSect="00C9065B">
          <w:endnotePr>
            <w:numFmt w:val="decimal"/>
            <w:numRestart w:val="eachSect"/>
          </w:endnotePr>
          <w:type w:val="continuous"/>
          <w:pgSz w:w="12240" w:h="15840"/>
          <w:pgMar w:top="2520" w:right="1800" w:bottom="1440" w:left="1800" w:header="720" w:footer="720" w:gutter="0"/>
          <w:cols w:num="2" w:space="720"/>
          <w:docGrid w:linePitch="360"/>
        </w:sectPr>
      </w:pPr>
    </w:p>
    <w:p w:rsidR="00AB16BD" w:rsidRDefault="00AB16BD" w:rsidP="00237D7A">
      <w:pPr>
        <w:tabs>
          <w:tab w:val="left" w:pos="540"/>
        </w:tabs>
        <w:spacing w:after="0" w:line="240" w:lineRule="auto"/>
        <w:jc w:val="both"/>
        <w:rPr>
          <w:rFonts w:ascii="Century Schoolbook" w:eastAsia="Times New Roman" w:hAnsi="Century Schoolbook" w:cs="Times New Roman"/>
          <w:sz w:val="19"/>
          <w:szCs w:val="19"/>
        </w:rPr>
        <w:sectPr w:rsidR="00AB16BD" w:rsidSect="00D40664">
          <w:footerReference w:type="even" r:id="rId52"/>
          <w:footnotePr>
            <w:numRestart w:val="eachSect"/>
          </w:footnotePr>
          <w:endnotePr>
            <w:numFmt w:val="decimal"/>
            <w:numRestart w:val="eachSect"/>
          </w:endnotePr>
          <w:type w:val="continuous"/>
          <w:pgSz w:w="12240" w:h="15840"/>
          <w:pgMar w:top="1440" w:right="1800" w:bottom="1440" w:left="1800" w:header="1440" w:footer="1440" w:gutter="0"/>
          <w:cols w:num="2" w:space="720"/>
          <w:noEndnote/>
          <w:titlePg/>
          <w:docGrid w:linePitch="326"/>
        </w:sectPr>
      </w:pPr>
    </w:p>
    <w:p w:rsidR="007C2E8B" w:rsidRDefault="007C2E8B" w:rsidP="007C2E8B">
      <w:pPr>
        <w:pStyle w:val="GDLA"/>
        <w:sectPr w:rsidR="007C2E8B" w:rsidSect="0017250F">
          <w:endnotePr>
            <w:numFmt w:val="decimal"/>
          </w:endnotePr>
          <w:type w:val="continuous"/>
          <w:pgSz w:w="12240" w:h="15840"/>
          <w:pgMar w:top="1440" w:right="1800" w:bottom="1440" w:left="1800" w:header="720" w:footer="720" w:gutter="0"/>
          <w:cols w:space="720"/>
          <w:docGrid w:linePitch="360"/>
        </w:sectPr>
      </w:pPr>
    </w:p>
    <w:p w:rsidR="00AB16BD" w:rsidRDefault="007C2E8B" w:rsidP="005C27FD">
      <w:pPr>
        <w:pStyle w:val="GDLA"/>
        <w:outlineLvl w:val="0"/>
      </w:pPr>
      <w:bookmarkStart w:id="25" w:name="_Toc356227242"/>
      <w:r w:rsidRPr="007C2E8B">
        <w:lastRenderedPageBreak/>
        <w:t>Update on Federal Motor Carrier Safety Regulations and Georgia Regulations</w:t>
      </w:r>
      <w:bookmarkEnd w:id="25"/>
    </w:p>
    <w:p w:rsidR="0017250F" w:rsidRDefault="0017250F" w:rsidP="0017250F">
      <w:pPr>
        <w:tabs>
          <w:tab w:val="left" w:pos="540"/>
        </w:tabs>
        <w:spacing w:after="0" w:line="240" w:lineRule="auto"/>
        <w:jc w:val="center"/>
        <w:rPr>
          <w:rFonts w:ascii="Century Schoolbook" w:eastAsia="Times New Roman" w:hAnsi="Century Schoolbook" w:cs="Times New Roman"/>
          <w:b/>
          <w:sz w:val="24"/>
          <w:szCs w:val="24"/>
        </w:rPr>
        <w:sectPr w:rsidR="0017250F" w:rsidSect="0017250F">
          <w:endnotePr>
            <w:numFmt w:val="decimal"/>
          </w:endnotePr>
          <w:pgSz w:w="12240" w:h="15840"/>
          <w:pgMar w:top="1440" w:right="1800" w:bottom="1440" w:left="1800" w:header="720" w:footer="720" w:gutter="0"/>
          <w:cols w:space="720"/>
          <w:docGrid w:linePitch="360"/>
        </w:sectPr>
      </w:pPr>
    </w:p>
    <w:p w:rsidR="007C2E8B" w:rsidRDefault="007C2E8B" w:rsidP="0017250F">
      <w:pPr>
        <w:tabs>
          <w:tab w:val="left" w:pos="540"/>
        </w:tabs>
        <w:spacing w:after="0" w:line="240" w:lineRule="auto"/>
        <w:jc w:val="center"/>
        <w:rPr>
          <w:rFonts w:ascii="Century Schoolbook" w:eastAsia="Times New Roman" w:hAnsi="Century Schoolbook" w:cs="Times New Roman"/>
          <w:b/>
          <w:sz w:val="24"/>
          <w:szCs w:val="24"/>
        </w:rPr>
      </w:pPr>
    </w:p>
    <w:p w:rsidR="00237D7A" w:rsidRDefault="007C2E8B" w:rsidP="005C27FD">
      <w:pPr>
        <w:pStyle w:val="Author"/>
        <w:outlineLvl w:val="1"/>
      </w:pPr>
      <w:bookmarkStart w:id="26" w:name="_Toc356227243"/>
      <w:r>
        <w:t xml:space="preserve">By </w:t>
      </w:r>
      <w:r w:rsidR="00202417">
        <w:t>Alexander T. (“</w:t>
      </w:r>
      <w:r>
        <w:t>Alec</w:t>
      </w:r>
      <w:r w:rsidR="00202417">
        <w:t>”)</w:t>
      </w:r>
      <w:r>
        <w:t xml:space="preserve"> Galloway</w:t>
      </w:r>
      <w:r w:rsidR="00202417">
        <w:t>, III</w:t>
      </w:r>
      <w:bookmarkEnd w:id="26"/>
    </w:p>
    <w:p w:rsidR="0017250F" w:rsidRDefault="0017250F" w:rsidP="00F67E92">
      <w:pPr>
        <w:pStyle w:val="Author"/>
        <w:jc w:val="left"/>
      </w:pPr>
    </w:p>
    <w:p w:rsidR="0017250F" w:rsidRDefault="0017250F" w:rsidP="00F67E92">
      <w:pPr>
        <w:pStyle w:val="Author"/>
        <w:jc w:val="left"/>
        <w:sectPr w:rsidR="0017250F" w:rsidSect="0017250F">
          <w:endnotePr>
            <w:numFmt w:val="decimal"/>
          </w:endnotePr>
          <w:type w:val="continuous"/>
          <w:pgSz w:w="12240" w:h="15840"/>
          <w:pgMar w:top="1440" w:right="1800" w:bottom="1440" w:left="1800" w:header="720" w:footer="720" w:gutter="0"/>
          <w:cols w:space="720"/>
          <w:docGrid w:linePitch="360"/>
        </w:sectPr>
      </w:pPr>
    </w:p>
    <w:p w:rsidR="00F67E92" w:rsidRPr="00F67E92" w:rsidRDefault="00F67E92" w:rsidP="00F67E92">
      <w:pPr>
        <w:pStyle w:val="Author"/>
        <w:jc w:val="left"/>
      </w:pPr>
    </w:p>
    <w:p w:rsidR="00075FE4" w:rsidRPr="00F67E92" w:rsidRDefault="00075FE4" w:rsidP="00F67E92">
      <w:pPr>
        <w:pStyle w:val="Author"/>
        <w:jc w:val="left"/>
        <w:sectPr w:rsidR="00075FE4" w:rsidRPr="00F67E92" w:rsidSect="0017250F">
          <w:endnotePr>
            <w:numFmt w:val="decimal"/>
          </w:endnotePr>
          <w:type w:val="continuous"/>
          <w:pgSz w:w="12240" w:h="15840"/>
          <w:pgMar w:top="1440" w:right="1800" w:bottom="1440" w:left="1800" w:header="720" w:footer="720" w:gutter="0"/>
          <w:cols w:space="720"/>
          <w:docGrid w:linePitch="360"/>
        </w:sectPr>
      </w:pPr>
    </w:p>
    <w:p w:rsidR="00202417" w:rsidRDefault="00202417" w:rsidP="00123CB2">
      <w:pPr>
        <w:pBdr>
          <w:top w:val="single" w:sz="4" w:space="1" w:color="auto"/>
          <w:left w:val="single" w:sz="4" w:space="4" w:color="auto"/>
          <w:bottom w:val="single" w:sz="4" w:space="1" w:color="auto"/>
          <w:right w:val="single" w:sz="4" w:space="4" w:color="auto"/>
        </w:pBdr>
        <w:shd w:val="clear" w:color="auto" w:fill="81BAC5"/>
        <w:spacing w:after="0" w:line="240" w:lineRule="auto"/>
        <w:jc w:val="both"/>
        <w:rPr>
          <w:rFonts w:ascii="Century Schoolbook" w:eastAsia="Times New Roman" w:hAnsi="Century Schoolbook" w:cs="Times New Roman"/>
        </w:rPr>
      </w:pPr>
      <w:r>
        <w:rPr>
          <w:rFonts w:ascii="Century Schoolbook" w:eastAsia="Times New Roman" w:hAnsi="Century Schoolbook" w:cs="Times New Roman"/>
          <w:b/>
          <w:noProof/>
        </w:rPr>
        <w:drawing>
          <wp:anchor distT="0" distB="0" distL="114300" distR="114300" simplePos="0" relativeHeight="251675648" behindDoc="0" locked="0" layoutInCell="1" allowOverlap="1" wp14:anchorId="04C6BF60" wp14:editId="57A86B43">
            <wp:simplePos x="0" y="0"/>
            <wp:positionH relativeFrom="margin">
              <wp:posOffset>-47625</wp:posOffset>
            </wp:positionH>
            <wp:positionV relativeFrom="margin">
              <wp:posOffset>2038350</wp:posOffset>
            </wp:positionV>
            <wp:extent cx="923925" cy="1245870"/>
            <wp:effectExtent l="76200" t="76200" r="142875" b="12573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 cy="1245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62C70" w:rsidRPr="00662C70">
        <w:rPr>
          <w:rFonts w:ascii="Century Schoolbook" w:eastAsia="Times New Roman" w:hAnsi="Century Schoolbook" w:cs="Times New Roman"/>
          <w:b/>
        </w:rPr>
        <w:t>Alec Galloway</w:t>
      </w:r>
      <w:r w:rsidR="00662C70">
        <w:rPr>
          <w:rFonts w:ascii="Century Schoolbook" w:eastAsia="Times New Roman" w:hAnsi="Century Schoolbook" w:cs="Times New Roman"/>
        </w:rPr>
        <w:t xml:space="preserve"> </w:t>
      </w:r>
      <w:r w:rsidRPr="00202417">
        <w:rPr>
          <w:rFonts w:ascii="Century Schoolbook" w:eastAsia="Times New Roman" w:hAnsi="Century Schoolbook" w:cs="Times New Roman"/>
        </w:rPr>
        <w:t>is a partner with the law firm of Moore Ingram Johnson &amp; Steele, LLP and is licensed in both Georgia and Tennessee.  He represents clients in construction defect litigation, insurance coverage matters, trucking accidents, products liability and other serious injury cases.  He received his B.S. in 1990 from Susquehanna University and his J.D., cum laude, in 1993 from the Walter F. George School of Law of Mercer University. </w:t>
      </w:r>
    </w:p>
    <w:p w:rsidR="00662C70" w:rsidRDefault="00662C70" w:rsidP="0017250F">
      <w:pPr>
        <w:spacing w:after="0" w:line="240" w:lineRule="auto"/>
        <w:jc w:val="both"/>
        <w:rPr>
          <w:rFonts w:ascii="Century Schoolbook" w:eastAsia="Times New Roman" w:hAnsi="Century Schoolbook" w:cs="Times New Roman"/>
        </w:rPr>
      </w:pPr>
    </w:p>
    <w:p w:rsidR="00202417" w:rsidRDefault="00202417" w:rsidP="00202417">
      <w:pPr>
        <w:spacing w:after="0" w:line="240" w:lineRule="auto"/>
        <w:jc w:val="both"/>
        <w:rPr>
          <w:rFonts w:ascii="Century Schoolbook" w:eastAsia="Times New Roman" w:hAnsi="Century Schoolbook" w:cs="Times New Roman"/>
        </w:rPr>
      </w:pPr>
    </w:p>
    <w:p w:rsidR="00075FE4" w:rsidRPr="00075FE4" w:rsidRDefault="00075FE4" w:rsidP="00075FE4">
      <w:pPr>
        <w:numPr>
          <w:ilvl w:val="0"/>
          <w:numId w:val="23"/>
        </w:numPr>
        <w:tabs>
          <w:tab w:val="clear" w:pos="720"/>
        </w:tabs>
        <w:spacing w:after="0" w:line="240" w:lineRule="auto"/>
        <w:ind w:left="540" w:hanging="540"/>
        <w:jc w:val="both"/>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t>The Relationship Between Interstate and Intrastate Commerce in Georgia and Compliance with the HOS Regulations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Hours-of-Service (HOS) regulations were promulgated by Federal Motor Carrier Safety Association (FMCSA) to prevent fatigued drivers from operating on public roadways and are applicable to most drivers of property-carrying and passenger-carrying commercial motor vehicles (CMV).</w:t>
      </w:r>
      <w:r w:rsidRPr="00075FE4">
        <w:rPr>
          <w:rFonts w:ascii="Century Schoolbook" w:eastAsia="Times New Roman" w:hAnsi="Century Schoolbook" w:cs="Times New Roman"/>
          <w:sz w:val="24"/>
          <w:szCs w:val="24"/>
          <w:vertAlign w:val="superscript"/>
        </w:rPr>
        <w:endnoteReference w:id="558"/>
      </w:r>
      <w:r w:rsidRPr="00075FE4">
        <w:rPr>
          <w:rFonts w:ascii="Century Schoolbook" w:eastAsia="Times New Roman" w:hAnsi="Century Schoolbook" w:cs="Times New Roman"/>
          <w:sz w:val="24"/>
          <w:szCs w:val="24"/>
        </w:rPr>
        <w:t xml:space="preserve">  The FMCSA’s definition of a CMV </w:t>
      </w:r>
      <w:r w:rsidRPr="00075FE4">
        <w:rPr>
          <w:rFonts w:ascii="Century Schoolbook" w:eastAsia="Times New Roman" w:hAnsi="Century Schoolbook" w:cs="Times New Roman"/>
          <w:sz w:val="24"/>
          <w:szCs w:val="24"/>
        </w:rPr>
        <w:lastRenderedPageBreak/>
        <w:t>(within the context of the HOS regulations) is a truck, or truck-tractor with a trailer, which is used as part of business, involved in interstate commerce (</w:t>
      </w:r>
      <w:r w:rsidRPr="00075FE4">
        <w:rPr>
          <w:rFonts w:ascii="Century Schoolbook" w:eastAsia="Times New Roman" w:hAnsi="Century Schoolbook" w:cs="Times New Roman"/>
          <w:i/>
          <w:sz w:val="24"/>
          <w:szCs w:val="24"/>
        </w:rPr>
        <w:t>i.e.</w:t>
      </w:r>
      <w:r w:rsidRPr="00075FE4">
        <w:rPr>
          <w:rFonts w:ascii="Century Schoolbook" w:eastAsia="Times New Roman" w:hAnsi="Century Schoolbook" w:cs="Times New Roman"/>
          <w:sz w:val="24"/>
          <w:szCs w:val="24"/>
        </w:rPr>
        <w:t>, buying, selling, and transporting goods and services or, more generally, any work done in support of a business) and fits any of the following descriptions</w:t>
      </w:r>
      <w:r w:rsidRPr="00075FE4">
        <w:rPr>
          <w:rFonts w:ascii="Century Schoolbook" w:eastAsia="Times New Roman" w:hAnsi="Century Schoolbook" w:cs="Times New Roman"/>
          <w:sz w:val="24"/>
          <w:szCs w:val="24"/>
          <w:vertAlign w:val="superscript"/>
        </w:rPr>
        <w:endnoteReference w:id="559"/>
      </w:r>
      <w:r w:rsidRPr="00075FE4">
        <w:rPr>
          <w:rFonts w:ascii="Century Schoolbook" w:eastAsia="Times New Roman" w:hAnsi="Century Schoolbook" w:cs="Times New Roman"/>
          <w:sz w:val="24"/>
          <w:szCs w:val="24"/>
        </w:rPr>
        <w:t>:</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662C70">
      <w:pPr>
        <w:numPr>
          <w:ilvl w:val="0"/>
          <w:numId w:val="21"/>
        </w:numPr>
        <w:tabs>
          <w:tab w:val="left" w:pos="3600"/>
        </w:tabs>
        <w:spacing w:after="0" w:line="240" w:lineRule="auto"/>
        <w:ind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Weighs 10,001 lbs. or more</w:t>
      </w:r>
    </w:p>
    <w:p w:rsidR="00075FE4" w:rsidRPr="00075FE4" w:rsidRDefault="00075FE4" w:rsidP="00075FE4">
      <w:pPr>
        <w:numPr>
          <w:ilvl w:val="0"/>
          <w:numId w:val="21"/>
        </w:numPr>
        <w:tabs>
          <w:tab w:val="left" w:pos="3420"/>
        </w:tabs>
        <w:spacing w:after="0" w:line="240" w:lineRule="auto"/>
        <w:ind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Has a Gross Vehicle Weight Rating (GVWR) or Gross Combination Weight Rating (GCWR) of 10,001 lbs. or more</w:t>
      </w:r>
    </w:p>
    <w:p w:rsidR="00075FE4" w:rsidRPr="00075FE4" w:rsidRDefault="00075FE4" w:rsidP="00075FE4">
      <w:pPr>
        <w:numPr>
          <w:ilvl w:val="0"/>
          <w:numId w:val="21"/>
        </w:numPr>
        <w:tabs>
          <w:tab w:val="left" w:pos="3420"/>
        </w:tabs>
        <w:spacing w:after="0" w:line="240" w:lineRule="auto"/>
        <w:ind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Is designed for or used to transport 16 or more passengers (including the driver) not for compensation</w:t>
      </w:r>
    </w:p>
    <w:p w:rsidR="00075FE4" w:rsidRPr="00075FE4" w:rsidRDefault="00075FE4" w:rsidP="00075FE4">
      <w:pPr>
        <w:numPr>
          <w:ilvl w:val="0"/>
          <w:numId w:val="21"/>
        </w:numPr>
        <w:tabs>
          <w:tab w:val="left" w:pos="3420"/>
        </w:tabs>
        <w:spacing w:after="0" w:line="240" w:lineRule="auto"/>
        <w:ind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Is designed for or used to transport 9 or more passengers (including the driver) for compensation</w:t>
      </w:r>
    </w:p>
    <w:p w:rsidR="00075FE4" w:rsidRPr="00075FE4" w:rsidRDefault="00075FE4" w:rsidP="00075FE4">
      <w:pPr>
        <w:numPr>
          <w:ilvl w:val="0"/>
          <w:numId w:val="21"/>
        </w:numPr>
        <w:tabs>
          <w:tab w:val="left" w:pos="3420"/>
        </w:tabs>
        <w:spacing w:after="0" w:line="240" w:lineRule="auto"/>
        <w:ind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Is involved in interstate or intrastate commerce and is transporting hazardous materials in a quantity requiring placards is also considered a CMV.</w:t>
      </w:r>
      <w:r w:rsidRPr="00075FE4">
        <w:rPr>
          <w:rFonts w:ascii="Century Schoolbook" w:eastAsia="Times New Roman" w:hAnsi="Century Schoolbook" w:cs="Times New Roman"/>
          <w:sz w:val="24"/>
          <w:szCs w:val="24"/>
          <w:vertAlign w:val="superscript"/>
        </w:rPr>
        <w:endnoteReference w:id="560"/>
      </w: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lastRenderedPageBreak/>
        <w:t xml:space="preserve">These federal regulations are limited insofar as they are applicable to </w:t>
      </w:r>
      <w:r w:rsidRPr="00075FE4">
        <w:rPr>
          <w:rFonts w:ascii="Century Schoolbook" w:eastAsia="Times New Roman" w:hAnsi="Century Schoolbook" w:cs="Times New Roman"/>
          <w:i/>
          <w:sz w:val="24"/>
          <w:szCs w:val="24"/>
        </w:rPr>
        <w:t>interstate</w:t>
      </w:r>
      <w:r w:rsidRPr="00075FE4">
        <w:rPr>
          <w:rFonts w:ascii="Century Schoolbook" w:eastAsia="Times New Roman" w:hAnsi="Century Schoolbook" w:cs="Times New Roman"/>
          <w:b/>
          <w:sz w:val="24"/>
          <w:szCs w:val="24"/>
        </w:rPr>
        <w:t xml:space="preserve"> </w:t>
      </w:r>
      <w:r w:rsidRPr="00075FE4">
        <w:rPr>
          <w:rFonts w:ascii="Century Schoolbook" w:eastAsia="Times New Roman" w:hAnsi="Century Schoolbook" w:cs="Times New Roman"/>
          <w:sz w:val="24"/>
          <w:szCs w:val="24"/>
        </w:rPr>
        <w:t>commerce</w:t>
      </w:r>
      <w:r w:rsidRPr="00075FE4">
        <w:rPr>
          <w:rFonts w:ascii="Century Schoolbook" w:eastAsia="Times New Roman" w:hAnsi="Century Schoolbook" w:cs="Times New Roman"/>
          <w:sz w:val="24"/>
          <w:szCs w:val="24"/>
          <w:vertAlign w:val="superscript"/>
        </w:rPr>
        <w:endnoteReference w:id="561"/>
      </w:r>
      <w:r w:rsidRPr="00075FE4">
        <w:rPr>
          <w:rFonts w:ascii="Century Schoolbook" w:eastAsia="Times New Roman" w:hAnsi="Century Schoolbook" w:cs="Times New Roman"/>
          <w:sz w:val="24"/>
          <w:szCs w:val="24"/>
        </w:rPr>
        <w:t>; as such, an interstate motor vehicle carrier (MVC) is one which transports property and/or passengers across states laws and must initially register with the Secretary of Transportation.</w:t>
      </w:r>
      <w:r w:rsidRPr="00075FE4">
        <w:rPr>
          <w:rFonts w:ascii="Century Schoolbook" w:eastAsia="Times New Roman" w:hAnsi="Century Schoolbook" w:cs="Times New Roman"/>
          <w:sz w:val="24"/>
          <w:szCs w:val="24"/>
          <w:vertAlign w:val="superscript"/>
        </w:rPr>
        <w:endnoteReference w:id="562"/>
      </w:r>
      <w:r w:rsidRPr="00075FE4">
        <w:rPr>
          <w:rFonts w:ascii="Century Schoolbook" w:eastAsia="Times New Roman" w:hAnsi="Century Schoolbook" w:cs="Times New Roman"/>
          <w:sz w:val="24"/>
          <w:szCs w:val="24"/>
        </w:rPr>
        <w:t xml:space="preserve">  An </w:t>
      </w:r>
      <w:r w:rsidRPr="00075FE4">
        <w:rPr>
          <w:rFonts w:ascii="Century Schoolbook" w:eastAsia="Times New Roman" w:hAnsi="Century Schoolbook" w:cs="Times New Roman"/>
          <w:i/>
          <w:sz w:val="24"/>
          <w:szCs w:val="24"/>
        </w:rPr>
        <w:t>intrastate</w:t>
      </w:r>
      <w:r w:rsidRPr="00075FE4">
        <w:rPr>
          <w:rFonts w:ascii="Century Schoolbook" w:eastAsia="Times New Roman" w:hAnsi="Century Schoolbook" w:cs="Times New Roman"/>
          <w:sz w:val="24"/>
          <w:szCs w:val="24"/>
        </w:rPr>
        <w:t xml:space="preserve"> motor carrier, on the other hand, does not affect interstate commerce, because its operations are contained entirely within one state; it is subject solely to that state’s jurisdiction.</w:t>
      </w:r>
      <w:r w:rsidRPr="00075FE4">
        <w:rPr>
          <w:rFonts w:ascii="Century Schoolbook" w:eastAsia="Times New Roman" w:hAnsi="Century Schoolbook" w:cs="Times New Roman"/>
          <w:sz w:val="24"/>
          <w:szCs w:val="24"/>
          <w:vertAlign w:val="superscript"/>
        </w:rPr>
        <w:endnoteReference w:id="563"/>
      </w:r>
      <w:r w:rsidRPr="00075FE4">
        <w:rPr>
          <w:rFonts w:ascii="Century Schoolbook" w:eastAsia="Times New Roman" w:hAnsi="Century Schoolbook" w:cs="Times New Roman"/>
          <w:sz w:val="24"/>
          <w:szCs w:val="24"/>
        </w:rPr>
        <w:t xml:space="preserve">  </w:t>
      </w: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Many states have, as a practical matter, adopted the federal regulations for motor carriers in order to govern intrastate carriers and, accordingly, have effectively removed the distinction.  The Georgia Department of Public Safety Motor Carrier Safety Regulations, adopted January 26, 2012, indicate that regulations in Georgia are the minimum requirements for all motor carriers operating both for hire and in private transportation engaged in either </w:t>
      </w:r>
      <w:r w:rsidRPr="00075FE4">
        <w:rPr>
          <w:rFonts w:ascii="Century Schoolbook" w:eastAsia="Times New Roman" w:hAnsi="Century Schoolbook" w:cs="Times New Roman"/>
          <w:i/>
          <w:sz w:val="24"/>
          <w:szCs w:val="24"/>
        </w:rPr>
        <w:t>interstate</w:t>
      </w:r>
      <w:r w:rsidRPr="00075FE4">
        <w:rPr>
          <w:rFonts w:ascii="Century Schoolbook" w:eastAsia="Times New Roman" w:hAnsi="Century Schoolbook" w:cs="Times New Roman"/>
          <w:b/>
          <w:sz w:val="24"/>
          <w:szCs w:val="24"/>
        </w:rPr>
        <w:t xml:space="preserve"> </w:t>
      </w:r>
      <w:r w:rsidRPr="00075FE4">
        <w:rPr>
          <w:rFonts w:ascii="Century Schoolbook" w:eastAsia="Times New Roman" w:hAnsi="Century Schoolbook" w:cs="Times New Roman"/>
          <w:sz w:val="24"/>
          <w:szCs w:val="24"/>
        </w:rPr>
        <w:t xml:space="preserve">or in </w:t>
      </w:r>
      <w:r w:rsidRPr="00075FE4">
        <w:rPr>
          <w:rFonts w:ascii="Century Schoolbook" w:eastAsia="Times New Roman" w:hAnsi="Century Schoolbook" w:cs="Times New Roman"/>
          <w:i/>
          <w:sz w:val="24"/>
          <w:szCs w:val="24"/>
        </w:rPr>
        <w:t>intrastate</w:t>
      </w:r>
      <w:r w:rsidRPr="00075FE4">
        <w:rPr>
          <w:rFonts w:ascii="Century Schoolbook" w:eastAsia="Times New Roman" w:hAnsi="Century Schoolbook" w:cs="Times New Roman"/>
          <w:sz w:val="24"/>
          <w:szCs w:val="24"/>
        </w:rPr>
        <w:t xml:space="preserve"> commerce in Georgia.</w:t>
      </w:r>
      <w:r w:rsidRPr="00075FE4">
        <w:rPr>
          <w:rFonts w:ascii="Century Schoolbook" w:eastAsia="Times New Roman" w:hAnsi="Century Schoolbook" w:cs="Times New Roman"/>
          <w:sz w:val="24"/>
          <w:szCs w:val="24"/>
          <w:vertAlign w:val="superscript"/>
        </w:rPr>
        <w:endnoteReference w:id="564"/>
      </w:r>
      <w:r w:rsidRPr="00075FE4">
        <w:rPr>
          <w:rFonts w:ascii="Century Schoolbook" w:eastAsia="Times New Roman" w:hAnsi="Century Schoolbook" w:cs="Times New Roman"/>
          <w:sz w:val="24"/>
          <w:szCs w:val="24"/>
        </w:rPr>
        <w:t xml:space="preserve">  Further, the Georgia Motor Carrier Safety Regulations (MCSR) indicate that they adopt the Federal Motor Carrier Safety Regulations which are in Title 49 of the C.F.R..</w:t>
      </w:r>
      <w:r w:rsidRPr="00075FE4">
        <w:rPr>
          <w:rFonts w:ascii="Century Schoolbook" w:eastAsia="Times New Roman" w:hAnsi="Century Schoolbook" w:cs="Times New Roman"/>
          <w:sz w:val="24"/>
          <w:szCs w:val="24"/>
          <w:vertAlign w:val="superscript"/>
        </w:rPr>
        <w:endnoteReference w:id="565"/>
      </w:r>
      <w:r w:rsidRPr="00075FE4">
        <w:rPr>
          <w:rFonts w:ascii="Century Schoolbook" w:eastAsia="Times New Roman" w:hAnsi="Century Schoolbook" w:cs="Times New Roman"/>
          <w:sz w:val="24"/>
          <w:szCs w:val="24"/>
        </w:rPr>
        <w:t xml:space="preserve">  Finally, the Georgia Regulations indicate that when the Federal Regulations refer to “</w:t>
      </w:r>
      <w:r w:rsidRPr="00075FE4">
        <w:rPr>
          <w:rFonts w:ascii="Century Schoolbook" w:eastAsia="Times New Roman" w:hAnsi="Century Schoolbook" w:cs="Times New Roman"/>
          <w:i/>
          <w:sz w:val="24"/>
          <w:szCs w:val="24"/>
        </w:rPr>
        <w:t>interstate</w:t>
      </w:r>
      <w:r w:rsidRPr="00075FE4">
        <w:rPr>
          <w:rFonts w:ascii="Century Schoolbook" w:eastAsia="Times New Roman" w:hAnsi="Century Schoolbook" w:cs="Times New Roman"/>
          <w:sz w:val="24"/>
          <w:szCs w:val="24"/>
        </w:rPr>
        <w:t xml:space="preserve">” commerce, that shall be </w:t>
      </w:r>
      <w:r w:rsidRPr="00075FE4">
        <w:rPr>
          <w:rFonts w:ascii="Century Schoolbook" w:eastAsia="Times New Roman" w:hAnsi="Century Schoolbook" w:cs="Times New Roman"/>
          <w:sz w:val="24"/>
          <w:szCs w:val="24"/>
        </w:rPr>
        <w:lastRenderedPageBreak/>
        <w:t>interpreted to include “</w:t>
      </w:r>
      <w:r w:rsidRPr="00075FE4">
        <w:rPr>
          <w:rFonts w:ascii="Century Schoolbook" w:eastAsia="Times New Roman" w:hAnsi="Century Schoolbook" w:cs="Times New Roman"/>
          <w:i/>
          <w:sz w:val="24"/>
          <w:szCs w:val="24"/>
        </w:rPr>
        <w:t>intrastate</w:t>
      </w:r>
      <w:r w:rsidRPr="00075FE4">
        <w:rPr>
          <w:rFonts w:ascii="Century Schoolbook" w:eastAsia="Times New Roman" w:hAnsi="Century Schoolbook" w:cs="Times New Roman"/>
          <w:sz w:val="24"/>
          <w:szCs w:val="24"/>
        </w:rPr>
        <w:t xml:space="preserve">” commerce. </w:t>
      </w: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Therefore, the HOS Regulations apply to both intrastate and interstate motor vehicle carriers for drivers who are: (1) operating a motor vehicle in excess of 10,001 lbs. (4,536 kg); (2) carrying a gross vehicle weight rating </w:t>
      </w:r>
      <w:r w:rsidRPr="00075FE4">
        <w:rPr>
          <w:rFonts w:ascii="Century Schoolbook" w:eastAsia="Times New Roman" w:hAnsi="Century Schoolbook" w:cs="Times New Roman"/>
          <w:i/>
          <w:sz w:val="24"/>
          <w:szCs w:val="24"/>
        </w:rPr>
        <w:t>or</w:t>
      </w:r>
      <w:r w:rsidRPr="00075FE4">
        <w:rPr>
          <w:rFonts w:ascii="Century Schoolbook" w:eastAsia="Times New Roman" w:hAnsi="Century Schoolbook" w:cs="Times New Roman"/>
          <w:sz w:val="24"/>
          <w:szCs w:val="24"/>
        </w:rPr>
        <w:t xml:space="preserve"> gross combination weight rating (GVWR or GCWR, respectively) of 10,001 lbs. (4,536 kg) or more; or (3) transporting hazardous materials in a quantity requiring placards.</w:t>
      </w:r>
      <w:r w:rsidRPr="00075FE4">
        <w:rPr>
          <w:rFonts w:ascii="Century Schoolbook" w:eastAsia="Times New Roman" w:hAnsi="Century Schoolbook" w:cs="Times New Roman"/>
          <w:sz w:val="24"/>
          <w:szCs w:val="24"/>
          <w:vertAlign w:val="superscript"/>
        </w:rPr>
        <w:endnoteReference w:id="566"/>
      </w:r>
    </w:p>
    <w:p w:rsidR="00075FE4" w:rsidRDefault="00075FE4" w:rsidP="00075FE4">
      <w:pPr>
        <w:spacing w:after="0" w:line="240" w:lineRule="auto"/>
        <w:jc w:val="both"/>
        <w:rPr>
          <w:rFonts w:ascii="Century Schoolbook" w:eastAsia="Times New Roman" w:hAnsi="Century Schoolbook" w:cs="Times New Roman"/>
          <w:b/>
          <w:sz w:val="24"/>
          <w:szCs w:val="24"/>
        </w:rPr>
      </w:pPr>
    </w:p>
    <w:p w:rsidR="0093623D" w:rsidRPr="00075FE4" w:rsidRDefault="0093623D" w:rsidP="00075FE4">
      <w:pPr>
        <w:spacing w:after="0" w:line="240" w:lineRule="auto"/>
        <w:jc w:val="both"/>
        <w:rPr>
          <w:rFonts w:ascii="Century Schoolbook" w:eastAsia="Times New Roman" w:hAnsi="Century Schoolbook" w:cs="Times New Roman"/>
          <w:b/>
          <w:sz w:val="24"/>
          <w:szCs w:val="24"/>
        </w:rPr>
      </w:pPr>
    </w:p>
    <w:p w:rsidR="00075FE4" w:rsidRPr="00075FE4" w:rsidRDefault="00075FE4" w:rsidP="00075FE4">
      <w:pPr>
        <w:numPr>
          <w:ilvl w:val="0"/>
          <w:numId w:val="23"/>
        </w:numPr>
        <w:tabs>
          <w:tab w:val="clear" w:pos="720"/>
        </w:tabs>
        <w:spacing w:after="0" w:line="240" w:lineRule="auto"/>
        <w:ind w:left="540" w:hanging="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b/>
          <w:sz w:val="24"/>
          <w:szCs w:val="24"/>
        </w:rPr>
        <w:t>Updated HOS Regulations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ab/>
      </w:r>
    </w:p>
    <w:p w:rsid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On December 27, 2011, the FMCSA and the U.S. DOT published a Final Rule in the Federal Register, outlining new and/or updated regulations concerning </w:t>
      </w:r>
      <w:r w:rsidRPr="00075FE4">
        <w:rPr>
          <w:rFonts w:ascii="Century Schoolbook" w:eastAsia="Times New Roman" w:hAnsi="Century Schoolbook" w:cs="Times New Roman"/>
          <w:color w:val="000000"/>
          <w:sz w:val="24"/>
          <w:szCs w:val="24"/>
          <w:shd w:val="clear" w:color="auto" w:fill="FFFFFF"/>
        </w:rPr>
        <w:t xml:space="preserve">Hours-of-Service of Drivers. As stated above, the </w:t>
      </w:r>
      <w:r w:rsidRPr="00075FE4">
        <w:rPr>
          <w:rFonts w:ascii="Century Schoolbook" w:eastAsia="Times New Roman" w:hAnsi="Century Schoolbook" w:cs="Times New Roman"/>
          <w:sz w:val="24"/>
          <w:szCs w:val="24"/>
        </w:rPr>
        <w:t xml:space="preserve">Georgia MCSRs were adopted on January 26, 2012; therefore, the FMCSA’s current HOS regulations are also applicable to all motor vehicle carriers operating in the State of </w:t>
      </w:r>
      <w:smartTag w:uri="urn:schemas-microsoft-com:office:smarttags" w:element="country-region">
        <w:smartTag w:uri="urn:schemas-microsoft-com:office:smarttags" w:element="place">
          <w:r w:rsidRPr="00075FE4">
            <w:rPr>
              <w:rFonts w:ascii="Century Schoolbook" w:eastAsia="Times New Roman" w:hAnsi="Century Schoolbook" w:cs="Times New Roman"/>
              <w:sz w:val="24"/>
              <w:szCs w:val="24"/>
            </w:rPr>
            <w:t>Georgia</w:t>
          </w:r>
        </w:smartTag>
      </w:smartTag>
      <w:r w:rsidRPr="00075FE4">
        <w:rPr>
          <w:rFonts w:ascii="Century Schoolbook" w:eastAsia="Times New Roman" w:hAnsi="Century Schoolbook" w:cs="Times New Roman"/>
          <w:sz w:val="24"/>
          <w:szCs w:val="24"/>
        </w:rPr>
        <w:t>.  The effective date of all encompassing provisions of the final rule was February 27, 2012.  Certain provisions of the new regulations were made compliant that same day and thus are now fully enforceable.  The other provisions were given a compliance date of July 1, 2013, and therefore are forthcoming.</w:t>
      </w:r>
      <w:r w:rsidRPr="00075FE4">
        <w:rPr>
          <w:rFonts w:ascii="Century Schoolbook" w:eastAsia="Times New Roman" w:hAnsi="Century Schoolbook" w:cs="Times New Roman"/>
          <w:sz w:val="24"/>
          <w:szCs w:val="24"/>
          <w:vertAlign w:val="superscript"/>
        </w:rPr>
        <w:endnoteReference w:id="567"/>
      </w:r>
      <w:r w:rsidRPr="00075FE4">
        <w:rPr>
          <w:rFonts w:ascii="Century Schoolbook" w:eastAsia="Times New Roman" w:hAnsi="Century Schoolbook" w:cs="Times New Roman"/>
          <w:sz w:val="24"/>
          <w:szCs w:val="24"/>
        </w:rPr>
        <w:t xml:space="preserve">  Significantly, because the now </w:t>
      </w:r>
      <w:r w:rsidRPr="00075FE4">
        <w:rPr>
          <w:rFonts w:ascii="Century Schoolbook" w:eastAsia="Times New Roman" w:hAnsi="Century Schoolbook" w:cs="Times New Roman"/>
          <w:sz w:val="24"/>
          <w:szCs w:val="24"/>
        </w:rPr>
        <w:lastRenderedPageBreak/>
        <w:t xml:space="preserve">HOS regulations are narrower (stricter) in scope, CMV drivers and motor carriers may comply at any time after the rule’s effective date of February 27, 2012.  To that end, a carrier which is in compliance with the impending regulations is also in compliance with the current ones. </w:t>
      </w:r>
    </w:p>
    <w:p w:rsidR="002B499B" w:rsidRDefault="002B499B" w:rsidP="002B499B">
      <w:pPr>
        <w:spacing w:after="0" w:line="240" w:lineRule="auto"/>
        <w:jc w:val="both"/>
        <w:rPr>
          <w:rFonts w:ascii="Century Schoolbook" w:eastAsia="Times New Roman" w:hAnsi="Century Schoolbook" w:cs="Times New Roman"/>
          <w:sz w:val="24"/>
          <w:szCs w:val="24"/>
        </w:rPr>
      </w:pPr>
    </w:p>
    <w:p w:rsidR="002B499B" w:rsidRDefault="002B499B" w:rsidP="00202417">
      <w:pPr>
        <w:spacing w:after="0" w:line="240" w:lineRule="auto"/>
        <w:jc w:val="center"/>
        <w:rPr>
          <w:rFonts w:ascii="Century Schoolbook" w:eastAsia="Times New Roman" w:hAnsi="Century Schoolbook" w:cs="Times New Roman"/>
          <w:sz w:val="24"/>
          <w:szCs w:val="24"/>
        </w:rPr>
      </w:pPr>
      <w:r w:rsidRPr="002B499B">
        <w:rPr>
          <w:rFonts w:ascii="Century Schoolbook" w:eastAsia="Times New Roman" w:hAnsi="Century Schoolbook" w:cs="Times New Roman"/>
          <w:b/>
          <w:i/>
          <w:sz w:val="24"/>
          <w:szCs w:val="24"/>
        </w:rPr>
        <w:t>See Appendix A</w:t>
      </w:r>
      <w:r w:rsidR="00A62147">
        <w:rPr>
          <w:rFonts w:ascii="Century Schoolbook" w:eastAsia="Times New Roman" w:hAnsi="Century Schoolbook" w:cs="Times New Roman"/>
          <w:b/>
          <w:i/>
          <w:sz w:val="24"/>
          <w:szCs w:val="24"/>
        </w:rPr>
        <w:t>: Summary of Changes of HOS Final Rule Published December 2011</w:t>
      </w:r>
    </w:p>
    <w:p w:rsidR="00202417" w:rsidRDefault="00202417" w:rsidP="00075FE4">
      <w:pPr>
        <w:spacing w:after="0" w:line="240" w:lineRule="auto"/>
        <w:ind w:firstLine="360"/>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Below is a more detailed discussion of current HOS provisions and those with the July 2013 compliance dates. </w:t>
      </w:r>
    </w:p>
    <w:p w:rsidR="00075FE4" w:rsidRDefault="00075FE4" w:rsidP="00075FE4">
      <w:pPr>
        <w:spacing w:after="0" w:line="240" w:lineRule="auto"/>
        <w:jc w:val="both"/>
        <w:rPr>
          <w:rFonts w:ascii="Century Schoolbook" w:eastAsia="Times New Roman" w:hAnsi="Century Schoolbook" w:cs="Times New Roman"/>
          <w:sz w:val="24"/>
          <w:szCs w:val="24"/>
        </w:rPr>
      </w:pPr>
    </w:p>
    <w:p w:rsidR="002B499B" w:rsidRPr="00075FE4" w:rsidRDefault="002B499B" w:rsidP="00075FE4">
      <w:pPr>
        <w:spacing w:after="0" w:line="240" w:lineRule="auto"/>
        <w:jc w:val="both"/>
        <w:rPr>
          <w:rFonts w:ascii="Century Schoolbook" w:eastAsia="Times New Roman" w:hAnsi="Century Schoolbook" w:cs="Times New Roman"/>
          <w:sz w:val="24"/>
          <w:szCs w:val="24"/>
        </w:rPr>
      </w:pPr>
    </w:p>
    <w:p w:rsidR="00075FE4" w:rsidRPr="002B499B" w:rsidRDefault="00075FE4" w:rsidP="002B499B">
      <w:pPr>
        <w:numPr>
          <w:ilvl w:val="0"/>
          <w:numId w:val="23"/>
        </w:numPr>
        <w:tabs>
          <w:tab w:val="clear" w:pos="720"/>
        </w:tabs>
        <w:spacing w:after="0" w:line="240" w:lineRule="auto"/>
        <w:ind w:left="540" w:hanging="540"/>
        <w:rPr>
          <w:rFonts w:ascii="Century Schoolbook" w:eastAsia="Times New Roman" w:hAnsi="Century Schoolbook" w:cs="Times New Roman"/>
          <w:sz w:val="24"/>
          <w:szCs w:val="24"/>
        </w:rPr>
      </w:pPr>
      <w:r w:rsidRPr="002B499B">
        <w:rPr>
          <w:rFonts w:ascii="Century Schoolbook" w:eastAsia="Times New Roman" w:hAnsi="Century Schoolbook" w:cs="Times New Roman"/>
          <w:b/>
          <w:sz w:val="24"/>
          <w:szCs w:val="24"/>
        </w:rPr>
        <w:t>Current HOS Regulations for Property-Carrying CMV Dri</w:t>
      </w:r>
      <w:r w:rsidR="002B499B">
        <w:rPr>
          <w:rFonts w:ascii="Century Schoolbook" w:eastAsia="Times New Roman" w:hAnsi="Century Schoolbook" w:cs="Times New Roman"/>
          <w:b/>
          <w:sz w:val="24"/>
          <w:szCs w:val="24"/>
        </w:rPr>
        <w:t>vers (Valid Until July 1, 2013)</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93623D" w:rsidP="002B499B">
      <w:pPr>
        <w:numPr>
          <w:ilvl w:val="0"/>
          <w:numId w:val="24"/>
        </w:numPr>
        <w:spacing w:after="0" w:line="240" w:lineRule="auto"/>
        <w:ind w:left="360"/>
        <w:jc w:val="center"/>
        <w:rPr>
          <w:rFonts w:ascii="Century Schoolbook" w:eastAsia="Times New Roman" w:hAnsi="Century Schoolbook" w:cs="Times New Roman"/>
          <w:b/>
          <w:sz w:val="24"/>
          <w:szCs w:val="24"/>
        </w:rPr>
      </w:pPr>
      <w:r>
        <w:rPr>
          <w:rFonts w:ascii="Century Schoolbook" w:eastAsia="Times New Roman" w:hAnsi="Century Schoolbook" w:cs="Times New Roman"/>
          <w:b/>
          <w:sz w:val="24"/>
          <w:szCs w:val="24"/>
        </w:rPr>
        <w:t>Current Daily Limits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There currently is an 11-hour driving time limit, as governed by 49 C.F.R. § 395.3(a)(3).</w:t>
      </w:r>
      <w:r w:rsidRPr="00075FE4">
        <w:rPr>
          <w:rFonts w:ascii="Century Schoolbook" w:eastAsia="Times New Roman" w:hAnsi="Century Schoolbook" w:cs="Times New Roman"/>
          <w:sz w:val="24"/>
          <w:szCs w:val="24"/>
          <w:vertAlign w:val="superscript"/>
        </w:rPr>
        <w:endnoteReference w:id="568"/>
      </w:r>
      <w:r w:rsidRPr="00075FE4">
        <w:rPr>
          <w:rFonts w:ascii="Century Schoolbook" w:eastAsia="Times New Roman" w:hAnsi="Century Schoolbook" w:cs="Times New Roman"/>
          <w:sz w:val="24"/>
          <w:szCs w:val="24"/>
        </w:rPr>
        <w:t xml:space="preserve">  Put simply, a driver may drive a CMV for a maximum of 11 hours after having been off duty for 10 consecutive hours (or equivalent).</w:t>
      </w:r>
      <w:r w:rsidRPr="00075FE4">
        <w:rPr>
          <w:rFonts w:ascii="Century Schoolbook" w:eastAsia="Times New Roman" w:hAnsi="Century Schoolbook" w:cs="Times New Roman"/>
          <w:sz w:val="24"/>
          <w:szCs w:val="24"/>
          <w:vertAlign w:val="superscript"/>
        </w:rPr>
        <w:endnoteReference w:id="569"/>
      </w:r>
      <w:r w:rsidRPr="00075FE4">
        <w:rPr>
          <w:rFonts w:ascii="Century Schoolbook" w:eastAsia="Times New Roman" w:hAnsi="Century Schoolbook" w:cs="Times New Roman"/>
          <w:sz w:val="24"/>
          <w:szCs w:val="24"/>
        </w:rPr>
        <w:t xml:space="preserve">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CMV drivers must cease their driving after the end of the fourteenth hour after having come on duty following 10 consecutive hours off duty.</w:t>
      </w:r>
      <w:r w:rsidRPr="00075FE4">
        <w:rPr>
          <w:rFonts w:ascii="Century Schoolbook" w:eastAsia="Times New Roman" w:hAnsi="Century Schoolbook" w:cs="Times New Roman"/>
          <w:sz w:val="24"/>
          <w:szCs w:val="24"/>
          <w:vertAlign w:val="superscript"/>
        </w:rPr>
        <w:endnoteReference w:id="570"/>
      </w:r>
      <w:r w:rsidRPr="00075FE4">
        <w:rPr>
          <w:rFonts w:ascii="Century Schoolbook" w:eastAsia="Times New Roman" w:hAnsi="Century Schoolbook" w:cs="Times New Roman"/>
          <w:sz w:val="24"/>
          <w:szCs w:val="24"/>
        </w:rPr>
        <w:t xml:space="preserve">  The 14-hour limit</w:t>
      </w:r>
      <w:r w:rsidRPr="00075FE4">
        <w:rPr>
          <w:rFonts w:ascii="Century Schoolbook" w:eastAsia="Times New Roman" w:hAnsi="Century Schoolbook" w:cs="Times New Roman"/>
          <w:sz w:val="24"/>
          <w:szCs w:val="24"/>
          <w:vertAlign w:val="superscript"/>
        </w:rPr>
        <w:endnoteReference w:id="571"/>
      </w:r>
      <w:r w:rsidRPr="00075FE4">
        <w:rPr>
          <w:rFonts w:ascii="Century Schoolbook" w:eastAsia="Times New Roman" w:hAnsi="Century Schoolbook" w:cs="Times New Roman"/>
          <w:sz w:val="24"/>
          <w:szCs w:val="24"/>
        </w:rPr>
        <w:t xml:space="preserve"> essentially is the driver’s </w:t>
      </w:r>
      <w:r w:rsidRPr="00075FE4">
        <w:rPr>
          <w:rFonts w:ascii="Century Schoolbook" w:eastAsia="Times New Roman" w:hAnsi="Century Schoolbook" w:cs="Times New Roman"/>
          <w:sz w:val="24"/>
          <w:szCs w:val="24"/>
        </w:rPr>
        <w:lastRenderedPageBreak/>
        <w:t>daily limit, although this axiom technically is not sound.</w:t>
      </w:r>
      <w:r w:rsidRPr="00075FE4">
        <w:rPr>
          <w:rFonts w:ascii="Century Schoolbook" w:eastAsia="Times New Roman" w:hAnsi="Century Schoolbook" w:cs="Times New Roman"/>
          <w:sz w:val="24"/>
          <w:szCs w:val="24"/>
          <w:vertAlign w:val="superscript"/>
        </w:rPr>
        <w:endnoteReference w:id="572"/>
      </w:r>
      <w:r w:rsidRPr="00075FE4">
        <w:rPr>
          <w:rFonts w:ascii="Century Schoolbook" w:eastAsia="Times New Roman" w:hAnsi="Century Schoolbook" w:cs="Times New Roman"/>
          <w:sz w:val="24"/>
          <w:szCs w:val="24"/>
        </w:rPr>
        <w:t xml:space="preserve">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However, these regulations permit an exemption from the 14-hour daily on-duty limit, allowing for a 16-hour on-duty period once every 6 days, if the driver has returned to his normal reporting location and been released from duty at that location after 5 straight days of being limited to 14 hours on-duty.  After 5 straight days with a maximum on-duty time of 14 hours in each such day followed by at least 10 hours off-duty, the driver can be on-duty for 16 hours if released after 16 hours from the normal reporting location.  Again, this can be taken once every 6 days </w:t>
      </w:r>
      <w:r w:rsidRPr="00075FE4">
        <w:rPr>
          <w:rFonts w:ascii="Century Schoolbook" w:eastAsia="Times New Roman" w:hAnsi="Century Schoolbook" w:cs="Times New Roman"/>
          <w:i/>
          <w:sz w:val="24"/>
          <w:szCs w:val="24"/>
        </w:rPr>
        <w:t>except</w:t>
      </w:r>
      <w:r w:rsidRPr="00075FE4">
        <w:rPr>
          <w:rFonts w:ascii="Century Schoolbook" w:eastAsia="Times New Roman" w:hAnsi="Century Schoolbook" w:cs="Times New Roman"/>
          <w:sz w:val="24"/>
          <w:szCs w:val="24"/>
        </w:rPr>
        <w:t xml:space="preserve"> after a reset from the 7/8-day period.  The 34-hour reset is required unless the shortened 24-hour reset provision applies as outlined in subsection D, below.</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ab/>
      </w:r>
    </w:p>
    <w:p w:rsidR="00075FE4" w:rsidRPr="00075FE4" w:rsidRDefault="00075FE4" w:rsidP="002B499B">
      <w:pPr>
        <w:numPr>
          <w:ilvl w:val="0"/>
          <w:numId w:val="24"/>
        </w:numPr>
        <w:spacing w:after="0" w:line="240" w:lineRule="auto"/>
        <w:ind w:left="360"/>
        <w:jc w:val="center"/>
        <w:rPr>
          <w:rFonts w:ascii="Century Schoolbook" w:eastAsia="Times New Roman" w:hAnsi="Century Schoolbook" w:cs="Times New Roman"/>
          <w:sz w:val="24"/>
          <w:szCs w:val="24"/>
        </w:rPr>
      </w:pPr>
      <w:r w:rsidRPr="00075FE4">
        <w:rPr>
          <w:rFonts w:ascii="Century Schoolbook" w:eastAsia="Times New Roman" w:hAnsi="Century Schoolbook" w:cs="Times New Roman"/>
          <w:b/>
          <w:sz w:val="24"/>
          <w:szCs w:val="24"/>
        </w:rPr>
        <w:t>Thirty-Minute Break</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As of July 1, 2013, HOS regulations will require that, if more than 8 consecutive hours have passed since a driver’s last off-duty (or sleeper-berth) period of </w:t>
      </w:r>
      <w:r w:rsidRPr="00075FE4">
        <w:rPr>
          <w:rFonts w:ascii="Century Schoolbook" w:eastAsia="Times New Roman" w:hAnsi="Century Schoolbook" w:cs="Times New Roman"/>
          <w:i/>
          <w:sz w:val="24"/>
          <w:szCs w:val="24"/>
        </w:rPr>
        <w:t>at least</w:t>
      </w:r>
      <w:r w:rsidRPr="00075FE4">
        <w:rPr>
          <w:rFonts w:ascii="Century Schoolbook" w:eastAsia="Times New Roman" w:hAnsi="Century Schoolbook" w:cs="Times New Roman"/>
          <w:sz w:val="24"/>
          <w:szCs w:val="24"/>
        </w:rPr>
        <w:t xml:space="preserve"> 30 minutes.</w:t>
      </w:r>
      <w:r w:rsidRPr="00075FE4">
        <w:rPr>
          <w:rFonts w:ascii="Century Schoolbook" w:eastAsia="Times New Roman" w:hAnsi="Century Schoolbook" w:cs="Times New Roman"/>
          <w:sz w:val="24"/>
          <w:szCs w:val="24"/>
          <w:vertAlign w:val="superscript"/>
        </w:rPr>
        <w:endnoteReference w:id="573"/>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2B499B">
      <w:pPr>
        <w:numPr>
          <w:ilvl w:val="0"/>
          <w:numId w:val="24"/>
        </w:numPr>
        <w:spacing w:after="0" w:line="240" w:lineRule="auto"/>
        <w:ind w:left="360"/>
        <w:jc w:val="center"/>
        <w:rPr>
          <w:rFonts w:ascii="Century Schoolbook" w:eastAsia="Times New Roman" w:hAnsi="Century Schoolbook" w:cs="Times New Roman"/>
          <w:sz w:val="24"/>
          <w:szCs w:val="24"/>
        </w:rPr>
      </w:pPr>
      <w:r w:rsidRPr="00075FE4">
        <w:rPr>
          <w:rFonts w:ascii="Century Schoolbook" w:eastAsia="Times New Roman" w:hAnsi="Century Schoolbook" w:cs="Times New Roman"/>
          <w:b/>
          <w:sz w:val="24"/>
          <w:szCs w:val="24"/>
        </w:rPr>
        <w:t>Which Vehicles Require A Driver to Hold a CDL, and the</w:t>
      </w:r>
      <w:r w:rsidRPr="00075FE4">
        <w:rPr>
          <w:rFonts w:ascii="Century Schoolbook" w:eastAsia="Times New Roman" w:hAnsi="Century Schoolbook" w:cs="Times New Roman"/>
          <w:sz w:val="24"/>
          <w:szCs w:val="24"/>
        </w:rPr>
        <w:t xml:space="preserve"> </w:t>
      </w:r>
      <w:r w:rsidRPr="00075FE4">
        <w:rPr>
          <w:rFonts w:ascii="Century Schoolbook" w:eastAsia="Times New Roman" w:hAnsi="Century Schoolbook" w:cs="Times New Roman"/>
          <w:b/>
          <w:sz w:val="24"/>
          <w:szCs w:val="24"/>
        </w:rPr>
        <w:t>Limited</w:t>
      </w:r>
      <w:r w:rsidR="0093623D">
        <w:rPr>
          <w:rFonts w:ascii="Century Schoolbook" w:eastAsia="Times New Roman" w:hAnsi="Century Schoolbook" w:cs="Times New Roman"/>
          <w:b/>
          <w:sz w:val="24"/>
          <w:szCs w:val="24"/>
        </w:rPr>
        <w:t xml:space="preserve"> Variances for Non-CDL Vehicles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The federal regulations provide a limited exception for vehicles </w:t>
      </w:r>
      <w:r w:rsidRPr="00075FE4">
        <w:rPr>
          <w:rFonts w:ascii="Century Schoolbook" w:eastAsia="Times New Roman" w:hAnsi="Century Schoolbook" w:cs="Times New Roman"/>
          <w:sz w:val="24"/>
          <w:szCs w:val="24"/>
        </w:rPr>
        <w:lastRenderedPageBreak/>
        <w:t>which do not require the driver to have a CDL.</w:t>
      </w:r>
      <w:r w:rsidRPr="00075FE4">
        <w:rPr>
          <w:rFonts w:ascii="Century Schoolbook" w:eastAsia="Times New Roman" w:hAnsi="Century Schoolbook" w:cs="Times New Roman"/>
          <w:sz w:val="24"/>
          <w:szCs w:val="24"/>
          <w:vertAlign w:val="superscript"/>
        </w:rPr>
        <w:endnoteReference w:id="574"/>
      </w:r>
      <w:r w:rsidRPr="00075FE4">
        <w:rPr>
          <w:rFonts w:ascii="Century Schoolbook" w:eastAsia="Times New Roman" w:hAnsi="Century Schoolbook" w:cs="Times New Roman"/>
          <w:sz w:val="24"/>
          <w:szCs w:val="24"/>
        </w:rPr>
        <w:t xml:space="preserve">  To determine which vehicles do not require a CDL, one must first look at which vehicles do require a CDL.</w:t>
      </w:r>
    </w:p>
    <w:p w:rsidR="00075FE4" w:rsidRPr="00075FE4" w:rsidRDefault="00075FE4" w:rsidP="00075FE4">
      <w:pPr>
        <w:spacing w:after="0" w:line="240" w:lineRule="auto"/>
        <w:ind w:firstLine="720"/>
        <w:jc w:val="both"/>
        <w:rPr>
          <w:rFonts w:ascii="Century Schoolbook" w:eastAsia="Times New Roman" w:hAnsi="Century Schoolbook" w:cs="Times New Roman"/>
          <w:sz w:val="24"/>
          <w:szCs w:val="24"/>
        </w:rPr>
      </w:pPr>
    </w:p>
    <w:p w:rsidR="002B499B" w:rsidRDefault="00075FE4" w:rsidP="002B499B">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Drivers who operate in interstate, intrastate, or foreign commerce are required to obtain and hold a CDL if they drive a vehicle that meets any of the following CMV classifications:</w:t>
      </w:r>
    </w:p>
    <w:p w:rsidR="00075FE4" w:rsidRPr="00075FE4" w:rsidRDefault="00075FE4" w:rsidP="00075FE4">
      <w:pPr>
        <w:spacing w:before="168" w:after="192" w:line="240" w:lineRule="auto"/>
        <w:ind w:left="360" w:right="360"/>
        <w:jc w:val="both"/>
        <w:rPr>
          <w:rFonts w:ascii="Century Schoolbook" w:eastAsia="Batang" w:hAnsi="Century Schoolbook" w:cs="Times New Roman"/>
          <w:sz w:val="24"/>
          <w:szCs w:val="24"/>
          <w:lang w:eastAsia="ko-KR"/>
        </w:rPr>
      </w:pPr>
      <w:r w:rsidRPr="00075FE4">
        <w:rPr>
          <w:rFonts w:ascii="Century Schoolbook" w:eastAsia="Batang" w:hAnsi="Century Schoolbook" w:cs="Times New Roman"/>
          <w:b/>
          <w:bCs/>
          <w:sz w:val="24"/>
          <w:szCs w:val="24"/>
          <w:lang w:eastAsia="ko-KR"/>
        </w:rPr>
        <w:t>Classes of Licenses:</w:t>
      </w:r>
    </w:p>
    <w:p w:rsidR="00075FE4" w:rsidRPr="00075FE4" w:rsidRDefault="00075FE4" w:rsidP="00075FE4">
      <w:pPr>
        <w:spacing w:before="168" w:after="192" w:line="240" w:lineRule="auto"/>
        <w:ind w:left="360" w:right="360"/>
        <w:jc w:val="both"/>
        <w:rPr>
          <w:rFonts w:ascii="Century Schoolbook" w:eastAsia="Batang" w:hAnsi="Century Schoolbook" w:cs="Times New Roman"/>
          <w:sz w:val="24"/>
          <w:szCs w:val="24"/>
          <w:lang w:eastAsia="ko-KR"/>
        </w:rPr>
      </w:pPr>
      <w:r w:rsidRPr="00075FE4">
        <w:rPr>
          <w:rFonts w:ascii="Century Schoolbook" w:eastAsia="Batang" w:hAnsi="Century Schoolbook" w:cs="Times New Roman"/>
          <w:sz w:val="24"/>
          <w:szCs w:val="24"/>
          <w:lang w:eastAsia="ko-KR"/>
        </w:rPr>
        <w:t>The Federal standard requires States to issue a CDL to drivers according to the following license classifications:</w:t>
      </w:r>
    </w:p>
    <w:p w:rsidR="00075FE4" w:rsidRPr="00075FE4" w:rsidRDefault="00075FE4" w:rsidP="00075FE4">
      <w:pPr>
        <w:spacing w:before="168" w:after="192" w:line="240" w:lineRule="auto"/>
        <w:ind w:left="360" w:right="360"/>
        <w:jc w:val="both"/>
        <w:rPr>
          <w:rFonts w:ascii="Century Schoolbook" w:eastAsia="Batang" w:hAnsi="Century Schoolbook" w:cs="Times New Roman"/>
          <w:sz w:val="24"/>
          <w:szCs w:val="24"/>
          <w:lang w:eastAsia="ko-KR"/>
        </w:rPr>
      </w:pPr>
      <w:r w:rsidRPr="00075FE4">
        <w:rPr>
          <w:rFonts w:ascii="Century Schoolbook" w:eastAsia="Batang" w:hAnsi="Century Schoolbook" w:cs="Times New Roman"/>
          <w:b/>
          <w:bCs/>
          <w:sz w:val="24"/>
          <w:szCs w:val="24"/>
          <w:lang w:eastAsia="ko-KR"/>
        </w:rPr>
        <w:t>Class A</w:t>
      </w:r>
      <w:r w:rsidRPr="00075FE4">
        <w:rPr>
          <w:rFonts w:ascii="Century Schoolbook" w:eastAsia="Batang" w:hAnsi="Century Schoolbook" w:cs="Times New Roman"/>
          <w:sz w:val="24"/>
          <w:szCs w:val="24"/>
          <w:lang w:eastAsia="ko-KR"/>
        </w:rPr>
        <w:t xml:space="preserve"> -- Any combination of vehicles with a GCWR of 26,001 or more pounds provided the GVWR of the vehicle(s) being towed is in excess of 10,000 pounds.</w:t>
      </w:r>
    </w:p>
    <w:p w:rsidR="00075FE4" w:rsidRPr="00075FE4" w:rsidRDefault="00075FE4" w:rsidP="00075FE4">
      <w:pPr>
        <w:spacing w:before="168" w:after="192" w:line="240" w:lineRule="auto"/>
        <w:ind w:left="360" w:right="360"/>
        <w:jc w:val="both"/>
        <w:rPr>
          <w:rFonts w:ascii="Century Schoolbook" w:eastAsia="Batang" w:hAnsi="Century Schoolbook" w:cs="Times New Roman"/>
          <w:sz w:val="24"/>
          <w:szCs w:val="24"/>
          <w:lang w:eastAsia="ko-KR"/>
        </w:rPr>
      </w:pPr>
      <w:r w:rsidRPr="00075FE4">
        <w:rPr>
          <w:rFonts w:ascii="Century Schoolbook" w:eastAsia="Batang" w:hAnsi="Century Schoolbook" w:cs="Times New Roman"/>
          <w:b/>
          <w:bCs/>
          <w:sz w:val="24"/>
          <w:szCs w:val="24"/>
          <w:lang w:eastAsia="ko-KR"/>
        </w:rPr>
        <w:t>Class B</w:t>
      </w:r>
      <w:r w:rsidRPr="00075FE4">
        <w:rPr>
          <w:rFonts w:ascii="Century Schoolbook" w:eastAsia="Batang" w:hAnsi="Century Schoolbook" w:cs="Times New Roman"/>
          <w:sz w:val="24"/>
          <w:szCs w:val="24"/>
          <w:lang w:eastAsia="ko-KR"/>
        </w:rPr>
        <w:t xml:space="preserve"> -- Any single vehicle with a GVWR of 26,001 or more pounds, or any such vehicle towing a vehicle not in excess of 10,000 pounds GVWR.</w:t>
      </w:r>
    </w:p>
    <w:p w:rsidR="00075FE4" w:rsidRPr="00075FE4" w:rsidRDefault="00075FE4" w:rsidP="00075FE4">
      <w:pPr>
        <w:spacing w:before="168" w:after="192" w:line="240" w:lineRule="auto"/>
        <w:ind w:left="360" w:right="360"/>
        <w:jc w:val="both"/>
        <w:rPr>
          <w:rFonts w:ascii="Century Schoolbook" w:eastAsia="Batang" w:hAnsi="Century Schoolbook" w:cs="Times New Roman"/>
          <w:sz w:val="24"/>
          <w:szCs w:val="24"/>
          <w:lang w:eastAsia="ko-KR"/>
        </w:rPr>
      </w:pPr>
      <w:r w:rsidRPr="00075FE4">
        <w:rPr>
          <w:rFonts w:ascii="Century Schoolbook" w:eastAsia="Batang" w:hAnsi="Century Schoolbook" w:cs="Times New Roman"/>
          <w:b/>
          <w:bCs/>
          <w:sz w:val="24"/>
          <w:szCs w:val="24"/>
          <w:lang w:eastAsia="ko-KR"/>
        </w:rPr>
        <w:t>Class C</w:t>
      </w:r>
      <w:r w:rsidRPr="00075FE4">
        <w:rPr>
          <w:rFonts w:ascii="Century Schoolbook" w:eastAsia="Batang" w:hAnsi="Century Schoolbook" w:cs="Times New Roman"/>
          <w:sz w:val="24"/>
          <w:szCs w:val="24"/>
          <w:lang w:eastAsia="ko-KR"/>
        </w:rPr>
        <w:t xml:space="preserve"> -- Any single vehicle, or combination of vehicles, that does not meet the definition of Class A or Class B, but is either designed to transport 16 or more passengers, including the driver, or is transporting material that has been </w:t>
      </w:r>
      <w:r w:rsidRPr="00075FE4">
        <w:rPr>
          <w:rFonts w:ascii="Century Schoolbook" w:eastAsia="Batang" w:hAnsi="Century Schoolbook" w:cs="Times New Roman"/>
          <w:sz w:val="24"/>
          <w:szCs w:val="24"/>
          <w:lang w:eastAsia="ko-KR"/>
        </w:rPr>
        <w:lastRenderedPageBreak/>
        <w:t>designated as hazardous under 49 U.S.C. 5103 and is required to be placarded under subpart F of 49 C.F.R. Part 172 or is transporting any quantity of a material listed as a select agent or toxin in 42 C.F.R. Part 73.</w:t>
      </w:r>
      <w:r w:rsidRPr="00075FE4">
        <w:rPr>
          <w:rFonts w:ascii="Century Schoolbook" w:eastAsia="Batang" w:hAnsi="Century Schoolbook" w:cs="Times New Roman"/>
          <w:sz w:val="24"/>
          <w:szCs w:val="24"/>
          <w:vertAlign w:val="superscript"/>
          <w:lang w:eastAsia="ko-KR"/>
        </w:rPr>
        <w:endnoteReference w:id="575"/>
      </w: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Thus, a CDL is </w:t>
      </w:r>
      <w:r w:rsidRPr="00075FE4">
        <w:rPr>
          <w:rFonts w:ascii="Century Schoolbook" w:eastAsia="Times New Roman" w:hAnsi="Century Schoolbook" w:cs="Times New Roman"/>
          <w:i/>
          <w:sz w:val="24"/>
          <w:szCs w:val="24"/>
        </w:rPr>
        <w:t xml:space="preserve">not </w:t>
      </w:r>
      <w:r w:rsidRPr="00075FE4">
        <w:rPr>
          <w:rFonts w:ascii="Century Schoolbook" w:eastAsia="Times New Roman" w:hAnsi="Century Schoolbook" w:cs="Times New Roman"/>
          <w:sz w:val="24"/>
          <w:szCs w:val="24"/>
        </w:rPr>
        <w:t>required if the vehicle in question has a GCWR or GVWR of 26,000 pounds or less, assuming it is not carrying hazardous material or select agents or toxins.</w:t>
      </w:r>
      <w:r w:rsidRPr="00075FE4">
        <w:rPr>
          <w:rFonts w:ascii="Century Schoolbook" w:eastAsia="Times New Roman" w:hAnsi="Century Schoolbook" w:cs="Times New Roman"/>
          <w:sz w:val="24"/>
          <w:szCs w:val="24"/>
          <w:vertAlign w:val="superscript"/>
        </w:rPr>
        <w:endnoteReference w:id="576"/>
      </w:r>
    </w:p>
    <w:p w:rsidR="00075FE4" w:rsidRPr="00075FE4" w:rsidRDefault="00075FE4" w:rsidP="00075FE4">
      <w:pPr>
        <w:spacing w:after="0" w:line="240" w:lineRule="auto"/>
        <w:ind w:firstLine="720"/>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Therefore, if a driver (regardless of whether or not he has a CDL) is driving a vehicle with GCWR or GVWR of 26,000 pounds or less </w:t>
      </w:r>
      <w:r w:rsidRPr="00075FE4">
        <w:rPr>
          <w:rFonts w:ascii="Century Schoolbook" w:eastAsia="Times New Roman" w:hAnsi="Century Schoolbook" w:cs="Times New Roman"/>
          <w:i/>
          <w:sz w:val="24"/>
          <w:szCs w:val="24"/>
        </w:rPr>
        <w:t>and</w:t>
      </w:r>
      <w:r w:rsidRPr="00075FE4">
        <w:rPr>
          <w:rFonts w:ascii="Century Schoolbook" w:eastAsia="Times New Roman" w:hAnsi="Century Schoolbook" w:cs="Times New Roman"/>
          <w:sz w:val="24"/>
          <w:szCs w:val="24"/>
        </w:rPr>
        <w:t xml:space="preserve"> works only within a 150 air-mile radius of his normal reporting location </w:t>
      </w:r>
      <w:r w:rsidRPr="00075FE4">
        <w:rPr>
          <w:rFonts w:ascii="Century Schoolbook" w:eastAsia="Times New Roman" w:hAnsi="Century Schoolbook" w:cs="Times New Roman"/>
          <w:i/>
          <w:sz w:val="24"/>
          <w:szCs w:val="24"/>
        </w:rPr>
        <w:t>and</w:t>
      </w:r>
      <w:r w:rsidRPr="00075FE4">
        <w:rPr>
          <w:rFonts w:ascii="Century Schoolbook" w:eastAsia="Times New Roman" w:hAnsi="Century Schoolbook" w:cs="Times New Roman"/>
          <w:sz w:val="24"/>
          <w:szCs w:val="24"/>
        </w:rPr>
        <w:t xml:space="preserve"> reports and returns to the same location every day, the driver is allowed to increase his on-duty time to 16 hours (versus 14) up to two times per week after any 34-hour reset period (or 24 hours if the vehicle qualifies as a motor vehicle used primarily to transport construction materials and equipment</w:t>
      </w:r>
      <w:r w:rsidRPr="00075FE4">
        <w:rPr>
          <w:rFonts w:ascii="Century Schoolbook" w:eastAsia="Times New Roman" w:hAnsi="Century Schoolbook" w:cs="Times New Roman"/>
          <w:sz w:val="24"/>
          <w:szCs w:val="24"/>
          <w:vertAlign w:val="superscript"/>
        </w:rPr>
        <w:endnoteReference w:id="577"/>
      </w:r>
      <w:r w:rsidRPr="00075FE4">
        <w:rPr>
          <w:rFonts w:ascii="Century Schoolbook" w:eastAsia="Times New Roman" w:hAnsi="Century Schoolbook" w:cs="Times New Roman"/>
          <w:sz w:val="24"/>
          <w:szCs w:val="24"/>
        </w:rPr>
        <w:t xml:space="preserve"> – see subsection D, below).  Logbooks are likewise not required, but records of hours must be maintained and retained as indicated in subsection E, below.  </w:t>
      </w:r>
    </w:p>
    <w:p w:rsidR="00075FE4" w:rsidRPr="00075FE4" w:rsidRDefault="00075FE4" w:rsidP="00075FE4">
      <w:pPr>
        <w:spacing w:after="0" w:line="240" w:lineRule="auto"/>
        <w:ind w:firstLine="720"/>
        <w:jc w:val="both"/>
        <w:rPr>
          <w:rFonts w:ascii="Century Schoolbook" w:eastAsia="Times New Roman" w:hAnsi="Century Schoolbook" w:cs="Times New Roman"/>
          <w:sz w:val="24"/>
          <w:szCs w:val="24"/>
        </w:rPr>
      </w:pPr>
    </w:p>
    <w:p w:rsidR="00075FE4" w:rsidRPr="00075FE4" w:rsidRDefault="0093623D" w:rsidP="00075FE4">
      <w:pPr>
        <w:numPr>
          <w:ilvl w:val="0"/>
          <w:numId w:val="24"/>
        </w:numPr>
        <w:tabs>
          <w:tab w:val="left" w:pos="360"/>
        </w:tabs>
        <w:spacing w:after="0" w:line="240" w:lineRule="auto"/>
        <w:ind w:left="0" w:firstLine="0"/>
        <w:jc w:val="center"/>
        <w:rPr>
          <w:rFonts w:ascii="Century Schoolbook" w:eastAsia="Times New Roman" w:hAnsi="Century Schoolbook" w:cs="Times New Roman"/>
          <w:sz w:val="24"/>
          <w:szCs w:val="24"/>
        </w:rPr>
      </w:pPr>
      <w:r>
        <w:rPr>
          <w:rFonts w:ascii="Century Schoolbook" w:eastAsia="Times New Roman" w:hAnsi="Century Schoolbook" w:cs="Times New Roman"/>
          <w:b/>
          <w:sz w:val="24"/>
          <w:szCs w:val="24"/>
        </w:rPr>
        <w:t>Weekly Hour Limitations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If the employing motor carrier does </w:t>
      </w:r>
      <w:r w:rsidRPr="00075FE4">
        <w:rPr>
          <w:rFonts w:ascii="Century Schoolbook" w:eastAsia="Times New Roman" w:hAnsi="Century Schoolbook" w:cs="Times New Roman"/>
          <w:i/>
          <w:sz w:val="24"/>
          <w:szCs w:val="24"/>
        </w:rPr>
        <w:t>not</w:t>
      </w:r>
      <w:r w:rsidRPr="00075FE4">
        <w:rPr>
          <w:rFonts w:ascii="Century Schoolbook" w:eastAsia="Times New Roman" w:hAnsi="Century Schoolbook" w:cs="Times New Roman"/>
          <w:sz w:val="24"/>
          <w:szCs w:val="24"/>
        </w:rPr>
        <w:t xml:space="preserve"> operate commercial motor </w:t>
      </w:r>
      <w:r w:rsidRPr="00075FE4">
        <w:rPr>
          <w:rFonts w:ascii="Century Schoolbook" w:eastAsia="Times New Roman" w:hAnsi="Century Schoolbook" w:cs="Times New Roman"/>
          <w:sz w:val="24"/>
          <w:szCs w:val="24"/>
        </w:rPr>
        <w:lastRenderedPageBreak/>
        <w:t xml:space="preserve">vehicles every day of the week, the driver cannot drive after having been on duty for 60 hours in any period of seven consecutive days; for employing motor carriers who </w:t>
      </w:r>
      <w:r w:rsidRPr="00075FE4">
        <w:rPr>
          <w:rFonts w:ascii="Century Schoolbook" w:eastAsia="Times New Roman" w:hAnsi="Century Schoolbook" w:cs="Times New Roman"/>
          <w:i/>
          <w:sz w:val="24"/>
          <w:szCs w:val="24"/>
        </w:rPr>
        <w:t>do</w:t>
      </w:r>
      <w:r w:rsidRPr="00075FE4">
        <w:rPr>
          <w:rFonts w:ascii="Century Schoolbook" w:eastAsia="Times New Roman" w:hAnsi="Century Schoolbook" w:cs="Times New Roman"/>
          <w:sz w:val="24"/>
          <w:szCs w:val="24"/>
        </w:rPr>
        <w:t xml:space="preserve"> operate commercial motor vehicles every day of the week, the driver cannot drive at all after having been on duty for 70 hours and any period of eight consecutive days.</w:t>
      </w:r>
      <w:r w:rsidRPr="00075FE4">
        <w:rPr>
          <w:rFonts w:ascii="Century Schoolbook" w:eastAsia="Times New Roman" w:hAnsi="Century Schoolbook" w:cs="Times New Roman"/>
          <w:sz w:val="24"/>
          <w:szCs w:val="24"/>
          <w:vertAlign w:val="superscript"/>
        </w:rPr>
        <w:endnoteReference w:id="578"/>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seven- or eight-day period may be “reset” by the driver going off duty for a period of 34 or more consecutive hours.</w:t>
      </w:r>
      <w:r w:rsidRPr="00075FE4">
        <w:rPr>
          <w:rFonts w:ascii="Century Schoolbook" w:eastAsia="Times New Roman" w:hAnsi="Century Schoolbook" w:cs="Times New Roman"/>
          <w:sz w:val="24"/>
          <w:szCs w:val="24"/>
          <w:vertAlign w:val="superscript"/>
        </w:rPr>
        <w:endnoteReference w:id="579"/>
      </w:r>
      <w:r w:rsidRPr="00075FE4">
        <w:rPr>
          <w:rFonts w:ascii="Century Schoolbook" w:eastAsia="Times New Roman" w:hAnsi="Century Schoolbook" w:cs="Times New Roman"/>
          <w:sz w:val="24"/>
          <w:szCs w:val="24"/>
        </w:rPr>
        <w:t xml:space="preserve"> Note that there is a significant change to this reset provision in the new rules</w:t>
      </w:r>
      <w:r w:rsidRPr="00075FE4">
        <w:rPr>
          <w:rFonts w:ascii="Century Schoolbook" w:eastAsia="Times New Roman" w:hAnsi="Century Schoolbook" w:cs="Times New Roman"/>
          <w:sz w:val="24"/>
          <w:szCs w:val="24"/>
          <w:vertAlign w:val="superscript"/>
        </w:rPr>
        <w:endnoteReference w:id="580"/>
      </w:r>
      <w:r w:rsidRPr="00075FE4">
        <w:rPr>
          <w:rFonts w:ascii="Century Schoolbook" w:eastAsia="Times New Roman" w:hAnsi="Century Schoolbook" w:cs="Times New Roman"/>
          <w:sz w:val="24"/>
          <w:szCs w:val="24"/>
        </w:rPr>
        <w:t>, which have a compliance date of July 1, 2013.  (See below).</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key to the foregoing current regulations (and the new regulations) will be the definition of what constitutes “on duty time.” 49 C.F.R. § 395.2 defines “on duty time” as “</w:t>
      </w:r>
      <w:r w:rsidRPr="00075FE4">
        <w:rPr>
          <w:rFonts w:ascii="Century Schoolbook" w:eastAsia="Times New Roman" w:hAnsi="Century Schoolbook" w:cs="Times New Roman"/>
          <w:color w:val="000000"/>
          <w:sz w:val="24"/>
          <w:szCs w:val="24"/>
          <w:shd w:val="clear" w:color="auto" w:fill="FFFFFF"/>
        </w:rPr>
        <w:t>all time from the time a driver begins to work or is required to be in readiness to work until the time the driver is relieved from work and all responsibility for performing work.</w:t>
      </w:r>
      <w:r w:rsidRPr="00075FE4">
        <w:rPr>
          <w:rFonts w:ascii="Century Schoolbook" w:eastAsia="Times New Roman" w:hAnsi="Century Schoolbook" w:cs="Times New Roman"/>
          <w:sz w:val="24"/>
          <w:szCs w:val="24"/>
        </w:rPr>
        <w:t>”  “On duty time” specifically includes the following:</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numPr>
          <w:ilvl w:val="0"/>
          <w:numId w:val="26"/>
        </w:numPr>
        <w:tabs>
          <w:tab w:val="num" w:pos="1080"/>
          <w:tab w:val="left" w:pos="3420"/>
        </w:tabs>
        <w:spacing w:after="60" w:line="240" w:lineRule="auto"/>
        <w:ind w:left="1080"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 xml:space="preserve">All time at a plant, terminal, facility, or other property of a motor carrier or shipper, or on any public property, waiting to be dispatched, unless </w:t>
      </w:r>
      <w:r w:rsidRPr="00075FE4">
        <w:rPr>
          <w:rFonts w:ascii="Century Schoolbook" w:eastAsia="Times New Roman" w:hAnsi="Century Schoolbook" w:cs="Times New Roman"/>
          <w:color w:val="000000"/>
          <w:sz w:val="24"/>
          <w:szCs w:val="24"/>
          <w:shd w:val="clear" w:color="auto" w:fill="FFFFFF"/>
        </w:rPr>
        <w:lastRenderedPageBreak/>
        <w:t>the driver has been relieved from duty by the motor carrier;</w:t>
      </w:r>
    </w:p>
    <w:p w:rsidR="00075FE4" w:rsidRPr="00075FE4" w:rsidRDefault="00075FE4" w:rsidP="00075FE4">
      <w:pPr>
        <w:numPr>
          <w:ilvl w:val="0"/>
          <w:numId w:val="26"/>
        </w:numPr>
        <w:tabs>
          <w:tab w:val="num" w:pos="1080"/>
        </w:tabs>
        <w:spacing w:after="60" w:line="240" w:lineRule="auto"/>
        <w:ind w:left="1080"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All time inspecting, servicing, or conditioning any commercial motor vehicle at any time;</w:t>
      </w:r>
    </w:p>
    <w:p w:rsidR="00075FE4" w:rsidRPr="00075FE4" w:rsidRDefault="00075FE4" w:rsidP="00075FE4">
      <w:pPr>
        <w:numPr>
          <w:ilvl w:val="0"/>
          <w:numId w:val="26"/>
        </w:numPr>
        <w:tabs>
          <w:tab w:val="num" w:pos="1080"/>
        </w:tabs>
        <w:spacing w:after="60" w:line="240" w:lineRule="auto"/>
        <w:ind w:left="1080"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All driving time as defined in the term </w:t>
      </w:r>
      <w:r w:rsidRPr="00075FE4">
        <w:rPr>
          <w:rFonts w:ascii="Century Schoolbook" w:eastAsia="Times New Roman" w:hAnsi="Century Schoolbook" w:cs="Times New Roman"/>
          <w:bCs/>
          <w:iCs/>
          <w:color w:val="000000"/>
          <w:sz w:val="24"/>
          <w:szCs w:val="24"/>
          <w:shd w:val="clear" w:color="auto" w:fill="FFFFFF"/>
        </w:rPr>
        <w:t>driving time;</w:t>
      </w:r>
    </w:p>
    <w:p w:rsidR="00075FE4" w:rsidRPr="00075FE4" w:rsidRDefault="00075FE4" w:rsidP="00075FE4">
      <w:pPr>
        <w:numPr>
          <w:ilvl w:val="0"/>
          <w:numId w:val="26"/>
        </w:numPr>
        <w:tabs>
          <w:tab w:val="num" w:pos="1080"/>
        </w:tabs>
        <w:spacing w:after="60" w:line="240" w:lineRule="auto"/>
        <w:ind w:left="1080" w:right="54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 xml:space="preserve">All time in or on a commercial motor vehicle, other than: </w:t>
      </w:r>
    </w:p>
    <w:p w:rsidR="00075FE4" w:rsidRPr="00075FE4" w:rsidRDefault="00075FE4" w:rsidP="0093623D">
      <w:pPr>
        <w:numPr>
          <w:ilvl w:val="1"/>
          <w:numId w:val="26"/>
        </w:numPr>
        <w:tabs>
          <w:tab w:val="clear" w:pos="1860"/>
          <w:tab w:val="num" w:pos="1440"/>
        </w:tabs>
        <w:spacing w:after="60" w:line="240" w:lineRule="auto"/>
        <w:ind w:left="1440" w:right="360" w:hanging="360"/>
        <w:jc w:val="both"/>
        <w:rPr>
          <w:rFonts w:ascii="Century Schoolbook" w:eastAsia="Times New Roman" w:hAnsi="Century Schoolbook" w:cs="Times New Roman"/>
          <w:color w:val="000000"/>
          <w:sz w:val="24"/>
          <w:szCs w:val="24"/>
          <w:shd w:val="clear" w:color="auto" w:fill="FFFFFF"/>
        </w:rPr>
      </w:pPr>
      <w:r w:rsidRPr="00075FE4">
        <w:rPr>
          <w:rFonts w:ascii="Century Schoolbook" w:eastAsia="Times New Roman" w:hAnsi="Century Schoolbook" w:cs="Times New Roman"/>
          <w:color w:val="000000"/>
          <w:sz w:val="24"/>
          <w:szCs w:val="24"/>
          <w:shd w:val="clear" w:color="auto" w:fill="FFFFFF"/>
        </w:rPr>
        <w:t>Time spent resting in or on a parked vehicle, except as otherwise provided in §397.5 of this subchapter;</w:t>
      </w:r>
    </w:p>
    <w:p w:rsidR="00075FE4" w:rsidRPr="00075FE4" w:rsidRDefault="00075FE4" w:rsidP="0093623D">
      <w:pPr>
        <w:numPr>
          <w:ilvl w:val="1"/>
          <w:numId w:val="26"/>
        </w:numPr>
        <w:tabs>
          <w:tab w:val="clear" w:pos="1860"/>
          <w:tab w:val="num" w:pos="1440"/>
        </w:tabs>
        <w:spacing w:after="60" w:line="240" w:lineRule="auto"/>
        <w:ind w:left="1440" w:right="360" w:hanging="360"/>
        <w:jc w:val="both"/>
        <w:rPr>
          <w:rFonts w:ascii="Century Schoolbook" w:eastAsia="Times New Roman" w:hAnsi="Century Schoolbook" w:cs="Times New Roman"/>
          <w:color w:val="000000"/>
          <w:sz w:val="24"/>
          <w:szCs w:val="24"/>
          <w:shd w:val="clear" w:color="auto" w:fill="FFFFFF"/>
        </w:rPr>
      </w:pPr>
      <w:r w:rsidRPr="00075FE4">
        <w:rPr>
          <w:rFonts w:ascii="Century Schoolbook" w:eastAsia="Times New Roman" w:hAnsi="Century Schoolbook" w:cs="Times New Roman"/>
          <w:color w:val="000000"/>
          <w:sz w:val="24"/>
          <w:szCs w:val="24"/>
          <w:shd w:val="clear" w:color="auto" w:fill="FFFFFF"/>
        </w:rPr>
        <w:t>Time spent resting in a </w:t>
      </w:r>
      <w:r w:rsidR="0093623D">
        <w:rPr>
          <w:rFonts w:ascii="Century Schoolbook" w:eastAsia="Times New Roman" w:hAnsi="Century Schoolbook" w:cs="Times New Roman"/>
          <w:bCs/>
          <w:iCs/>
          <w:color w:val="000000"/>
          <w:sz w:val="24"/>
          <w:szCs w:val="24"/>
          <w:shd w:val="clear" w:color="auto" w:fill="FFFFFF"/>
        </w:rPr>
        <w:t xml:space="preserve">sleeper berth; </w:t>
      </w:r>
      <w:r w:rsidRPr="00075FE4">
        <w:rPr>
          <w:rFonts w:ascii="Century Schoolbook" w:eastAsia="Times New Roman" w:hAnsi="Century Schoolbook" w:cs="Times New Roman"/>
          <w:color w:val="000000"/>
          <w:sz w:val="24"/>
          <w:szCs w:val="24"/>
          <w:shd w:val="clear" w:color="auto" w:fill="FFFFFF"/>
        </w:rPr>
        <w:t>or</w:t>
      </w:r>
    </w:p>
    <w:p w:rsidR="00075FE4" w:rsidRPr="00075FE4" w:rsidRDefault="00075FE4" w:rsidP="0093623D">
      <w:pPr>
        <w:numPr>
          <w:ilvl w:val="1"/>
          <w:numId w:val="26"/>
        </w:numPr>
        <w:tabs>
          <w:tab w:val="clear" w:pos="1860"/>
          <w:tab w:val="num" w:pos="1440"/>
        </w:tabs>
        <w:spacing w:after="60" w:line="240" w:lineRule="auto"/>
        <w:ind w:left="1440" w:right="360" w:hanging="360"/>
        <w:jc w:val="both"/>
        <w:rPr>
          <w:rFonts w:ascii="Century Schoolbook" w:eastAsia="Times New Roman" w:hAnsi="Century Schoolbook" w:cs="Times New Roman"/>
          <w:color w:val="000000"/>
          <w:sz w:val="24"/>
          <w:szCs w:val="24"/>
          <w:shd w:val="clear" w:color="auto" w:fill="FFFFFF"/>
        </w:rPr>
      </w:pPr>
      <w:r w:rsidRPr="00075FE4">
        <w:rPr>
          <w:rFonts w:ascii="Century Schoolbook" w:eastAsia="Times New Roman" w:hAnsi="Century Schoolbook" w:cs="Times New Roman"/>
          <w:color w:val="000000"/>
          <w:sz w:val="24"/>
          <w:szCs w:val="24"/>
          <w:shd w:val="clear" w:color="auto" w:fill="FFFFFF"/>
        </w:rPr>
        <w:t>Up to 2 hours riding in the passenger seat of a property-carrying vehicle moving on the highway immediately before or after a period of at least 8 consecutive hours in the sleeper berth;</w:t>
      </w:r>
    </w:p>
    <w:p w:rsidR="00075FE4" w:rsidRPr="00075FE4" w:rsidRDefault="00075FE4" w:rsidP="00075FE4">
      <w:pPr>
        <w:numPr>
          <w:ilvl w:val="0"/>
          <w:numId w:val="26"/>
        </w:numPr>
        <w:tabs>
          <w:tab w:val="num" w:pos="1080"/>
        </w:tabs>
        <w:spacing w:after="60" w:line="240" w:lineRule="auto"/>
        <w:ind w:left="1080" w:right="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 xml:space="preserve">All time loading or unloading a commercial motor vehicle, supervising, or assisting in the loading or unloading, </w:t>
      </w:r>
      <w:r w:rsidRPr="00075FE4">
        <w:rPr>
          <w:rFonts w:ascii="Century Schoolbook" w:eastAsia="Times New Roman" w:hAnsi="Century Schoolbook" w:cs="Times New Roman"/>
          <w:color w:val="000000"/>
          <w:sz w:val="24"/>
          <w:szCs w:val="24"/>
          <w:shd w:val="clear" w:color="auto" w:fill="FFFFFF"/>
        </w:rPr>
        <w:lastRenderedPageBreak/>
        <w:t>attending a commercial motor vehicle being loaded or unloaded, remaining in readiness to operate the commercial motor vehicle, or in giving or receiving receipts for shipments loaded or unloaded;</w:t>
      </w:r>
    </w:p>
    <w:p w:rsidR="00075FE4" w:rsidRPr="00075FE4" w:rsidRDefault="00075FE4" w:rsidP="00075FE4">
      <w:pPr>
        <w:numPr>
          <w:ilvl w:val="0"/>
          <w:numId w:val="26"/>
        </w:numPr>
        <w:tabs>
          <w:tab w:val="num" w:pos="1080"/>
        </w:tabs>
        <w:spacing w:after="60" w:line="240" w:lineRule="auto"/>
        <w:ind w:left="1080" w:right="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All time repairing, obtaining assistance, or remaining in attendance upon a disabled commercial motor vehicle;</w:t>
      </w:r>
    </w:p>
    <w:p w:rsidR="00075FE4" w:rsidRPr="00075FE4" w:rsidRDefault="00075FE4" w:rsidP="00075FE4">
      <w:pPr>
        <w:numPr>
          <w:ilvl w:val="0"/>
          <w:numId w:val="26"/>
        </w:numPr>
        <w:tabs>
          <w:tab w:val="num" w:pos="1080"/>
        </w:tabs>
        <w:spacing w:after="60" w:line="240" w:lineRule="auto"/>
        <w:ind w:left="1080" w:right="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All time spent providing a breath sample or urine specimen, including travel time to and from the collection site, to comply with the random, reasonable suspicion, post-crash, or follow-up testing required by part 382 of this subchapter when directed by a motor carrier;</w:t>
      </w:r>
    </w:p>
    <w:p w:rsidR="00075FE4" w:rsidRPr="00075FE4" w:rsidRDefault="00075FE4" w:rsidP="00075FE4">
      <w:pPr>
        <w:numPr>
          <w:ilvl w:val="0"/>
          <w:numId w:val="26"/>
        </w:numPr>
        <w:tabs>
          <w:tab w:val="num" w:pos="1080"/>
        </w:tabs>
        <w:spacing w:after="60" w:line="240" w:lineRule="auto"/>
        <w:ind w:left="1080" w:right="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Performing any other work in the capacity, employ, or service of, a motor carrier; and</w:t>
      </w:r>
    </w:p>
    <w:p w:rsidR="00075FE4" w:rsidRPr="00075FE4" w:rsidRDefault="00075FE4" w:rsidP="00075FE4">
      <w:pPr>
        <w:numPr>
          <w:ilvl w:val="0"/>
          <w:numId w:val="26"/>
        </w:numPr>
        <w:tabs>
          <w:tab w:val="num" w:pos="1080"/>
        </w:tabs>
        <w:spacing w:after="60" w:line="240" w:lineRule="auto"/>
        <w:ind w:left="1080" w:right="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color w:val="000000"/>
          <w:sz w:val="24"/>
          <w:szCs w:val="24"/>
          <w:shd w:val="clear" w:color="auto" w:fill="FFFFFF"/>
        </w:rPr>
        <w:t>Performing any compensated work for a person who is not a motor carrier.</w:t>
      </w:r>
      <w:r w:rsidRPr="00075FE4">
        <w:rPr>
          <w:rFonts w:ascii="Century Schoolbook" w:eastAsia="Times New Roman" w:hAnsi="Century Schoolbook" w:cs="Times New Roman"/>
          <w:color w:val="000000"/>
          <w:sz w:val="24"/>
          <w:szCs w:val="24"/>
          <w:shd w:val="clear" w:color="auto" w:fill="FFFFFF"/>
          <w:vertAlign w:val="superscript"/>
        </w:rPr>
        <w:endnoteReference w:id="581"/>
      </w:r>
    </w:p>
    <w:p w:rsidR="00075FE4" w:rsidRPr="00075FE4" w:rsidRDefault="00075FE4" w:rsidP="00075FE4">
      <w:pPr>
        <w:spacing w:after="0" w:line="240" w:lineRule="auto"/>
        <w:ind w:left="420"/>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lastRenderedPageBreak/>
        <w:t>Also paramount to the HOS regulations is what constitutes “driving time.”  49 C.F.R. § 395.2 provides, “Driving time means all time spent at the driving controls of a commercial motor vehicle in operation.”  This author interprets this to mean that if a driver is in the driver’s seat with the engine on, he or she is incurring driving time.  Georgia’s more restrictive DUI statute</w:t>
      </w:r>
      <w:r w:rsidRPr="00075FE4">
        <w:rPr>
          <w:rFonts w:ascii="Century Schoolbook" w:eastAsia="Times New Roman" w:hAnsi="Century Schoolbook" w:cs="Times New Roman"/>
          <w:sz w:val="24"/>
          <w:szCs w:val="24"/>
          <w:vertAlign w:val="superscript"/>
        </w:rPr>
        <w:endnoteReference w:id="582"/>
      </w:r>
      <w:r w:rsidRPr="00075FE4">
        <w:rPr>
          <w:rFonts w:ascii="Century Schoolbook" w:eastAsia="Times New Roman" w:hAnsi="Century Schoolbook" w:cs="Times New Roman"/>
          <w:sz w:val="24"/>
          <w:szCs w:val="24"/>
        </w:rPr>
        <w:t xml:space="preserve"> requires a person to be in “actual physical control” of a vehicle, and the case law allows for DUI convictions so long as the driver is behind the wheel of the vehicle, regardless of whether or not the engine is running. </w:t>
      </w: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To avoid long periods of waiting to constitute “driving time,” the driver can either turn the vehicle off or allow it to idle while he or she is not sitting in the driver’s seat behind the wheel.</w:t>
      </w:r>
    </w:p>
    <w:p w:rsidR="00075FE4" w:rsidRDefault="00075FE4" w:rsidP="00075FE4">
      <w:pPr>
        <w:spacing w:after="0" w:line="240" w:lineRule="auto"/>
        <w:ind w:firstLine="360"/>
        <w:jc w:val="both"/>
        <w:rPr>
          <w:rFonts w:ascii="Century Schoolbook" w:eastAsia="Times New Roman" w:hAnsi="Century Schoolbook" w:cs="Times New Roman"/>
          <w:sz w:val="24"/>
          <w:szCs w:val="24"/>
        </w:rPr>
      </w:pPr>
    </w:p>
    <w:p w:rsidR="00075FE4" w:rsidRPr="00075FE4" w:rsidRDefault="00075FE4" w:rsidP="00075FE4">
      <w:pPr>
        <w:numPr>
          <w:ilvl w:val="0"/>
          <w:numId w:val="24"/>
        </w:numPr>
        <w:spacing w:after="0" w:line="240" w:lineRule="auto"/>
        <w:ind w:left="360"/>
        <w:jc w:val="center"/>
        <w:rPr>
          <w:rFonts w:ascii="Century Schoolbook" w:eastAsia="Times New Roman" w:hAnsi="Century Schoolbook" w:cs="Times New Roman"/>
          <w:sz w:val="24"/>
          <w:szCs w:val="24"/>
        </w:rPr>
      </w:pPr>
      <w:r w:rsidRPr="00075FE4">
        <w:rPr>
          <w:rFonts w:ascii="Century Schoolbook" w:eastAsia="Times New Roman" w:hAnsi="Century Schoolbook" w:cs="Times New Roman"/>
          <w:b/>
          <w:sz w:val="24"/>
          <w:szCs w:val="24"/>
        </w:rPr>
        <w:t>Shorter “Reset” Provision for Certain Vehicles Carrying Construction Materials and Equipment</w:t>
      </w:r>
    </w:p>
    <w:p w:rsidR="00075FE4" w:rsidRPr="00075FE4" w:rsidRDefault="00075FE4" w:rsidP="00075FE4">
      <w:pPr>
        <w:spacing w:after="0" w:line="240" w:lineRule="auto"/>
        <w:ind w:left="780"/>
        <w:jc w:val="both"/>
        <w:rPr>
          <w:rFonts w:ascii="Century Schoolbook" w:eastAsia="Times New Roman" w:hAnsi="Century Schoolbook" w:cs="Times New Roman"/>
          <w:sz w:val="24"/>
          <w:szCs w:val="24"/>
        </w:rPr>
      </w:pPr>
    </w:p>
    <w:p w:rsidR="00075FE4" w:rsidRPr="00075FE4" w:rsidRDefault="00075FE4" w:rsidP="005C27FD">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Note that 49 C.F.R. § 395.1(m) provides an exception for drivers of a commercial motor vehicle used primarily in the transportation of construction materials and equipment—the reset period is not 34 consecutive off-duty hours, but is lessened to a period of 24 or more consecutive hours off duty.</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lastRenderedPageBreak/>
        <w:t>However, this lower reset period is limited by the definition of “transportation of construction materials and equipment”—the transportation of construction and pavement materials, construction equipment, and construction maintenance vehicles, by a driver to or from an active construction site (a construction site between mobilization of equipment and materials to the site to the final completion of the construction project) within a 50 air mile radius of the normal work reporting location of the driver (excluding the transportation of hazardous materials in quantities requiring a placard).</w:t>
      </w:r>
      <w:r w:rsidRPr="00075FE4">
        <w:rPr>
          <w:rFonts w:ascii="Century Schoolbook" w:eastAsia="Times New Roman" w:hAnsi="Century Schoolbook" w:cs="Times New Roman"/>
          <w:sz w:val="24"/>
          <w:szCs w:val="24"/>
          <w:vertAlign w:val="superscript"/>
        </w:rPr>
        <w:endnoteReference w:id="583"/>
      </w:r>
      <w:r w:rsidRPr="00075FE4">
        <w:rPr>
          <w:rFonts w:ascii="Century Schoolbook" w:eastAsia="Times New Roman" w:hAnsi="Century Schoolbook" w:cs="Times New Roman"/>
          <w:sz w:val="24"/>
          <w:szCs w:val="24"/>
        </w:rPr>
        <w:t xml:space="preserve">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ab/>
      </w:r>
    </w:p>
    <w:p w:rsidR="00075FE4" w:rsidRPr="00075FE4" w:rsidRDefault="005C27FD" w:rsidP="00075FE4">
      <w:pPr>
        <w:numPr>
          <w:ilvl w:val="0"/>
          <w:numId w:val="24"/>
        </w:numPr>
        <w:spacing w:after="0" w:line="240" w:lineRule="auto"/>
        <w:ind w:left="360"/>
        <w:jc w:val="center"/>
        <w:rPr>
          <w:rFonts w:ascii="Century Schoolbook" w:eastAsia="Times New Roman" w:hAnsi="Century Schoolbook" w:cs="Times New Roman"/>
          <w:b/>
          <w:sz w:val="24"/>
          <w:szCs w:val="24"/>
        </w:rPr>
      </w:pPr>
      <w:r>
        <w:rPr>
          <w:rFonts w:ascii="Century Schoolbook" w:eastAsia="Times New Roman" w:hAnsi="Century Schoolbook" w:cs="Times New Roman"/>
          <w:b/>
          <w:sz w:val="24"/>
          <w:szCs w:val="24"/>
        </w:rPr>
        <w:t>Logbook Requirements</w:t>
      </w:r>
    </w:p>
    <w:p w:rsidR="00075FE4" w:rsidRPr="00075FE4" w:rsidRDefault="00075FE4" w:rsidP="00075FE4">
      <w:pPr>
        <w:spacing w:after="0" w:line="240" w:lineRule="auto"/>
        <w:jc w:val="both"/>
        <w:rPr>
          <w:rFonts w:ascii="Century Schoolbook" w:eastAsia="Times New Roman" w:hAnsi="Century Schoolbook" w:cs="Times New Roman"/>
          <w:b/>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 xml:space="preserve">Logbook requirements are outlined in 49 C.F.R. § 395.8.   At the point that a driver begins driving in interstate commerce, he must have logs with him for his last 7 days (unless explicitly required not to log).  However, the current and the new regulations exempt short haul drivers from keeping such logs </w:t>
      </w:r>
      <w:r w:rsidRPr="00075FE4">
        <w:rPr>
          <w:rFonts w:ascii="Century Schoolbook" w:eastAsia="Times New Roman" w:hAnsi="Century Schoolbook" w:cs="Times New Roman"/>
          <w:i/>
          <w:sz w:val="24"/>
          <w:szCs w:val="24"/>
        </w:rPr>
        <w:t xml:space="preserve">only if </w:t>
      </w:r>
      <w:r w:rsidRPr="00075FE4">
        <w:rPr>
          <w:rFonts w:ascii="Century Schoolbook" w:eastAsia="Times New Roman" w:hAnsi="Century Schoolbook" w:cs="Times New Roman"/>
          <w:sz w:val="24"/>
          <w:szCs w:val="24"/>
        </w:rPr>
        <w:t>the driver qualifies for “short-haul operations”</w:t>
      </w:r>
      <w:r w:rsidRPr="00075FE4">
        <w:rPr>
          <w:rFonts w:ascii="Century Schoolbook" w:eastAsia="Times New Roman" w:hAnsi="Century Schoolbook" w:cs="Times New Roman"/>
          <w:sz w:val="24"/>
          <w:szCs w:val="24"/>
          <w:vertAlign w:val="superscript"/>
        </w:rPr>
        <w:t xml:space="preserve"> </w:t>
      </w:r>
      <w:r w:rsidRPr="00075FE4">
        <w:rPr>
          <w:rFonts w:ascii="Century Schoolbook" w:eastAsia="Times New Roman" w:hAnsi="Century Schoolbook" w:cs="Times New Roman"/>
          <w:sz w:val="24"/>
          <w:szCs w:val="24"/>
          <w:vertAlign w:val="superscript"/>
        </w:rPr>
        <w:endnoteReference w:id="584"/>
      </w:r>
      <w:r w:rsidRPr="00075FE4">
        <w:rPr>
          <w:rFonts w:ascii="Century Schoolbook" w:eastAsia="Times New Roman" w:hAnsi="Century Schoolbook" w:cs="Times New Roman"/>
          <w:sz w:val="24"/>
          <w:szCs w:val="24"/>
        </w:rPr>
        <w:t>—</w:t>
      </w:r>
      <w:r w:rsidRPr="00075FE4">
        <w:rPr>
          <w:rFonts w:ascii="Century Schoolbook" w:eastAsia="Times New Roman" w:hAnsi="Century Schoolbook" w:cs="Times New Roman"/>
          <w:i/>
          <w:sz w:val="24"/>
          <w:szCs w:val="24"/>
        </w:rPr>
        <w:t>i.e.</w:t>
      </w:r>
      <w:r w:rsidRPr="00075FE4">
        <w:rPr>
          <w:rFonts w:ascii="Century Schoolbook" w:eastAsia="Times New Roman" w:hAnsi="Century Schoolbook" w:cs="Times New Roman"/>
          <w:sz w:val="24"/>
          <w:szCs w:val="24"/>
        </w:rPr>
        <w:t xml:space="preserve">, the driver operates only within a 100-air-mile radius of the normal work reporting location; the driver returns to the work reporting location and is released from work within 12 consecutive hours; the driver has at least 10 consecutive hours off duty separating each 12 </w:t>
      </w:r>
      <w:r w:rsidRPr="00075FE4">
        <w:rPr>
          <w:rFonts w:ascii="Century Schoolbook" w:eastAsia="Times New Roman" w:hAnsi="Century Schoolbook" w:cs="Times New Roman"/>
          <w:sz w:val="24"/>
          <w:szCs w:val="24"/>
        </w:rPr>
        <w:lastRenderedPageBreak/>
        <w:t>hours on duty; the driver does not exceed 11 hours maximum driving time following 10 consecutive hours off duty; and the motor carrier that employs the driver maintains and retains for a period of six months accurate and true time records showing the following:</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numPr>
          <w:ilvl w:val="0"/>
          <w:numId w:val="22"/>
        </w:num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time the driver reports for duty each day;</w:t>
      </w:r>
    </w:p>
    <w:p w:rsidR="00075FE4" w:rsidRPr="00075FE4" w:rsidRDefault="00075FE4" w:rsidP="00075FE4">
      <w:pPr>
        <w:numPr>
          <w:ilvl w:val="0"/>
          <w:numId w:val="22"/>
        </w:num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total number of hours the driver is on duty each day;</w:t>
      </w:r>
    </w:p>
    <w:p w:rsidR="00075FE4" w:rsidRPr="00075FE4" w:rsidRDefault="00075FE4" w:rsidP="00075FE4">
      <w:pPr>
        <w:numPr>
          <w:ilvl w:val="0"/>
          <w:numId w:val="22"/>
        </w:num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time the driver is released from duty each day; and</w:t>
      </w:r>
    </w:p>
    <w:p w:rsidR="00075FE4" w:rsidRPr="00075FE4" w:rsidRDefault="00075FE4" w:rsidP="00075FE4">
      <w:pPr>
        <w:numPr>
          <w:ilvl w:val="0"/>
          <w:numId w:val="22"/>
        </w:numPr>
        <w:spacing w:after="0" w:line="240" w:lineRule="auto"/>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total time for the preceding seven days (this applies only to drivers used by more than one company – in that case, you would need to show the driver’s aggregate driving time over the span of a seven-day period for all of the MVCs for which he or she is employed.</w:t>
      </w:r>
      <w:r w:rsidRPr="00075FE4">
        <w:rPr>
          <w:rFonts w:ascii="Century Schoolbook" w:eastAsia="Times New Roman" w:hAnsi="Century Schoolbook" w:cs="Times New Roman"/>
          <w:sz w:val="24"/>
          <w:szCs w:val="24"/>
          <w:vertAlign w:val="superscript"/>
        </w:rPr>
        <w:endnoteReference w:id="585"/>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5C27FD">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This 100-mile-air-radius exception (in addition to the other requirements) applies to both the</w:t>
      </w:r>
      <w:r>
        <w:rPr>
          <w:rFonts w:ascii="Century Schoolbook" w:eastAsia="Times New Roman" w:hAnsi="Century Schoolbook" w:cs="Times New Roman"/>
          <w:sz w:val="24"/>
          <w:szCs w:val="24"/>
        </w:rPr>
        <w:t xml:space="preserve"> </w:t>
      </w:r>
      <w:r w:rsidRPr="00075FE4">
        <w:rPr>
          <w:rFonts w:ascii="Century Schoolbook" w:eastAsia="Times New Roman" w:hAnsi="Century Schoolbook" w:cs="Times New Roman"/>
          <w:sz w:val="24"/>
          <w:szCs w:val="24"/>
        </w:rPr>
        <w:t>current regulations and the new regulations. If any operations require drivers to drive more than 100 miles from their regular reporting area, they have to maintain the logbooks required by 49 C.F.R. § 395.8.</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lastRenderedPageBreak/>
        <w:t>The current rules, unlike the new rules, do not have any “rest break” provisions.</w:t>
      </w:r>
      <w:r w:rsidRPr="00075FE4">
        <w:rPr>
          <w:rFonts w:ascii="Century Schoolbook" w:eastAsia="Times New Roman" w:hAnsi="Century Schoolbook" w:cs="Times New Roman"/>
          <w:sz w:val="24"/>
          <w:szCs w:val="24"/>
          <w:vertAlign w:val="superscript"/>
        </w:rPr>
        <w:endnoteReference w:id="586"/>
      </w:r>
      <w:r w:rsidRPr="00075FE4">
        <w:rPr>
          <w:rFonts w:ascii="Century Schoolbook" w:eastAsia="Times New Roman" w:hAnsi="Century Schoolbook" w:cs="Times New Roman"/>
          <w:sz w:val="24"/>
          <w:szCs w:val="24"/>
        </w:rPr>
        <w:t xml:space="preserve">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current rules have no limitations on the number of “34-hour resets” that may be taken</w:t>
      </w:r>
      <w:r w:rsidRPr="00075FE4">
        <w:rPr>
          <w:rFonts w:ascii="Century Schoolbook" w:eastAsia="Times New Roman" w:hAnsi="Century Schoolbook" w:cs="Times New Roman"/>
          <w:sz w:val="24"/>
          <w:szCs w:val="24"/>
          <w:vertAlign w:val="superscript"/>
        </w:rPr>
        <w:endnoteReference w:id="587"/>
      </w:r>
      <w:r w:rsidRPr="00075FE4">
        <w:rPr>
          <w:rFonts w:ascii="Century Schoolbook" w:eastAsia="Times New Roman" w:hAnsi="Century Schoolbook" w:cs="Times New Roman"/>
          <w:sz w:val="24"/>
          <w:szCs w:val="24"/>
        </w:rPr>
        <w:t>; however, the new rules do,</w:t>
      </w:r>
      <w:r w:rsidRPr="00075FE4">
        <w:rPr>
          <w:rFonts w:ascii="Century Schoolbook" w:eastAsia="Times New Roman" w:hAnsi="Century Schoolbook" w:cs="Times New Roman"/>
          <w:sz w:val="24"/>
          <w:szCs w:val="24"/>
          <w:vertAlign w:val="superscript"/>
        </w:rPr>
        <w:endnoteReference w:id="588"/>
      </w:r>
      <w:r w:rsidRPr="00075FE4">
        <w:rPr>
          <w:rFonts w:ascii="Century Schoolbook" w:eastAsia="Times New Roman" w:hAnsi="Century Schoolbook" w:cs="Times New Roman"/>
          <w:sz w:val="24"/>
          <w:szCs w:val="24"/>
        </w:rPr>
        <w:t xml:space="preserve"> and the compliance</w:t>
      </w:r>
      <w:r w:rsidR="002B499B">
        <w:rPr>
          <w:rFonts w:ascii="Century Schoolbook" w:eastAsia="Times New Roman" w:hAnsi="Century Schoolbook" w:cs="Times New Roman"/>
          <w:sz w:val="24"/>
          <w:szCs w:val="24"/>
        </w:rPr>
        <w:t xml:space="preserve"> date is not until July 1, 2013.</w:t>
      </w:r>
    </w:p>
    <w:p w:rsidR="00075FE4" w:rsidRDefault="00075FE4" w:rsidP="00075FE4">
      <w:pPr>
        <w:spacing w:after="0" w:line="240" w:lineRule="auto"/>
        <w:jc w:val="both"/>
        <w:rPr>
          <w:rFonts w:ascii="Century Schoolbook" w:eastAsia="Times New Roman" w:hAnsi="Century Schoolbook" w:cs="Times New Roman"/>
          <w:sz w:val="24"/>
          <w:szCs w:val="24"/>
        </w:rPr>
      </w:pPr>
    </w:p>
    <w:p w:rsidR="002B499B" w:rsidRPr="002B499B" w:rsidRDefault="00A32E3A" w:rsidP="00A32E3A">
      <w:pPr>
        <w:spacing w:after="0" w:line="240" w:lineRule="auto"/>
        <w:ind w:firstLine="360"/>
        <w:jc w:val="both"/>
        <w:rPr>
          <w:rFonts w:ascii="Century Schoolbook" w:eastAsia="Times New Roman" w:hAnsi="Century Schoolbook" w:cs="Times New Roman"/>
          <w:b/>
          <w:i/>
          <w:sz w:val="24"/>
          <w:szCs w:val="24"/>
        </w:rPr>
      </w:pPr>
      <w:r w:rsidRPr="00A32E3A">
        <w:rPr>
          <w:rFonts w:ascii="Century Schoolbook" w:eastAsia="Times New Roman" w:hAnsi="Century Schoolbook" w:cs="Times New Roman"/>
          <w:b/>
          <w:i/>
          <w:sz w:val="24"/>
          <w:szCs w:val="24"/>
        </w:rPr>
        <w:t>See</w:t>
      </w:r>
      <w:r>
        <w:rPr>
          <w:rFonts w:ascii="Century Schoolbook" w:eastAsia="Times New Roman" w:hAnsi="Century Schoolbook" w:cs="Times New Roman"/>
          <w:sz w:val="24"/>
          <w:szCs w:val="24"/>
        </w:rPr>
        <w:t xml:space="preserve"> the chart</w:t>
      </w:r>
      <w:r w:rsidR="00075FE4" w:rsidRPr="00075FE4">
        <w:rPr>
          <w:rFonts w:ascii="Century Schoolbook" w:eastAsia="Times New Roman" w:hAnsi="Century Schoolbook" w:cs="Times New Roman"/>
          <w:sz w:val="24"/>
          <w:szCs w:val="24"/>
        </w:rPr>
        <w:t xml:space="preserve"> of the current rules which are valid until July 1, 201</w:t>
      </w:r>
      <w:r w:rsidR="002B499B">
        <w:rPr>
          <w:rFonts w:ascii="Century Schoolbook" w:eastAsia="Times New Roman" w:hAnsi="Century Schoolbook" w:cs="Times New Roman"/>
          <w:sz w:val="24"/>
          <w:szCs w:val="24"/>
        </w:rPr>
        <w:t>3</w:t>
      </w:r>
      <w:r>
        <w:rPr>
          <w:rFonts w:ascii="Century Schoolbook" w:eastAsia="Times New Roman" w:hAnsi="Century Schoolbook" w:cs="Times New Roman"/>
          <w:sz w:val="24"/>
          <w:szCs w:val="24"/>
        </w:rPr>
        <w:t xml:space="preserve"> in </w:t>
      </w:r>
      <w:r w:rsidRPr="00A32E3A">
        <w:rPr>
          <w:rFonts w:ascii="Century Schoolbook" w:eastAsia="Times New Roman" w:hAnsi="Century Schoolbook" w:cs="Times New Roman"/>
          <w:b/>
          <w:i/>
          <w:sz w:val="24"/>
          <w:szCs w:val="24"/>
        </w:rPr>
        <w:t>Appendix B</w:t>
      </w:r>
      <w:r w:rsidR="00A62147">
        <w:rPr>
          <w:rFonts w:ascii="Century Schoolbook" w:eastAsia="Times New Roman" w:hAnsi="Century Schoolbook" w:cs="Times New Roman"/>
          <w:b/>
          <w:i/>
          <w:sz w:val="24"/>
          <w:szCs w:val="24"/>
        </w:rPr>
        <w:t>: Hours-of-Service Rules</w:t>
      </w:r>
      <w:r>
        <w:rPr>
          <w:rFonts w:ascii="Century Schoolbook" w:eastAsia="Times New Roman" w:hAnsi="Century Schoolbook" w:cs="Times New Roman"/>
          <w:sz w:val="24"/>
          <w:szCs w:val="24"/>
        </w:rPr>
        <w:t>.</w:t>
      </w:r>
    </w:p>
    <w:p w:rsidR="002B499B" w:rsidRDefault="002B499B" w:rsidP="002B499B">
      <w:pPr>
        <w:spacing w:after="0" w:line="240" w:lineRule="auto"/>
        <w:jc w:val="both"/>
        <w:rPr>
          <w:rFonts w:ascii="Century Schoolbook" w:eastAsia="Times New Roman" w:hAnsi="Century Schoolbook" w:cs="Times New Roman"/>
          <w:sz w:val="24"/>
          <w:szCs w:val="24"/>
        </w:rPr>
      </w:pPr>
    </w:p>
    <w:p w:rsidR="002B499B" w:rsidRDefault="002B499B" w:rsidP="002B499B">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numPr>
          <w:ilvl w:val="0"/>
          <w:numId w:val="23"/>
        </w:numPr>
        <w:tabs>
          <w:tab w:val="clear" w:pos="720"/>
        </w:tabs>
        <w:spacing w:after="0" w:line="240" w:lineRule="auto"/>
        <w:ind w:left="540" w:hanging="540"/>
        <w:jc w:val="both"/>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t>Regulations Which Have a Compliance Date of July 1, 2013</w:t>
      </w:r>
    </w:p>
    <w:p w:rsidR="00075FE4" w:rsidRPr="00075FE4" w:rsidRDefault="00075FE4" w:rsidP="00075FE4">
      <w:pPr>
        <w:spacing w:after="0" w:line="240" w:lineRule="auto"/>
        <w:jc w:val="both"/>
        <w:rPr>
          <w:rFonts w:ascii="Century Schoolbook" w:eastAsia="Times New Roman" w:hAnsi="Century Schoolbook" w:cs="Times New Roman"/>
          <w:b/>
          <w:sz w:val="24"/>
          <w:szCs w:val="24"/>
        </w:rPr>
      </w:pPr>
    </w:p>
    <w:p w:rsidR="00075FE4" w:rsidRPr="00075FE4" w:rsidRDefault="00075FE4" w:rsidP="005C27FD">
      <w:pPr>
        <w:numPr>
          <w:ilvl w:val="0"/>
          <w:numId w:val="25"/>
        </w:numPr>
        <w:spacing w:after="0" w:line="240" w:lineRule="auto"/>
        <w:ind w:left="360"/>
        <w:jc w:val="center"/>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t>Daily Driving Limit</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5C27FD">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proposed rules had contemplated lowering the current driving hour limit. However, the final rules kept this limit the same. Thus, the driving hour limit is an 11-hour limit.</w:t>
      </w:r>
      <w:r w:rsidRPr="00075FE4">
        <w:rPr>
          <w:rFonts w:ascii="Century Schoolbook" w:eastAsia="Times New Roman" w:hAnsi="Century Schoolbook" w:cs="Times New Roman"/>
          <w:sz w:val="24"/>
          <w:szCs w:val="24"/>
          <w:vertAlign w:val="superscript"/>
        </w:rPr>
        <w:endnoteReference w:id="589"/>
      </w:r>
      <w:r w:rsidRPr="00075FE4">
        <w:rPr>
          <w:rFonts w:ascii="Century Schoolbook" w:eastAsia="Times New Roman" w:hAnsi="Century Schoolbook" w:cs="Times New Roman"/>
          <w:sz w:val="24"/>
          <w:szCs w:val="24"/>
        </w:rPr>
        <w:t xml:space="preserve"> A driver may not drive without first taking 10 consecutive hours off-duty.</w:t>
      </w:r>
      <w:r w:rsidRPr="00075FE4">
        <w:rPr>
          <w:rFonts w:ascii="Century Schoolbook" w:eastAsia="Times New Roman" w:hAnsi="Century Schoolbook" w:cs="Times New Roman"/>
          <w:sz w:val="24"/>
          <w:szCs w:val="24"/>
          <w:vertAlign w:val="superscript"/>
        </w:rPr>
        <w:endnoteReference w:id="590"/>
      </w:r>
      <w:r w:rsidRPr="00075FE4">
        <w:rPr>
          <w:rFonts w:ascii="Century Schoolbook" w:eastAsia="Times New Roman" w:hAnsi="Century Schoolbook" w:cs="Times New Roman"/>
          <w:sz w:val="24"/>
          <w:szCs w:val="24"/>
        </w:rPr>
        <w:t xml:space="preserve"> A driver may drive only during a period of 14 consecutive hours aft</w:t>
      </w:r>
      <w:r w:rsidR="005C27FD">
        <w:rPr>
          <w:rFonts w:ascii="Century Schoolbook" w:eastAsia="Times New Roman" w:hAnsi="Century Schoolbook" w:cs="Times New Roman"/>
          <w:sz w:val="24"/>
          <w:szCs w:val="24"/>
        </w:rPr>
        <w:t xml:space="preserve">er coming on-duty following 10  </w:t>
      </w:r>
      <w:r w:rsidRPr="00075FE4">
        <w:rPr>
          <w:rFonts w:ascii="Century Schoolbook" w:eastAsia="Times New Roman" w:hAnsi="Century Schoolbook" w:cs="Times New Roman"/>
          <w:sz w:val="24"/>
          <w:szCs w:val="24"/>
        </w:rPr>
        <w:t xml:space="preserve">consecutive hours off duty; actual driving time is limited to 11 hours in that 14-hour on-duty period. </w:t>
      </w:r>
    </w:p>
    <w:p w:rsidR="00075FE4" w:rsidRDefault="00075FE4" w:rsidP="00075FE4">
      <w:pPr>
        <w:spacing w:after="0" w:line="240" w:lineRule="auto"/>
        <w:jc w:val="both"/>
        <w:rPr>
          <w:rFonts w:ascii="Century Schoolbook" w:eastAsia="Times New Roman" w:hAnsi="Century Schoolbook" w:cs="Times New Roman"/>
          <w:sz w:val="24"/>
          <w:szCs w:val="24"/>
        </w:rPr>
      </w:pPr>
    </w:p>
    <w:p w:rsidR="00B70DC9" w:rsidRDefault="00B70DC9" w:rsidP="00075FE4">
      <w:pPr>
        <w:spacing w:after="0" w:line="240" w:lineRule="auto"/>
        <w:jc w:val="both"/>
        <w:rPr>
          <w:rFonts w:ascii="Century Schoolbook" w:eastAsia="Times New Roman" w:hAnsi="Century Schoolbook" w:cs="Times New Roman"/>
          <w:sz w:val="24"/>
          <w:szCs w:val="24"/>
        </w:rPr>
      </w:pPr>
    </w:p>
    <w:p w:rsidR="00B70DC9" w:rsidRDefault="00B70DC9" w:rsidP="00075FE4">
      <w:pPr>
        <w:spacing w:after="0" w:line="240" w:lineRule="auto"/>
        <w:jc w:val="both"/>
        <w:rPr>
          <w:rFonts w:ascii="Century Schoolbook" w:eastAsia="Times New Roman" w:hAnsi="Century Schoolbook" w:cs="Times New Roman"/>
          <w:sz w:val="24"/>
          <w:szCs w:val="24"/>
        </w:rPr>
      </w:pPr>
    </w:p>
    <w:p w:rsidR="00B70DC9" w:rsidRPr="00075FE4" w:rsidRDefault="00B70DC9"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5C27FD">
      <w:pPr>
        <w:numPr>
          <w:ilvl w:val="0"/>
          <w:numId w:val="25"/>
        </w:numPr>
        <w:spacing w:after="0" w:line="240" w:lineRule="auto"/>
        <w:ind w:left="360"/>
        <w:jc w:val="center"/>
        <w:rPr>
          <w:rFonts w:ascii="Century Schoolbook" w:eastAsia="Times New Roman" w:hAnsi="Century Schoolbook" w:cs="Times New Roman"/>
          <w:sz w:val="24"/>
          <w:szCs w:val="24"/>
        </w:rPr>
      </w:pPr>
      <w:r w:rsidRPr="00075FE4">
        <w:rPr>
          <w:rFonts w:ascii="Century Schoolbook" w:eastAsia="Times New Roman" w:hAnsi="Century Schoolbook" w:cs="Times New Roman"/>
          <w:b/>
          <w:sz w:val="24"/>
          <w:szCs w:val="24"/>
        </w:rPr>
        <w:lastRenderedPageBreak/>
        <w:t>Rest Breaks Now Required Within 8 Hours of Coming on Duty</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Effective July 1, 2013, driving is not permitted if more than 8 hours have passed since the end of the driver’s last off-duty or sleeper-berth period of at least 30 minutes.</w:t>
      </w:r>
      <w:r w:rsidRPr="00075FE4">
        <w:rPr>
          <w:rFonts w:ascii="Century Schoolbook" w:eastAsia="Times New Roman" w:hAnsi="Century Schoolbook" w:cs="Times New Roman"/>
          <w:sz w:val="24"/>
          <w:szCs w:val="24"/>
          <w:vertAlign w:val="superscript"/>
        </w:rPr>
        <w:endnoteReference w:id="591"/>
      </w:r>
      <w:r w:rsidRPr="00075FE4">
        <w:rPr>
          <w:rFonts w:ascii="Century Schoolbook" w:eastAsia="Times New Roman" w:hAnsi="Century Schoolbook" w:cs="Times New Roman"/>
          <w:sz w:val="24"/>
          <w:szCs w:val="24"/>
        </w:rPr>
        <w:t xml:space="preserve"> Thus, from the time that drivers report to their normal reporting location, they are required to take a break of at least 30 minutes before they have been on duty for 8 hours.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b/>
          <w:sz w:val="24"/>
          <w:szCs w:val="24"/>
        </w:rPr>
      </w:pPr>
      <w:r w:rsidRPr="00075FE4">
        <w:rPr>
          <w:rFonts w:ascii="Century Schoolbook" w:eastAsia="Times New Roman" w:hAnsi="Century Schoolbook" w:cs="Times New Roman"/>
          <w:sz w:val="24"/>
          <w:szCs w:val="24"/>
        </w:rPr>
        <w:t xml:space="preserve">The required 30-minute rest break can be taken at any time during the 8-hour window (as measured from the time the driver first reports to work).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5C27FD">
      <w:pPr>
        <w:numPr>
          <w:ilvl w:val="0"/>
          <w:numId w:val="25"/>
        </w:numPr>
        <w:spacing w:after="0" w:line="240" w:lineRule="auto"/>
        <w:ind w:left="360"/>
        <w:jc w:val="center"/>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t>14-Hour On-Duty Limit</w:t>
      </w:r>
    </w:p>
    <w:p w:rsidR="00075FE4" w:rsidRPr="00075FE4" w:rsidRDefault="00075FE4" w:rsidP="00075FE4">
      <w:pPr>
        <w:spacing w:after="0" w:line="240" w:lineRule="auto"/>
        <w:jc w:val="both"/>
        <w:rPr>
          <w:rFonts w:ascii="Century Schoolbook" w:eastAsia="Times New Roman" w:hAnsi="Century Schoolbook" w:cs="Times New Roman"/>
          <w:b/>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Other than the rest break provision noted above, this provision remains the same and limits a driver to driving only during a period of 14 consecutive hours after coming on duty if and only if the on-duty period is preceded by at least 10 consecutive hours off duty.</w:t>
      </w:r>
      <w:r w:rsidRPr="00075FE4">
        <w:rPr>
          <w:rFonts w:ascii="Century Schoolbook" w:eastAsia="Times New Roman" w:hAnsi="Century Schoolbook" w:cs="Times New Roman"/>
          <w:sz w:val="24"/>
          <w:szCs w:val="24"/>
          <w:vertAlign w:val="superscript"/>
        </w:rPr>
        <w:endnoteReference w:id="592"/>
      </w:r>
      <w:r w:rsidRPr="00075FE4">
        <w:rPr>
          <w:rFonts w:ascii="Century Schoolbook" w:eastAsia="Times New Roman" w:hAnsi="Century Schoolbook" w:cs="Times New Roman"/>
          <w:sz w:val="24"/>
          <w:szCs w:val="24"/>
        </w:rPr>
        <w:t xml:space="preserve"> The 14-hour period is not a driving period but an “on-duty” period; thus, as noted above, the actual driving time during the 14-hour period is 11 hours (taking into account the rest break provision above).</w:t>
      </w:r>
    </w:p>
    <w:p w:rsidR="00075FE4" w:rsidRDefault="00075FE4" w:rsidP="00075FE4">
      <w:pPr>
        <w:spacing w:after="0" w:line="240" w:lineRule="auto"/>
        <w:jc w:val="both"/>
        <w:rPr>
          <w:rFonts w:ascii="Century Schoolbook" w:eastAsia="Times New Roman" w:hAnsi="Century Schoolbook" w:cs="Times New Roman"/>
          <w:sz w:val="24"/>
          <w:szCs w:val="24"/>
        </w:rPr>
      </w:pPr>
    </w:p>
    <w:p w:rsidR="00B70DC9" w:rsidRPr="00075FE4" w:rsidRDefault="00B70DC9"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5C27FD">
      <w:pPr>
        <w:numPr>
          <w:ilvl w:val="0"/>
          <w:numId w:val="25"/>
        </w:numPr>
        <w:spacing w:after="0" w:line="240" w:lineRule="auto"/>
        <w:ind w:left="360"/>
        <w:jc w:val="center"/>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lastRenderedPageBreak/>
        <w:t>The 60/70-Hour On-Duty Limit</w:t>
      </w:r>
    </w:p>
    <w:p w:rsidR="00075FE4" w:rsidRPr="00075FE4" w:rsidRDefault="00075FE4" w:rsidP="00075FE4">
      <w:pPr>
        <w:spacing w:after="0" w:line="240" w:lineRule="auto"/>
        <w:jc w:val="both"/>
        <w:rPr>
          <w:rFonts w:ascii="Century Schoolbook" w:eastAsia="Times New Roman" w:hAnsi="Century Schoolbook" w:cs="Times New Roman"/>
          <w:b/>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This rule previously allowed a driver to use the 34-hour reset period to be able to work up to 82 hours per week.</w:t>
      </w:r>
      <w:r w:rsidRPr="00075FE4">
        <w:rPr>
          <w:rFonts w:ascii="Century Schoolbook" w:eastAsia="Times New Roman" w:hAnsi="Century Schoolbook" w:cs="Times New Roman"/>
          <w:sz w:val="24"/>
          <w:szCs w:val="24"/>
          <w:vertAlign w:val="superscript"/>
        </w:rPr>
        <w:endnoteReference w:id="593"/>
      </w:r>
      <w:r w:rsidRPr="00075FE4">
        <w:rPr>
          <w:rFonts w:ascii="Century Schoolbook" w:eastAsia="Times New Roman" w:hAnsi="Century Schoolbook" w:cs="Times New Roman"/>
          <w:sz w:val="24"/>
          <w:szCs w:val="24"/>
        </w:rPr>
        <w:t xml:space="preserve">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current version was added to restrict drivers to either 60 hours in a week (for a motor carrier that does not operate commercial motor vehicles every day of the week) or a maximum of 70 hours (for motor carriers who operate commercial motor vehicles every day of the week). This was accomplished by allowing only one 34-hour reset to occur in any 168-hour (one-week) period.</w:t>
      </w:r>
      <w:r w:rsidRPr="00075FE4">
        <w:rPr>
          <w:rFonts w:ascii="Century Schoolbook" w:eastAsia="Times New Roman" w:hAnsi="Century Schoolbook" w:cs="Times New Roman"/>
          <w:sz w:val="24"/>
          <w:szCs w:val="24"/>
          <w:vertAlign w:val="superscript"/>
        </w:rPr>
        <w:endnoteReference w:id="594"/>
      </w:r>
      <w:r w:rsidRPr="00075FE4">
        <w:rPr>
          <w:rFonts w:ascii="Century Schoolbook" w:eastAsia="Times New Roman" w:hAnsi="Century Schoolbook" w:cs="Times New Roman"/>
          <w:sz w:val="24"/>
          <w:szCs w:val="24"/>
        </w:rPr>
        <w:t xml:space="preserve"> By limiting drivers to one reset period per week, the maximum they can work in any 168-hour period is 70 hours. </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In addition to the limits on the number of reset periods, the new rule requires that each 34-hour reset period must include at least two periods (nights) where the driver is off duty between the hours of 1:00 a.m. and 5:00 a.m.</w:t>
      </w:r>
      <w:r w:rsidRPr="00075FE4">
        <w:rPr>
          <w:rFonts w:ascii="Century Schoolbook" w:eastAsia="Times New Roman" w:hAnsi="Century Schoolbook" w:cs="Times New Roman"/>
          <w:sz w:val="24"/>
          <w:szCs w:val="24"/>
          <w:vertAlign w:val="superscript"/>
        </w:rPr>
        <w:endnoteReference w:id="595"/>
      </w:r>
      <w:r w:rsidRPr="00075FE4">
        <w:rPr>
          <w:rFonts w:ascii="Century Schoolbook" w:eastAsia="Times New Roman" w:hAnsi="Century Schoolbook" w:cs="Times New Roman"/>
          <w:sz w:val="24"/>
          <w:szCs w:val="24"/>
        </w:rPr>
        <w:t xml:space="preserve">  </w:t>
      </w:r>
    </w:p>
    <w:p w:rsidR="00202417" w:rsidRPr="00075FE4" w:rsidRDefault="00202417"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5C27FD">
      <w:pPr>
        <w:numPr>
          <w:ilvl w:val="0"/>
          <w:numId w:val="25"/>
        </w:numPr>
        <w:spacing w:after="0" w:line="240" w:lineRule="auto"/>
        <w:ind w:left="360"/>
        <w:jc w:val="center"/>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t xml:space="preserve">New Penalties for </w:t>
      </w:r>
    </w:p>
    <w:p w:rsidR="00075FE4" w:rsidRPr="00075FE4" w:rsidRDefault="00075FE4" w:rsidP="00075FE4">
      <w:pPr>
        <w:spacing w:after="0" w:line="240" w:lineRule="auto"/>
        <w:jc w:val="center"/>
        <w:rPr>
          <w:rFonts w:ascii="Century Schoolbook" w:eastAsia="Times New Roman" w:hAnsi="Century Schoolbook" w:cs="Times New Roman"/>
          <w:b/>
          <w:sz w:val="24"/>
          <w:szCs w:val="24"/>
        </w:rPr>
      </w:pPr>
      <w:r w:rsidRPr="00075FE4">
        <w:rPr>
          <w:rFonts w:ascii="Century Schoolbook" w:eastAsia="Times New Roman" w:hAnsi="Century Schoolbook" w:cs="Times New Roman"/>
          <w:b/>
          <w:sz w:val="24"/>
          <w:szCs w:val="24"/>
        </w:rPr>
        <w:t>“Egregious” Violations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075FE4" w:rsidRPr="00075FE4" w:rsidRDefault="00075FE4" w:rsidP="00075FE4">
      <w:pPr>
        <w:spacing w:after="0" w:line="240" w:lineRule="auto"/>
        <w:ind w:firstLine="360"/>
        <w:jc w:val="both"/>
        <w:rPr>
          <w:rFonts w:ascii="Century Schoolbook" w:eastAsia="Times New Roman" w:hAnsi="Century Schoolbook" w:cs="Times New Roman"/>
          <w:sz w:val="24"/>
          <w:szCs w:val="24"/>
        </w:rPr>
      </w:pPr>
      <w:r w:rsidRPr="00075FE4">
        <w:rPr>
          <w:rFonts w:ascii="Century Schoolbook" w:eastAsia="Times New Roman" w:hAnsi="Century Schoolbook" w:cs="Times New Roman"/>
          <w:sz w:val="24"/>
          <w:szCs w:val="24"/>
        </w:rPr>
        <w:t>The new rules provide that egregious violations can result of fines of $11,000 per offense, and the drivers themselves could face civil penalties of up to $2,750 for each offense.</w:t>
      </w:r>
      <w:r w:rsidRPr="00075FE4">
        <w:rPr>
          <w:rFonts w:ascii="Century Schoolbook" w:eastAsia="Times New Roman" w:hAnsi="Century Schoolbook" w:cs="Times New Roman"/>
          <w:sz w:val="24"/>
          <w:szCs w:val="24"/>
          <w:vertAlign w:val="superscript"/>
        </w:rPr>
        <w:endnoteReference w:id="596"/>
      </w:r>
    </w:p>
    <w:p w:rsidR="00075FE4" w:rsidRDefault="00075FE4" w:rsidP="00075FE4">
      <w:pPr>
        <w:spacing w:after="0" w:line="240" w:lineRule="auto"/>
        <w:jc w:val="both"/>
        <w:rPr>
          <w:rFonts w:ascii="Century Schoolbook" w:eastAsia="Times New Roman" w:hAnsi="Century Schoolbook" w:cs="Times New Roman"/>
          <w:sz w:val="24"/>
          <w:szCs w:val="24"/>
        </w:rPr>
      </w:pPr>
    </w:p>
    <w:p w:rsidR="00B70DC9" w:rsidRPr="00075FE4" w:rsidRDefault="00B70DC9" w:rsidP="00075FE4">
      <w:pPr>
        <w:spacing w:after="0" w:line="240" w:lineRule="auto"/>
        <w:jc w:val="both"/>
        <w:rPr>
          <w:rFonts w:ascii="Century Schoolbook" w:eastAsia="Times New Roman" w:hAnsi="Century Schoolbook" w:cs="Times New Roman"/>
          <w:sz w:val="24"/>
          <w:szCs w:val="24"/>
        </w:rPr>
      </w:pPr>
    </w:p>
    <w:p w:rsidR="00075FE4" w:rsidRDefault="00075FE4" w:rsidP="005C27FD">
      <w:pPr>
        <w:pStyle w:val="Author"/>
        <w:rPr>
          <w:b/>
        </w:rPr>
      </w:pPr>
      <w:r w:rsidRPr="00075FE4">
        <w:rPr>
          <w:rFonts w:eastAsia="Times New Roman" w:cs="Times New Roman"/>
          <w:b/>
          <w:u w:val="single"/>
        </w:rPr>
        <w:t>End Notes</w:t>
      </w:r>
    </w:p>
    <w:p w:rsidR="00075FE4" w:rsidRPr="00075FE4" w:rsidRDefault="00075FE4" w:rsidP="00075FE4">
      <w:pPr>
        <w:spacing w:after="0" w:line="240" w:lineRule="auto"/>
        <w:jc w:val="both"/>
        <w:rPr>
          <w:rFonts w:ascii="Century Schoolbook" w:eastAsia="Times New Roman" w:hAnsi="Century Schoolbook" w:cs="Times New Roman"/>
          <w:sz w:val="24"/>
          <w:szCs w:val="24"/>
        </w:rPr>
      </w:pPr>
    </w:p>
    <w:p w:rsidR="002B499B" w:rsidRDefault="002B499B" w:rsidP="00075FE4">
      <w:pPr>
        <w:spacing w:after="0" w:line="240" w:lineRule="auto"/>
        <w:jc w:val="both"/>
        <w:rPr>
          <w:rFonts w:ascii="Century Schoolbook" w:eastAsia="Times New Roman" w:hAnsi="Century Schoolbook" w:cs="Times New Roman"/>
          <w:sz w:val="24"/>
          <w:szCs w:val="24"/>
        </w:rPr>
        <w:sectPr w:rsidR="002B499B" w:rsidSect="00075FE4">
          <w:endnotePr>
            <w:numFmt w:val="decimal"/>
            <w:numRestart w:val="eachSect"/>
          </w:endnotePr>
          <w:type w:val="continuous"/>
          <w:pgSz w:w="12240" w:h="15840"/>
          <w:pgMar w:top="1440" w:right="1800" w:bottom="1440" w:left="1800" w:header="720" w:footer="720" w:gutter="0"/>
          <w:cols w:num="2" w:space="720"/>
          <w:docGrid w:linePitch="360"/>
        </w:sectPr>
      </w:pPr>
    </w:p>
    <w:p w:rsidR="00E6143D" w:rsidRPr="00A32E3A" w:rsidRDefault="00E6143D" w:rsidP="00E6143D">
      <w:pPr>
        <w:pStyle w:val="Author"/>
        <w:outlineLvl w:val="2"/>
        <w:rPr>
          <w:b/>
          <w:u w:val="single"/>
        </w:rPr>
      </w:pPr>
      <w:bookmarkStart w:id="27" w:name="_Toc356227244"/>
      <w:r w:rsidRPr="00A32E3A">
        <w:rPr>
          <w:b/>
          <w:u w:val="single"/>
        </w:rPr>
        <w:lastRenderedPageBreak/>
        <w:t>Appendix A</w:t>
      </w:r>
      <w:r>
        <w:rPr>
          <w:b/>
          <w:u w:val="single"/>
        </w:rPr>
        <w:t>: Chart: Summary of Changes of HOS Final Rule Published December 2011</w:t>
      </w:r>
      <w:bookmarkEnd w:id="27"/>
    </w:p>
    <w:p w:rsidR="00E6143D" w:rsidRDefault="00E6143D" w:rsidP="00E6143D">
      <w:pPr>
        <w:pStyle w:val="Author"/>
        <w:jc w:val="left"/>
        <w:rPr>
          <w:b/>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1E0" w:firstRow="1" w:lastRow="1" w:firstColumn="1" w:lastColumn="1" w:noHBand="0" w:noVBand="0"/>
      </w:tblPr>
      <w:tblGrid>
        <w:gridCol w:w="2844"/>
        <w:gridCol w:w="2952"/>
        <w:gridCol w:w="2898"/>
      </w:tblGrid>
      <w:tr w:rsidR="00E6143D" w:rsidRPr="0016656A" w:rsidTr="002A0000">
        <w:trPr>
          <w:jc w:val="center"/>
        </w:trPr>
        <w:tc>
          <w:tcPr>
            <w:tcW w:w="8694" w:type="dxa"/>
            <w:gridSpan w:val="3"/>
          </w:tcPr>
          <w:p w:rsidR="00E6143D" w:rsidRPr="0016656A" w:rsidRDefault="00E6143D" w:rsidP="002A0000">
            <w:pPr>
              <w:jc w:val="center"/>
              <w:rPr>
                <w:rFonts w:ascii="Century Schoolbook" w:hAnsi="Century Schoolbook"/>
                <w:b/>
                <w:u w:val="single"/>
              </w:rPr>
            </w:pPr>
            <w:r w:rsidRPr="0016656A">
              <w:rPr>
                <w:rFonts w:ascii="Century Schoolbook" w:hAnsi="Century Schoolbook"/>
                <w:b/>
                <w:sz w:val="28"/>
                <w:u w:val="single"/>
              </w:rPr>
              <w:t>Summary of Changes of HOS Final Rule Published December 2011</w:t>
            </w:r>
          </w:p>
        </w:tc>
      </w:tr>
      <w:tr w:rsidR="00E6143D" w:rsidRPr="0016656A" w:rsidTr="002A0000">
        <w:trPr>
          <w:jc w:val="center"/>
        </w:trPr>
        <w:tc>
          <w:tcPr>
            <w:tcW w:w="2844" w:type="dxa"/>
            <w:tcBorders>
              <w:bottom w:val="single" w:sz="4" w:space="0" w:color="auto"/>
            </w:tcBorders>
            <w:vAlign w:val="center"/>
          </w:tcPr>
          <w:p w:rsidR="00E6143D" w:rsidRPr="0016656A" w:rsidRDefault="00E6143D" w:rsidP="002A0000">
            <w:pPr>
              <w:jc w:val="center"/>
              <w:rPr>
                <w:rFonts w:ascii="Century Schoolbook" w:hAnsi="Century Schoolbook"/>
                <w:b/>
                <w:smallCaps/>
              </w:rPr>
            </w:pPr>
            <w:r w:rsidRPr="0016656A">
              <w:rPr>
                <w:rFonts w:ascii="Century Schoolbook" w:hAnsi="Century Schoolbook"/>
                <w:b/>
                <w:smallCaps/>
              </w:rPr>
              <w:t>Provision</w:t>
            </w:r>
          </w:p>
        </w:tc>
        <w:tc>
          <w:tcPr>
            <w:tcW w:w="2952" w:type="dxa"/>
            <w:tcBorders>
              <w:bottom w:val="single" w:sz="4" w:space="0" w:color="auto"/>
            </w:tcBorders>
            <w:vAlign w:val="center"/>
          </w:tcPr>
          <w:p w:rsidR="00E6143D" w:rsidRPr="0016656A" w:rsidRDefault="00E6143D" w:rsidP="002A0000">
            <w:pPr>
              <w:jc w:val="center"/>
              <w:rPr>
                <w:rFonts w:ascii="Century Schoolbook" w:hAnsi="Century Schoolbook"/>
                <w:b/>
                <w:smallCaps/>
              </w:rPr>
            </w:pPr>
            <w:r w:rsidRPr="0016656A">
              <w:rPr>
                <w:rFonts w:ascii="Century Schoolbook" w:hAnsi="Century Schoolbook"/>
                <w:b/>
                <w:smallCaps/>
              </w:rPr>
              <w:t>Prior Rule</w:t>
            </w:r>
          </w:p>
        </w:tc>
        <w:tc>
          <w:tcPr>
            <w:tcW w:w="2898" w:type="dxa"/>
            <w:tcBorders>
              <w:bottom w:val="single" w:sz="4" w:space="0" w:color="auto"/>
            </w:tcBorders>
            <w:vAlign w:val="center"/>
          </w:tcPr>
          <w:p w:rsidR="00E6143D" w:rsidRPr="0016656A" w:rsidRDefault="00E6143D" w:rsidP="002A0000">
            <w:pPr>
              <w:jc w:val="center"/>
              <w:rPr>
                <w:rFonts w:ascii="Century Schoolbook" w:hAnsi="Century Schoolbook"/>
                <w:b/>
                <w:smallCaps/>
              </w:rPr>
            </w:pPr>
            <w:r w:rsidRPr="0016656A">
              <w:rPr>
                <w:rFonts w:ascii="Century Schoolbook" w:hAnsi="Century Schoolbook"/>
                <w:b/>
                <w:smallCaps/>
              </w:rPr>
              <w:t>Final Rule - Compliance Date of July 1, 2013</w:t>
            </w:r>
          </w:p>
        </w:tc>
      </w:tr>
      <w:tr w:rsidR="00E6143D" w:rsidRPr="0016656A" w:rsidTr="002A0000">
        <w:trPr>
          <w:jc w:val="center"/>
        </w:trPr>
        <w:tc>
          <w:tcPr>
            <w:tcW w:w="2844" w:type="dxa"/>
            <w:tcBorders>
              <w:bottom w:val="dotted" w:sz="4" w:space="0" w:color="auto"/>
              <w:right w:val="dotted" w:sz="4" w:space="0" w:color="auto"/>
            </w:tcBorders>
          </w:tcPr>
          <w:p w:rsidR="00E6143D" w:rsidRPr="0016656A" w:rsidRDefault="00E6143D" w:rsidP="002A0000">
            <w:pPr>
              <w:jc w:val="both"/>
              <w:rPr>
                <w:rFonts w:ascii="Century Schoolbook" w:hAnsi="Century Schoolbook"/>
                <w:b/>
              </w:rPr>
            </w:pPr>
            <w:r w:rsidRPr="0016656A">
              <w:rPr>
                <w:rFonts w:ascii="Century Schoolbook" w:hAnsi="Century Schoolbook"/>
                <w:b/>
              </w:rPr>
              <w:t>Limitations on minimum “34-hour restarts”</w:t>
            </w:r>
          </w:p>
        </w:tc>
        <w:tc>
          <w:tcPr>
            <w:tcW w:w="2952" w:type="dxa"/>
            <w:tcBorders>
              <w:left w:val="dotted" w:sz="4" w:space="0" w:color="auto"/>
              <w:bottom w:val="dotted" w:sz="4" w:space="0" w:color="auto"/>
              <w:right w:val="dotted" w:sz="4" w:space="0" w:color="auto"/>
            </w:tcBorders>
          </w:tcPr>
          <w:p w:rsidR="00E6143D" w:rsidRPr="0016656A" w:rsidRDefault="00E6143D" w:rsidP="002A0000">
            <w:pPr>
              <w:jc w:val="center"/>
              <w:rPr>
                <w:rFonts w:ascii="Century Schoolbook" w:hAnsi="Century Schoolbook"/>
              </w:rPr>
            </w:pPr>
            <w:r w:rsidRPr="0016656A">
              <w:rPr>
                <w:rFonts w:ascii="Century Schoolbook" w:hAnsi="Century Schoolbook"/>
              </w:rPr>
              <w:t>None</w:t>
            </w:r>
          </w:p>
        </w:tc>
        <w:tc>
          <w:tcPr>
            <w:tcW w:w="2898" w:type="dxa"/>
            <w:tcBorders>
              <w:left w:val="dotted" w:sz="4" w:space="0" w:color="auto"/>
              <w:bottom w:val="dotted" w:sz="4" w:space="0" w:color="auto"/>
            </w:tcBorders>
          </w:tcPr>
          <w:p w:rsidR="00E6143D" w:rsidRPr="0016656A" w:rsidRDefault="00E6143D" w:rsidP="002A0000">
            <w:pPr>
              <w:numPr>
                <w:ilvl w:val="0"/>
                <w:numId w:val="27"/>
              </w:numPr>
              <w:tabs>
                <w:tab w:val="clear" w:pos="900"/>
              </w:tabs>
              <w:spacing w:after="0" w:line="240" w:lineRule="auto"/>
              <w:ind w:left="591"/>
              <w:jc w:val="both"/>
              <w:rPr>
                <w:rFonts w:ascii="Century Schoolbook" w:hAnsi="Century Schoolbook"/>
              </w:rPr>
            </w:pPr>
            <w:r w:rsidRPr="0016656A">
              <w:rPr>
                <w:rFonts w:ascii="Century Schoolbook" w:hAnsi="Century Schoolbook"/>
              </w:rPr>
              <w:t>Must include two periods between 1 a.m. and 5 a.m. home terminal time; and</w:t>
            </w:r>
          </w:p>
          <w:p w:rsidR="00E6143D" w:rsidRPr="0016656A" w:rsidRDefault="00E6143D" w:rsidP="002A0000">
            <w:pPr>
              <w:ind w:left="51"/>
              <w:jc w:val="both"/>
              <w:rPr>
                <w:rFonts w:ascii="Century Schoolbook" w:hAnsi="Century Schoolbook"/>
              </w:rPr>
            </w:pPr>
          </w:p>
          <w:p w:rsidR="00E6143D" w:rsidRPr="0016656A" w:rsidRDefault="00E6143D" w:rsidP="002A0000">
            <w:pPr>
              <w:numPr>
                <w:ilvl w:val="0"/>
                <w:numId w:val="27"/>
              </w:numPr>
              <w:tabs>
                <w:tab w:val="clear" w:pos="900"/>
              </w:tabs>
              <w:spacing w:after="0" w:line="240" w:lineRule="auto"/>
              <w:ind w:left="591"/>
              <w:jc w:val="both"/>
              <w:rPr>
                <w:rFonts w:ascii="Century Schoolbook" w:hAnsi="Century Schoolbook"/>
              </w:rPr>
            </w:pPr>
            <w:r w:rsidRPr="0016656A">
              <w:rPr>
                <w:rFonts w:ascii="Century Schoolbook" w:hAnsi="Century Schoolbook"/>
              </w:rPr>
              <w:t>May be used only once per week.</w:t>
            </w:r>
          </w:p>
        </w:tc>
      </w:tr>
      <w:tr w:rsidR="00E6143D" w:rsidRPr="0016656A" w:rsidTr="002A0000">
        <w:trPr>
          <w:jc w:val="center"/>
        </w:trPr>
        <w:tc>
          <w:tcPr>
            <w:tcW w:w="2844" w:type="dxa"/>
            <w:tcBorders>
              <w:top w:val="dotted" w:sz="4" w:space="0" w:color="auto"/>
              <w:right w:val="dotted" w:sz="4" w:space="0" w:color="auto"/>
            </w:tcBorders>
          </w:tcPr>
          <w:p w:rsidR="00E6143D" w:rsidRPr="0016656A" w:rsidRDefault="00E6143D" w:rsidP="002A0000">
            <w:pPr>
              <w:jc w:val="both"/>
              <w:rPr>
                <w:rFonts w:ascii="Century Schoolbook" w:hAnsi="Century Schoolbook"/>
                <w:b/>
              </w:rPr>
            </w:pPr>
            <w:r w:rsidRPr="0016656A">
              <w:rPr>
                <w:rFonts w:ascii="Century Schoolbook" w:hAnsi="Century Schoolbook"/>
                <w:b/>
              </w:rPr>
              <w:t>Rest Breaks</w:t>
            </w:r>
          </w:p>
        </w:tc>
        <w:tc>
          <w:tcPr>
            <w:tcW w:w="2952" w:type="dxa"/>
            <w:tcBorders>
              <w:top w:val="dotted" w:sz="4" w:space="0" w:color="auto"/>
              <w:left w:val="dotted" w:sz="4" w:space="0" w:color="auto"/>
              <w:right w:val="dotted" w:sz="4" w:space="0" w:color="auto"/>
            </w:tcBorders>
          </w:tcPr>
          <w:p w:rsidR="00E6143D" w:rsidRPr="0016656A" w:rsidRDefault="00E6143D" w:rsidP="002A0000">
            <w:pPr>
              <w:jc w:val="center"/>
              <w:rPr>
                <w:rFonts w:ascii="Century Schoolbook" w:hAnsi="Century Schoolbook"/>
              </w:rPr>
            </w:pPr>
            <w:r w:rsidRPr="0016656A">
              <w:rPr>
                <w:rFonts w:ascii="Century Schoolbook" w:hAnsi="Century Schoolbook"/>
              </w:rPr>
              <w:t>None except as limited by other rule provisions</w:t>
            </w:r>
          </w:p>
        </w:tc>
        <w:tc>
          <w:tcPr>
            <w:tcW w:w="2898" w:type="dxa"/>
            <w:tcBorders>
              <w:top w:val="dotted" w:sz="4" w:space="0" w:color="auto"/>
              <w:left w:val="dotted" w:sz="4" w:space="0" w:color="auto"/>
            </w:tcBorders>
          </w:tcPr>
          <w:p w:rsidR="00E6143D" w:rsidRPr="0016656A" w:rsidRDefault="00E6143D" w:rsidP="002A0000">
            <w:pPr>
              <w:jc w:val="both"/>
              <w:rPr>
                <w:rFonts w:ascii="Century Schoolbook" w:hAnsi="Century Schoolbook"/>
              </w:rPr>
            </w:pPr>
            <w:r w:rsidRPr="0016656A">
              <w:rPr>
                <w:rFonts w:ascii="Century Schoolbook" w:hAnsi="Century Schoolbook"/>
              </w:rPr>
              <w:t>May drive only if 8 hours or less have passed since end of driver’s last off-duty period of at least  30 minutes [HM 397.5 mandatory “in attendance” time may be included in break if no other duties performed.]</w:t>
            </w:r>
          </w:p>
        </w:tc>
      </w:tr>
    </w:tbl>
    <w:p w:rsidR="00E6143D" w:rsidRDefault="00E6143D" w:rsidP="00E6143D">
      <w:pPr>
        <w:pStyle w:val="Author"/>
        <w:jc w:val="left"/>
        <w:rPr>
          <w:b/>
        </w:rPr>
      </w:pPr>
    </w:p>
    <w:p w:rsidR="00075FE4" w:rsidRPr="00075FE4" w:rsidRDefault="00075FE4" w:rsidP="00075FE4">
      <w:pPr>
        <w:spacing w:after="0" w:line="240" w:lineRule="auto"/>
        <w:jc w:val="both"/>
        <w:rPr>
          <w:rFonts w:ascii="Century Schoolbook" w:eastAsia="Times New Roman" w:hAnsi="Century Schoolbook" w:cs="Times New Roman"/>
          <w:sz w:val="24"/>
          <w:szCs w:val="24"/>
        </w:rPr>
        <w:sectPr w:rsidR="00075FE4" w:rsidRPr="00075FE4" w:rsidSect="002B499B">
          <w:endnotePr>
            <w:numFmt w:val="decimal"/>
            <w:numRestart w:val="eachSect"/>
          </w:endnotePr>
          <w:pgSz w:w="12240" w:h="15840"/>
          <w:pgMar w:top="1440" w:right="1800" w:bottom="1440" w:left="1800" w:header="720" w:footer="720" w:gutter="0"/>
          <w:cols w:space="720"/>
          <w:docGrid w:linePitch="360"/>
        </w:sectPr>
      </w:pPr>
    </w:p>
    <w:p w:rsidR="00A32E3A" w:rsidRDefault="00A32E3A" w:rsidP="00075FE4">
      <w:pPr>
        <w:pStyle w:val="Author"/>
        <w:jc w:val="left"/>
        <w:rPr>
          <w:b/>
        </w:rPr>
      </w:pPr>
    </w:p>
    <w:p w:rsidR="00A32E3A" w:rsidRDefault="00A32E3A" w:rsidP="00203931">
      <w:pPr>
        <w:pStyle w:val="Author"/>
        <w:outlineLvl w:val="2"/>
      </w:pPr>
      <w:bookmarkStart w:id="28" w:name="_Toc356227245"/>
      <w:r w:rsidRPr="00A32E3A">
        <w:rPr>
          <w:b/>
          <w:u w:val="single"/>
        </w:rPr>
        <w:t>Appendix B</w:t>
      </w:r>
      <w:r w:rsidR="00622CB7">
        <w:rPr>
          <w:b/>
          <w:u w:val="single"/>
        </w:rPr>
        <w:t>: Chart: Hours-of-Service Rules</w:t>
      </w:r>
      <w:bookmarkEnd w:id="28"/>
    </w:p>
    <w:p w:rsidR="00A32E3A" w:rsidRDefault="00A32E3A" w:rsidP="00A32E3A">
      <w:pPr>
        <w:pStyle w:val="Author"/>
        <w:jc w:val="left"/>
      </w:pPr>
    </w:p>
    <w:p w:rsidR="00A32E3A" w:rsidRDefault="00A32E3A" w:rsidP="00A32E3A">
      <w:pPr>
        <w:pStyle w:val="Autho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1E0" w:firstRow="1" w:lastRow="1" w:firstColumn="1" w:lastColumn="1" w:noHBand="0" w:noVBand="0"/>
      </w:tblPr>
      <w:tblGrid>
        <w:gridCol w:w="4428"/>
        <w:gridCol w:w="4428"/>
      </w:tblGrid>
      <w:tr w:rsidR="00A32E3A" w:rsidRPr="0016656A" w:rsidTr="00FC0582">
        <w:tc>
          <w:tcPr>
            <w:tcW w:w="8856" w:type="dxa"/>
            <w:gridSpan w:val="2"/>
          </w:tcPr>
          <w:p w:rsidR="00A32E3A" w:rsidRPr="0016656A" w:rsidRDefault="00A32E3A" w:rsidP="00FC0582">
            <w:pPr>
              <w:jc w:val="center"/>
              <w:rPr>
                <w:rFonts w:ascii="Century Schoolbook" w:hAnsi="Century Schoolbook"/>
                <w:b/>
                <w:u w:val="single"/>
              </w:rPr>
            </w:pPr>
            <w:r w:rsidRPr="0016656A">
              <w:rPr>
                <w:rFonts w:ascii="Century Schoolbook" w:hAnsi="Century Schoolbook"/>
                <w:b/>
                <w:sz w:val="28"/>
                <w:u w:val="single"/>
              </w:rPr>
              <w:t>Hours-of-Service Rules</w:t>
            </w:r>
          </w:p>
        </w:tc>
      </w:tr>
      <w:tr w:rsidR="00A32E3A" w:rsidRPr="0016656A" w:rsidTr="00FC0582">
        <w:tc>
          <w:tcPr>
            <w:tcW w:w="8856" w:type="dxa"/>
            <w:gridSpan w:val="2"/>
            <w:tcBorders>
              <w:bottom w:val="single" w:sz="4" w:space="0" w:color="auto"/>
            </w:tcBorders>
          </w:tcPr>
          <w:p w:rsidR="00A32E3A" w:rsidRPr="0016656A" w:rsidRDefault="00A32E3A" w:rsidP="00FC0582">
            <w:pPr>
              <w:jc w:val="center"/>
              <w:rPr>
                <w:rFonts w:ascii="Century Schoolbook" w:hAnsi="Century Schoolbook"/>
                <w:b/>
              </w:rPr>
            </w:pPr>
            <w:r w:rsidRPr="0016656A">
              <w:rPr>
                <w:rFonts w:ascii="Century Schoolbook" w:hAnsi="Century Schoolbook"/>
                <w:b/>
              </w:rPr>
              <w:t>Property-Carrying CMV Drivers (Valid Until July 1, 2013)</w:t>
            </w:r>
          </w:p>
        </w:tc>
      </w:tr>
      <w:tr w:rsidR="00A32E3A" w:rsidRPr="0016656A" w:rsidTr="00FC0582">
        <w:tc>
          <w:tcPr>
            <w:tcW w:w="4428" w:type="dxa"/>
            <w:tcBorders>
              <w:bottom w:val="dotted" w:sz="4" w:space="0" w:color="auto"/>
              <w:right w:val="dotted" w:sz="4" w:space="0" w:color="auto"/>
            </w:tcBorders>
          </w:tcPr>
          <w:p w:rsidR="00A32E3A" w:rsidRPr="0016656A" w:rsidRDefault="00A32E3A" w:rsidP="00FC0582">
            <w:pPr>
              <w:jc w:val="both"/>
              <w:rPr>
                <w:rFonts w:ascii="Century Schoolbook" w:hAnsi="Century Schoolbook"/>
                <w:b/>
              </w:rPr>
            </w:pPr>
            <w:r w:rsidRPr="0016656A">
              <w:rPr>
                <w:rFonts w:ascii="Century Schoolbook" w:hAnsi="Century Schoolbook"/>
                <w:b/>
              </w:rPr>
              <w:t>11-Hour Driving Limit</w:t>
            </w:r>
          </w:p>
        </w:tc>
        <w:tc>
          <w:tcPr>
            <w:tcW w:w="4428" w:type="dxa"/>
            <w:tcBorders>
              <w:left w:val="dotted" w:sz="4" w:space="0" w:color="auto"/>
              <w:bottom w:val="dotted" w:sz="4" w:space="0" w:color="auto"/>
            </w:tcBorders>
          </w:tcPr>
          <w:p w:rsidR="00A32E3A" w:rsidRPr="0016656A" w:rsidRDefault="00A32E3A" w:rsidP="00FC0582">
            <w:pPr>
              <w:jc w:val="both"/>
              <w:rPr>
                <w:rFonts w:ascii="Century Schoolbook" w:hAnsi="Century Schoolbook"/>
              </w:rPr>
            </w:pPr>
            <w:r w:rsidRPr="0016656A">
              <w:rPr>
                <w:rFonts w:ascii="Century Schoolbook" w:hAnsi="Century Schoolbook"/>
              </w:rPr>
              <w:t>May drive a maximum of 11 hours after 10 consecutive hours off duty.</w:t>
            </w:r>
          </w:p>
        </w:tc>
      </w:tr>
      <w:tr w:rsidR="00A32E3A" w:rsidRPr="0016656A" w:rsidTr="00FC0582">
        <w:tc>
          <w:tcPr>
            <w:tcW w:w="4428" w:type="dxa"/>
            <w:tcBorders>
              <w:top w:val="dotted" w:sz="4" w:space="0" w:color="auto"/>
              <w:bottom w:val="dotted" w:sz="4" w:space="0" w:color="auto"/>
              <w:right w:val="dotted" w:sz="4" w:space="0" w:color="auto"/>
            </w:tcBorders>
          </w:tcPr>
          <w:p w:rsidR="00A32E3A" w:rsidRPr="0016656A" w:rsidRDefault="00A32E3A" w:rsidP="00FC0582">
            <w:pPr>
              <w:jc w:val="both"/>
              <w:rPr>
                <w:rFonts w:ascii="Century Schoolbook" w:hAnsi="Century Schoolbook"/>
                <w:b/>
              </w:rPr>
            </w:pPr>
            <w:r w:rsidRPr="0016656A">
              <w:rPr>
                <w:rFonts w:ascii="Century Schoolbook" w:hAnsi="Century Schoolbook"/>
                <w:b/>
              </w:rPr>
              <w:t>14-Hour Limit</w:t>
            </w:r>
          </w:p>
        </w:tc>
        <w:tc>
          <w:tcPr>
            <w:tcW w:w="4428" w:type="dxa"/>
            <w:tcBorders>
              <w:top w:val="dotted" w:sz="4" w:space="0" w:color="auto"/>
              <w:left w:val="dotted" w:sz="4" w:space="0" w:color="auto"/>
              <w:bottom w:val="dotted" w:sz="4" w:space="0" w:color="auto"/>
            </w:tcBorders>
          </w:tcPr>
          <w:p w:rsidR="00A32E3A" w:rsidRPr="0016656A" w:rsidRDefault="00A32E3A" w:rsidP="00FC0582">
            <w:pPr>
              <w:jc w:val="both"/>
              <w:rPr>
                <w:rFonts w:ascii="Century Schoolbook" w:hAnsi="Century Schoolbook"/>
              </w:rPr>
            </w:pPr>
            <w:r w:rsidRPr="0016656A">
              <w:rPr>
                <w:rFonts w:ascii="Century Schoolbook" w:hAnsi="Century Schoolbook"/>
              </w:rPr>
              <w:t>May not drive beyond the 14th consecutive hour after coming on duty, following 10 consecutive hours off duty. Off-duty time does not extend the 14-hour period.</w:t>
            </w:r>
          </w:p>
        </w:tc>
      </w:tr>
      <w:tr w:rsidR="00A32E3A" w:rsidRPr="0016656A" w:rsidTr="00FC0582">
        <w:tc>
          <w:tcPr>
            <w:tcW w:w="4428" w:type="dxa"/>
            <w:tcBorders>
              <w:top w:val="dotted" w:sz="4" w:space="0" w:color="auto"/>
              <w:right w:val="dotted" w:sz="4" w:space="0" w:color="auto"/>
            </w:tcBorders>
          </w:tcPr>
          <w:p w:rsidR="00A32E3A" w:rsidRPr="0016656A" w:rsidRDefault="00A32E3A" w:rsidP="00FC0582">
            <w:pPr>
              <w:jc w:val="both"/>
              <w:rPr>
                <w:rFonts w:ascii="Century Schoolbook" w:hAnsi="Century Schoolbook"/>
                <w:b/>
              </w:rPr>
            </w:pPr>
            <w:r w:rsidRPr="0016656A">
              <w:rPr>
                <w:rFonts w:ascii="Century Schoolbook" w:hAnsi="Century Schoolbook"/>
                <w:b/>
              </w:rPr>
              <w:t>60/70-Hour On-Duty Limit</w:t>
            </w:r>
          </w:p>
        </w:tc>
        <w:tc>
          <w:tcPr>
            <w:tcW w:w="4428" w:type="dxa"/>
            <w:tcBorders>
              <w:top w:val="dotted" w:sz="4" w:space="0" w:color="auto"/>
              <w:left w:val="dotted" w:sz="4" w:space="0" w:color="auto"/>
            </w:tcBorders>
          </w:tcPr>
          <w:p w:rsidR="00A32E3A" w:rsidRPr="0016656A" w:rsidRDefault="00A32E3A" w:rsidP="00FC0582">
            <w:pPr>
              <w:jc w:val="both"/>
              <w:rPr>
                <w:rFonts w:ascii="Century Schoolbook" w:hAnsi="Century Schoolbook"/>
              </w:rPr>
            </w:pPr>
            <w:r w:rsidRPr="0016656A">
              <w:rPr>
                <w:rFonts w:ascii="Century Schoolbook" w:hAnsi="Century Schoolbook"/>
              </w:rPr>
              <w:t>May not drive after 60/70 hours on duty in 7/8 consecutive days. A driver may restart a 7/8 consecutive-day period after taking 34 or more consecutive hours off duty (this period is decreased to 24 consecutive off-duty hours for drivers of a commercial motor vehicle used primarily in the transportation of construction materials and equipment (49 C.F.R § 395.1(m)).</w:t>
            </w:r>
          </w:p>
        </w:tc>
      </w:tr>
    </w:tbl>
    <w:p w:rsidR="00F67E92" w:rsidRDefault="00F67E92" w:rsidP="0061548D">
      <w:pPr>
        <w:pStyle w:val="Author"/>
        <w:jc w:val="left"/>
      </w:pPr>
    </w:p>
    <w:sectPr w:rsidR="00F67E92" w:rsidSect="0061548D">
      <w:footnotePr>
        <w:numRestart w:val="eachSect"/>
      </w:footnotePr>
      <w:endnotePr>
        <w:numFmt w:val="decimal"/>
        <w:numRestart w:val="eachSect"/>
      </w:endnotePr>
      <w:pgSz w:w="12240" w:h="15840"/>
      <w:pgMar w:top="1440" w:right="1800" w:bottom="1440" w:left="1800" w:header="1440" w:footer="144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2A6" w:rsidRDefault="001D32A6" w:rsidP="0090503A">
      <w:pPr>
        <w:spacing w:after="0" w:line="240" w:lineRule="auto"/>
      </w:pPr>
      <w:r>
        <w:separator/>
      </w:r>
    </w:p>
  </w:endnote>
  <w:endnote w:type="continuationSeparator" w:id="0">
    <w:p w:rsidR="001D32A6" w:rsidRDefault="001D32A6" w:rsidP="0090503A">
      <w:pPr>
        <w:spacing w:after="0" w:line="240" w:lineRule="auto"/>
      </w:pPr>
      <w:r>
        <w:continuationSeparator/>
      </w:r>
    </w:p>
  </w:endnote>
  <w:endnote w:id="1">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Georgia Bd. of Dentistry v. Pence,</w:t>
      </w:r>
      <w:r w:rsidRPr="00CC5181">
        <w:rPr>
          <w:rFonts w:ascii="Century Schoolbook" w:hAnsi="Century Schoolbook"/>
        </w:rPr>
        <w:t xml:space="preserve"> 223 Ga. App. 603, 608, 478 S.E. 2d 437 (1996). </w:t>
      </w:r>
    </w:p>
  </w:endnote>
  <w:endnote w:id="2">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The </w:t>
      </w:r>
      <w:r w:rsidRPr="00CC5181">
        <w:rPr>
          <w:rFonts w:ascii="Century Schoolbook" w:hAnsi="Century Schoolbook"/>
          <w:i/>
        </w:rPr>
        <w:t>Bridgestone</w:t>
      </w:r>
      <w:r w:rsidRPr="00CC5181">
        <w:rPr>
          <w:rFonts w:ascii="Century Schoolbook" w:hAnsi="Century Schoolbook"/>
        </w:rPr>
        <w:t xml:space="preserve"> factors are those factors discussed in </w:t>
      </w:r>
      <w:r w:rsidRPr="00CC5181">
        <w:rPr>
          <w:rFonts w:ascii="Century Schoolbook" w:hAnsi="Century Schoolbook"/>
          <w:i/>
          <w:iCs/>
        </w:rPr>
        <w:t>Bridgestone/Firestone N. Am. Tire, LLC v. Campbell</w:t>
      </w:r>
      <w:r w:rsidRPr="00CC5181">
        <w:rPr>
          <w:rFonts w:ascii="Century Schoolbook" w:hAnsi="Century Schoolbook"/>
        </w:rPr>
        <w:t>, 258 Ga. App. 767, 574 S.E.2d 923 (2002).</w:t>
      </w:r>
    </w:p>
  </w:endnote>
  <w:endnote w:id="3">
    <w:p w:rsidR="009053EE" w:rsidRPr="00CC5181" w:rsidRDefault="009053EE" w:rsidP="005C3E72">
      <w:pPr>
        <w:spacing w:after="120"/>
        <w:jc w:val="both"/>
        <w:rPr>
          <w:rFonts w:ascii="Century Schoolbook" w:hAnsi="Century Schoolbook"/>
          <w:sz w:val="20"/>
          <w:szCs w:val="20"/>
        </w:rPr>
      </w:pPr>
      <w:r w:rsidRPr="00CC5181">
        <w:rPr>
          <w:rStyle w:val="EndnoteReference"/>
          <w:rFonts w:ascii="Century Schoolbook" w:hAnsi="Century Schoolbook"/>
          <w:sz w:val="20"/>
          <w:szCs w:val="20"/>
        </w:rPr>
        <w:endnoteRef/>
      </w:r>
      <w:r w:rsidRPr="00CC5181">
        <w:rPr>
          <w:rFonts w:ascii="Century Schoolbook" w:hAnsi="Century Schoolbook"/>
          <w:sz w:val="20"/>
          <w:szCs w:val="20"/>
        </w:rPr>
        <w:t xml:space="preserve"> </w:t>
      </w:r>
      <w:r w:rsidRPr="00CC5181">
        <w:rPr>
          <w:rFonts w:ascii="Century Schoolbook" w:hAnsi="Century Schoolbook"/>
          <w:i/>
          <w:sz w:val="20"/>
          <w:szCs w:val="20"/>
        </w:rPr>
        <w:t>Compare</w:t>
      </w:r>
      <w:r w:rsidRPr="00CC5181">
        <w:rPr>
          <w:rFonts w:ascii="Century Schoolbook" w:hAnsi="Century Schoolbook"/>
          <w:sz w:val="20"/>
          <w:szCs w:val="20"/>
        </w:rPr>
        <w:t xml:space="preserve"> </w:t>
      </w:r>
      <w:r w:rsidRPr="00CC5181">
        <w:rPr>
          <w:rFonts w:ascii="Century Schoolbook" w:hAnsi="Century Schoolbook"/>
          <w:i/>
          <w:sz w:val="20"/>
          <w:szCs w:val="20"/>
        </w:rPr>
        <w:t>Fire Ins. Exch. v. Zenith Radio Corp.</w:t>
      </w:r>
      <w:r w:rsidRPr="00CC5181">
        <w:rPr>
          <w:rFonts w:ascii="Century Schoolbook" w:hAnsi="Century Schoolbook"/>
          <w:sz w:val="20"/>
          <w:szCs w:val="20"/>
        </w:rPr>
        <w:t xml:space="preserve">, 103 Nev. 648, 651, 747 P. 2d 911 (1987) (“Even where an action has not been commenced and there is only a potential for litigation, the litigant is under a duty to preserve evidence which it knows or reasonably should know is relevant to the action,”  </w:t>
      </w:r>
      <w:r w:rsidRPr="00CC5181">
        <w:rPr>
          <w:rFonts w:ascii="Century Schoolbook" w:hAnsi="Century Schoolbook"/>
          <w:i/>
          <w:sz w:val="20"/>
          <w:szCs w:val="20"/>
        </w:rPr>
        <w:t>citing</w:t>
      </w:r>
      <w:r w:rsidRPr="00CC5181">
        <w:rPr>
          <w:rFonts w:ascii="Century Schoolbook" w:hAnsi="Century Schoolbook"/>
          <w:sz w:val="20"/>
          <w:szCs w:val="20"/>
        </w:rPr>
        <w:t xml:space="preserve">  </w:t>
      </w:r>
      <w:r w:rsidRPr="00CC5181">
        <w:rPr>
          <w:rFonts w:ascii="Century Schoolbook" w:hAnsi="Century Schoolbook"/>
          <w:i/>
          <w:iCs/>
          <w:sz w:val="20"/>
          <w:szCs w:val="20"/>
        </w:rPr>
        <w:t>Wm. T. Thompson Co. v. General Nutrition Corp.</w:t>
      </w:r>
      <w:r w:rsidRPr="00CC5181">
        <w:rPr>
          <w:rFonts w:ascii="Century Schoolbook" w:hAnsi="Century Schoolbook"/>
          <w:sz w:val="20"/>
          <w:szCs w:val="20"/>
        </w:rPr>
        <w:t xml:space="preserve"> 593 F. Supp. 1443, 1455 (1984); </w:t>
      </w:r>
      <w:r w:rsidRPr="00CC5181">
        <w:rPr>
          <w:rFonts w:ascii="Century Schoolbook" w:hAnsi="Century Schoolbook"/>
          <w:i/>
          <w:iCs/>
          <w:sz w:val="20"/>
          <w:szCs w:val="20"/>
        </w:rPr>
        <w:t>United States v. ACB Sales &amp; Services, Inc.,</w:t>
      </w:r>
      <w:r w:rsidRPr="00CC5181">
        <w:rPr>
          <w:rFonts w:ascii="Century Schoolbook" w:hAnsi="Century Schoolbook"/>
          <w:sz w:val="20"/>
          <w:szCs w:val="20"/>
        </w:rPr>
        <w:t xml:space="preserve"> 95 F.R.D. 316, 318 (1982); and </w:t>
      </w:r>
      <w:r w:rsidRPr="00CC5181">
        <w:rPr>
          <w:rFonts w:ascii="Century Schoolbook" w:hAnsi="Century Schoolbook"/>
          <w:i/>
          <w:iCs/>
          <w:sz w:val="20"/>
          <w:szCs w:val="20"/>
        </w:rPr>
        <w:t>United Nuclear Corp. v. Gen. Atomic Co.,</w:t>
      </w:r>
      <w:r w:rsidRPr="00CC5181">
        <w:rPr>
          <w:rFonts w:ascii="Century Schoolbook" w:hAnsi="Century Schoolbook"/>
          <w:sz w:val="20"/>
          <w:szCs w:val="20"/>
        </w:rPr>
        <w:t xml:space="preserve"> 629 P. 2d 231, 309 (N.M. 1980)).</w:t>
      </w:r>
    </w:p>
  </w:endnote>
  <w:endnote w:id="4">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See Padgett v. Kroger</w:t>
      </w:r>
      <w:r w:rsidRPr="00CC5181">
        <w:rPr>
          <w:rFonts w:ascii="Century Schoolbook" w:hAnsi="Century Schoolbook"/>
        </w:rPr>
        <w:t xml:space="preserve">, 311 Ga. App. 690, 692, 716 S.E. 32d 792 (2011); </w:t>
      </w:r>
      <w:r w:rsidRPr="00CC5181">
        <w:rPr>
          <w:rFonts w:ascii="Century Schoolbook" w:hAnsi="Century Schoolbook"/>
          <w:i/>
          <w:iCs/>
        </w:rPr>
        <w:t>Silman v. Associates Bellmeade</w:t>
      </w:r>
      <w:r w:rsidRPr="00CC5181">
        <w:rPr>
          <w:rFonts w:ascii="Century Schoolbook" w:hAnsi="Century Schoolbook"/>
        </w:rPr>
        <w:t xml:space="preserve">, 294 Ga. App. 764, 766-67, 669 S.E. 3d 663 (2008); </w:t>
      </w:r>
      <w:r w:rsidRPr="00CC5181">
        <w:rPr>
          <w:rFonts w:ascii="Century Schoolbook" w:hAnsi="Century Schoolbook"/>
          <w:i/>
          <w:iCs/>
        </w:rPr>
        <w:t>de Castro v. Durrell</w:t>
      </w:r>
      <w:r w:rsidRPr="00CC5181">
        <w:rPr>
          <w:rFonts w:ascii="Century Schoolbook" w:hAnsi="Century Schoolbook"/>
        </w:rPr>
        <w:t>, 295 Ga. 194, 204, 671 S.E. 2d 244 (2008).</w:t>
      </w:r>
    </w:p>
  </w:endnote>
  <w:endnote w:id="5">
    <w:p w:rsidR="009053EE" w:rsidRPr="00CC5181" w:rsidRDefault="009053EE" w:rsidP="005C3E72">
      <w:pPr>
        <w:pStyle w:val="EndnoteText"/>
        <w:spacing w:after="120"/>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See</w:t>
      </w:r>
      <w:r w:rsidRPr="00CC5181">
        <w:rPr>
          <w:rFonts w:ascii="Century Schoolbook" w:hAnsi="Century Schoolbook"/>
        </w:rPr>
        <w:t xml:space="preserve">, </w:t>
      </w:r>
      <w:r w:rsidRPr="00CC5181">
        <w:rPr>
          <w:rFonts w:ascii="Century Schoolbook" w:hAnsi="Century Schoolbook"/>
          <w:i/>
          <w:iCs/>
        </w:rPr>
        <w:t>e.g.,</w:t>
      </w:r>
      <w:r w:rsidRPr="00CC5181">
        <w:rPr>
          <w:rFonts w:ascii="Century Schoolbook" w:hAnsi="Century Schoolbook"/>
        </w:rPr>
        <w:t xml:space="preserve"> </w:t>
      </w:r>
      <w:r w:rsidRPr="00CC5181">
        <w:rPr>
          <w:rFonts w:ascii="Century Schoolbook" w:hAnsi="Century Schoolbook"/>
          <w:i/>
          <w:iCs/>
        </w:rPr>
        <w:t>Flury v. Daimler Chrysler Corp</w:t>
      </w:r>
      <w:r w:rsidRPr="00CC5181">
        <w:rPr>
          <w:rFonts w:ascii="Century Schoolbook" w:hAnsi="Century Schoolbook"/>
        </w:rPr>
        <w:t xml:space="preserve">., 427 F. 3d 939 (11th Cir. 2005); </w:t>
      </w:r>
      <w:r w:rsidRPr="00CC5181">
        <w:rPr>
          <w:rFonts w:ascii="Century Schoolbook" w:hAnsi="Century Schoolbook"/>
          <w:i/>
        </w:rPr>
        <w:t>Wal-Mart Stores, Inc. v. Lee</w:t>
      </w:r>
      <w:r w:rsidRPr="00CC5181">
        <w:rPr>
          <w:rFonts w:ascii="Century Schoolbook" w:hAnsi="Century Schoolbook"/>
        </w:rPr>
        <w:t xml:space="preserve">, 290 Ga. App. 541, 659 S.E. 2d 905 (2008); </w:t>
      </w:r>
      <w:r w:rsidRPr="00CC5181">
        <w:rPr>
          <w:rFonts w:ascii="Century Schoolbook" w:hAnsi="Century Schoolbook"/>
          <w:i/>
          <w:iCs/>
        </w:rPr>
        <w:t>Bagnell v. Ford Motor Co</w:t>
      </w:r>
      <w:r w:rsidRPr="00CC5181">
        <w:rPr>
          <w:rFonts w:ascii="Century Schoolbook" w:hAnsi="Century Schoolbook"/>
        </w:rPr>
        <w:t xml:space="preserve">., 297 Ga. App. 835, 678 S.E. 2d 489 (2009); </w:t>
      </w:r>
      <w:r w:rsidRPr="00CC5181">
        <w:rPr>
          <w:rFonts w:ascii="Century Schoolbook" w:hAnsi="Century Schoolbook"/>
          <w:i/>
          <w:iCs/>
        </w:rPr>
        <w:t>Wright v. VIF/Valentine Farms Bldg. One, LLC</w:t>
      </w:r>
      <w:r w:rsidRPr="00CC5181">
        <w:rPr>
          <w:rFonts w:ascii="Century Schoolbook" w:hAnsi="Century Schoolbook"/>
        </w:rPr>
        <w:t>, 308 Ga. App. 436, 708 S.E.2d 41 (2011).</w:t>
      </w:r>
    </w:p>
  </w:endnote>
  <w:endnote w:id="6">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This is the inverse of the ease with which a plaintiff can invoke the trial preparation privilege under O.C.G.A. §9-11-26(b)(3).  Some cases have indicated that, in order for a defendant to invoke the privilege, the defendant must show that the plaintiff had given the defendant some indication of anticipated litigation, </w:t>
      </w:r>
      <w:r w:rsidRPr="00CC5181">
        <w:rPr>
          <w:rFonts w:ascii="Century Schoolbook" w:hAnsi="Century Schoolbook"/>
          <w:i/>
        </w:rPr>
        <w:t>see</w:t>
      </w:r>
      <w:r w:rsidRPr="00CC5181">
        <w:rPr>
          <w:rFonts w:ascii="Century Schoolbook" w:hAnsi="Century Schoolbook"/>
        </w:rPr>
        <w:t xml:space="preserve">, </w:t>
      </w:r>
      <w:r w:rsidRPr="00CC5181">
        <w:rPr>
          <w:rFonts w:ascii="Century Schoolbook" w:hAnsi="Century Schoolbook"/>
          <w:i/>
        </w:rPr>
        <w:t>e.g</w:t>
      </w:r>
      <w:r w:rsidRPr="00CC5181">
        <w:rPr>
          <w:rFonts w:ascii="Century Schoolbook" w:hAnsi="Century Schoolbook"/>
        </w:rPr>
        <w:t xml:space="preserve">., </w:t>
      </w:r>
      <w:r w:rsidRPr="00CC5181">
        <w:rPr>
          <w:rFonts w:ascii="Century Schoolbook" w:hAnsi="Century Schoolbook"/>
          <w:i/>
        </w:rPr>
        <w:t>Lowe’s, Inc. v. Webb</w:t>
      </w:r>
      <w:r w:rsidRPr="00CC5181">
        <w:rPr>
          <w:rFonts w:ascii="Century Schoolbook" w:hAnsi="Century Schoolbook"/>
        </w:rPr>
        <w:t xml:space="preserve">, 180 Ga. App. 755, 756-57, 350 S.E.2d 292, 293-94 (1986), whereas a plaintiff can always invoke the privilege simply by saying that he had been contemplating litigation.  As to spoliation, if the defendant can somehow show that the plaintiff had </w:t>
      </w:r>
      <w:r w:rsidRPr="00CC5181">
        <w:rPr>
          <w:rFonts w:ascii="Century Schoolbook" w:hAnsi="Century Schoolbook"/>
          <w:i/>
        </w:rPr>
        <w:t>simply thought about</w:t>
      </w:r>
      <w:r w:rsidRPr="00CC5181">
        <w:rPr>
          <w:rFonts w:ascii="Century Schoolbook" w:hAnsi="Century Schoolbook"/>
        </w:rPr>
        <w:t xml:space="preserve"> making a claim, then the “contemplated litigation” prong immediately should be satisfied.</w:t>
      </w:r>
    </w:p>
  </w:endnote>
  <w:endnote w:id="7">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Bridgestone/Firestone N. Am. Tire, LLC</w:t>
      </w:r>
      <w:r w:rsidRPr="00CC5181">
        <w:rPr>
          <w:rFonts w:ascii="Century Schoolbook" w:hAnsi="Century Schoolbook"/>
        </w:rPr>
        <w:t>, 258 Ga. App. at 768-69, 574 S.E. 2d 923.  It is worth noting that some Georgia decisions refer to the factors to be considered as the “</w:t>
      </w:r>
      <w:r w:rsidRPr="00CC5181">
        <w:rPr>
          <w:rFonts w:ascii="Century Schoolbook" w:hAnsi="Century Schoolbook"/>
          <w:i/>
        </w:rPr>
        <w:t>Chapman</w:t>
      </w:r>
      <w:r w:rsidRPr="00CC5181">
        <w:rPr>
          <w:rFonts w:ascii="Century Schoolbook" w:hAnsi="Century Schoolbook"/>
        </w:rPr>
        <w:t xml:space="preserve"> factors,” because </w:t>
      </w:r>
      <w:r w:rsidRPr="00CC5181">
        <w:rPr>
          <w:rFonts w:ascii="Century Schoolbook" w:hAnsi="Century Schoolbook"/>
          <w:i/>
          <w:iCs/>
        </w:rPr>
        <w:t>Chapman v. Auto Owners Ins. Co.,</w:t>
      </w:r>
      <w:r w:rsidRPr="00CC5181">
        <w:rPr>
          <w:rFonts w:ascii="Century Schoolbook" w:hAnsi="Century Schoolbook"/>
        </w:rPr>
        <w:t xml:space="preserve"> 220 Ga. App. 539, 469 S.E. 2d 783 (1996) was the first Georgia case actually to discuss them –albeit in the context of discussing  a federal court case from Maine, </w:t>
      </w:r>
      <w:r w:rsidRPr="00CC5181">
        <w:rPr>
          <w:rFonts w:ascii="Century Schoolbook" w:hAnsi="Century Schoolbook"/>
          <w:i/>
          <w:iCs/>
        </w:rPr>
        <w:t>Northern Assurance Co. v. Ware,</w:t>
      </w:r>
      <w:r w:rsidRPr="00CC5181">
        <w:rPr>
          <w:rFonts w:ascii="Century Schoolbook" w:hAnsi="Century Schoolbook"/>
        </w:rPr>
        <w:t> 145 F.R.D. 281 (D. Me. 1993).</w:t>
      </w:r>
    </w:p>
  </w:endnote>
  <w:endnote w:id="8">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See</w:t>
      </w:r>
      <w:r w:rsidRPr="00CC5181">
        <w:rPr>
          <w:rFonts w:ascii="Century Schoolbook" w:hAnsi="Century Schoolbook"/>
        </w:rPr>
        <w:t xml:space="preserve">, </w:t>
      </w:r>
      <w:r w:rsidRPr="00CC5181">
        <w:rPr>
          <w:rFonts w:ascii="Century Schoolbook" w:hAnsi="Century Schoolbook"/>
          <w:i/>
        </w:rPr>
        <w:t>e.g</w:t>
      </w:r>
      <w:r w:rsidRPr="00CC5181">
        <w:rPr>
          <w:rFonts w:ascii="Century Schoolbook" w:hAnsi="Century Schoolbook"/>
        </w:rPr>
        <w:t xml:space="preserve">., </w:t>
      </w:r>
      <w:r w:rsidRPr="00CC5181">
        <w:rPr>
          <w:rFonts w:ascii="Century Schoolbook" w:hAnsi="Century Schoolbook"/>
          <w:i/>
        </w:rPr>
        <w:t>Patton v. Newmar Corp</w:t>
      </w:r>
      <w:r w:rsidRPr="00CC5181">
        <w:rPr>
          <w:rFonts w:ascii="Century Schoolbook" w:hAnsi="Century Schoolbook"/>
          <w:u w:val="single"/>
        </w:rPr>
        <w:t>.</w:t>
      </w:r>
      <w:r w:rsidRPr="00CC5181">
        <w:rPr>
          <w:rFonts w:ascii="Century Schoolbook" w:hAnsi="Century Schoolbook"/>
        </w:rPr>
        <w:t xml:space="preserve">, 538 N.W. 2d 116, 119 (Minn. 1995); </w:t>
      </w:r>
      <w:r w:rsidRPr="00CC5181">
        <w:rPr>
          <w:rFonts w:ascii="Century Schoolbook" w:hAnsi="Century Schoolbook"/>
          <w:i/>
        </w:rPr>
        <w:t>Fada</w:t>
      </w:r>
      <w:r w:rsidRPr="00CC5181">
        <w:rPr>
          <w:rFonts w:ascii="Century Schoolbook" w:hAnsi="Century Schoolbook"/>
          <w:u w:val="single"/>
        </w:rPr>
        <w:t xml:space="preserve"> </w:t>
      </w:r>
      <w:r w:rsidRPr="00CC5181">
        <w:rPr>
          <w:rFonts w:ascii="Century Schoolbook" w:hAnsi="Century Schoolbook"/>
          <w:i/>
        </w:rPr>
        <w:t>Indus., Inc. v. Falchi Bldg. Co., L.P.</w:t>
      </w:r>
      <w:r w:rsidRPr="00CC5181">
        <w:rPr>
          <w:rFonts w:ascii="Century Schoolbook" w:hAnsi="Century Schoolbook"/>
        </w:rPr>
        <w:t xml:space="preserve">, 189 Misc. 2d 1, 7, 730 N.Y.S.2d 827, 834 (Sup. Ct. 2001); </w:t>
      </w:r>
      <w:r w:rsidRPr="00CC5181">
        <w:rPr>
          <w:rFonts w:ascii="Century Schoolbook" w:hAnsi="Century Schoolbook"/>
          <w:i/>
          <w:iCs/>
        </w:rPr>
        <w:t>Sebelin v. Yamaha Motor Corp., USA,</w:t>
      </w:r>
      <w:r w:rsidRPr="00CC5181">
        <w:rPr>
          <w:rFonts w:ascii="Century Schoolbook" w:hAnsi="Century Schoolbook"/>
        </w:rPr>
        <w:t xml:space="preserve"> 705 A. 2d 904, 907–11 (Pa. Super. 1998). </w:t>
      </w:r>
    </w:p>
  </w:endnote>
  <w:endnote w:id="9">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See</w:t>
      </w:r>
      <w:r w:rsidRPr="00CC5181">
        <w:rPr>
          <w:rFonts w:ascii="Century Schoolbook" w:hAnsi="Century Schoolbook"/>
        </w:rPr>
        <w:t xml:space="preserve">, </w:t>
      </w:r>
      <w:r w:rsidRPr="00CC5181">
        <w:rPr>
          <w:rFonts w:ascii="Century Schoolbook" w:hAnsi="Century Schoolbook"/>
          <w:i/>
        </w:rPr>
        <w:t>e.g</w:t>
      </w:r>
      <w:r w:rsidRPr="00CC5181">
        <w:rPr>
          <w:rFonts w:ascii="Century Schoolbook" w:hAnsi="Century Schoolbook"/>
        </w:rPr>
        <w:t>.,  </w:t>
      </w:r>
      <w:r w:rsidRPr="00CC5181">
        <w:rPr>
          <w:rFonts w:ascii="Century Schoolbook" w:hAnsi="Century Schoolbook"/>
          <w:i/>
          <w:iCs/>
        </w:rPr>
        <w:t>Byrnie v. Town of Cromwell, Bd. of Educ.,</w:t>
      </w:r>
      <w:r w:rsidRPr="00CC5181">
        <w:rPr>
          <w:rFonts w:ascii="Century Schoolbook" w:hAnsi="Century Schoolbook"/>
        </w:rPr>
        <w:t xml:space="preserve"> 243 F. 3d 93, 107-12 (2d Cir. 2001); </w:t>
      </w:r>
      <w:r w:rsidRPr="00CC5181">
        <w:rPr>
          <w:rFonts w:ascii="Century Schoolbook" w:hAnsi="Century Schoolbook"/>
          <w:i/>
          <w:iCs/>
        </w:rPr>
        <w:t>Schmid v. Milwaukee Electric Tool Corp.,</w:t>
      </w:r>
      <w:r w:rsidRPr="00CC5181">
        <w:rPr>
          <w:rFonts w:ascii="Century Schoolbook" w:hAnsi="Century Schoolbook"/>
        </w:rPr>
        <w:t xml:space="preserve">13 F. 3d 76, 79 (3d Cir. 1994); </w:t>
      </w:r>
      <w:r w:rsidRPr="00CC5181">
        <w:rPr>
          <w:rFonts w:ascii="Century Schoolbook" w:hAnsi="Century Schoolbook"/>
          <w:i/>
        </w:rPr>
        <w:t>Beaven v. U.S. Dep't of Justice</w:t>
      </w:r>
      <w:r w:rsidRPr="00CC5181">
        <w:rPr>
          <w:rFonts w:ascii="Century Schoolbook" w:hAnsi="Century Schoolbook"/>
        </w:rPr>
        <w:t xml:space="preserve">, 622 F. 3d 540, 553 (6th Cir. 2010); </w:t>
      </w:r>
      <w:r w:rsidRPr="00CC5181">
        <w:rPr>
          <w:rFonts w:ascii="Century Schoolbook" w:hAnsi="Century Schoolbook"/>
          <w:i/>
          <w:iCs/>
        </w:rPr>
        <w:t>Leon v. IDX Systems Corp.,</w:t>
      </w:r>
      <w:r w:rsidRPr="00CC5181">
        <w:rPr>
          <w:rFonts w:ascii="Century Schoolbook" w:hAnsi="Century Schoolbook"/>
        </w:rPr>
        <w:t xml:space="preserve"> 464 F. 3d 951, 958 (9th Cir. 2006); </w:t>
      </w:r>
      <w:r w:rsidRPr="00CC5181">
        <w:rPr>
          <w:rFonts w:ascii="Century Schoolbook" w:hAnsi="Century Schoolbook"/>
          <w:i/>
          <w:iCs/>
        </w:rPr>
        <w:t>Flury v. Daimler Chrysler Corp.</w:t>
      </w:r>
      <w:r w:rsidRPr="00CC5181">
        <w:rPr>
          <w:rFonts w:ascii="Century Schoolbook" w:hAnsi="Century Schoolbook"/>
          <w:iCs/>
        </w:rPr>
        <w:t xml:space="preserve">, </w:t>
      </w:r>
      <w:r w:rsidRPr="00CC5181">
        <w:rPr>
          <w:rFonts w:ascii="Century Schoolbook" w:hAnsi="Century Schoolbook"/>
        </w:rPr>
        <w:t xml:space="preserve">427 F. 3d 939 (discussing in greater detail, </w:t>
      </w:r>
      <w:r w:rsidRPr="00CC5181">
        <w:rPr>
          <w:rFonts w:ascii="Century Schoolbook" w:hAnsi="Century Schoolbook"/>
          <w:i/>
        </w:rPr>
        <w:t>infra</w:t>
      </w:r>
      <w:r w:rsidRPr="00CC5181">
        <w:rPr>
          <w:rFonts w:ascii="Century Schoolbook" w:hAnsi="Century Schoolbook"/>
        </w:rPr>
        <w:t>).</w:t>
      </w:r>
    </w:p>
  </w:endnote>
  <w:endnote w:id="10">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Bridgestone/Firestone N. Am. Tire v. Campbell,</w:t>
      </w:r>
      <w:r w:rsidRPr="00CC5181">
        <w:rPr>
          <w:rFonts w:ascii="Century Schoolbook" w:hAnsi="Century Schoolbook"/>
        </w:rPr>
        <w:t xml:space="preserve"> 258 Ga. App. 767, 768, 574 S.E. 2d 923 (2002); </w:t>
      </w:r>
      <w:r w:rsidRPr="00CC5181">
        <w:rPr>
          <w:rFonts w:ascii="Century Schoolbook" w:hAnsi="Century Schoolbook"/>
          <w:i/>
          <w:iCs/>
        </w:rPr>
        <w:t xml:space="preserve">R.A. Siegel Co. v. Bowen, </w:t>
      </w:r>
      <w:r w:rsidRPr="00CC5181">
        <w:rPr>
          <w:rFonts w:ascii="Century Schoolbook" w:hAnsi="Century Schoolbook"/>
        </w:rPr>
        <w:t>246 Ga. App. 177, 179, 539 S.E. 2d 873 (2000).</w:t>
      </w:r>
    </w:p>
  </w:endnote>
  <w:endnote w:id="11">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Bouve &amp; Mohr, LLC v. Banks</w:t>
      </w:r>
      <w:r w:rsidRPr="00CC5181">
        <w:rPr>
          <w:rFonts w:ascii="Century Schoolbook" w:hAnsi="Century Schoolbook"/>
        </w:rPr>
        <w:t>, 274 Ga. App. 758, 764, 618 S.E. 2d 650 (2005).</w:t>
      </w:r>
    </w:p>
  </w:endnote>
  <w:endnote w:id="12">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Chambers v. NASCO, Inc.,</w:t>
      </w:r>
      <w:r w:rsidRPr="00CC5181">
        <w:rPr>
          <w:rFonts w:ascii="Century Schoolbook" w:hAnsi="Century Schoolbook"/>
        </w:rPr>
        <w:t xml:space="preserve"> 501 U.S. 32, 45-46, 111 S.Ct. 2123, 115 L.Ed.2d 27 (1991) (recognizing the inherent power of the courts to fashion appropriate sanctions for conduct that disrupts the judicial process); </w:t>
      </w:r>
      <w:r w:rsidRPr="00CC5181">
        <w:rPr>
          <w:rFonts w:ascii="Century Schoolbook" w:hAnsi="Century Schoolbook"/>
          <w:i/>
          <w:iCs/>
        </w:rPr>
        <w:t>see also United States v. Shaffer Equip. Co.,</w:t>
      </w:r>
      <w:r w:rsidRPr="00CC5181">
        <w:rPr>
          <w:rFonts w:ascii="Century Schoolbook" w:hAnsi="Century Schoolbook"/>
        </w:rPr>
        <w:t xml:space="preserve"> 11 F. 3d 450, 462 (4th Cir.1993) (recognizing “that when a party deceives a court or abuses the process at a level that is utterly inconsistent with the orderly administration of justice or undermines the integrity of the process, the court has the inherent power to dismiss the action”); </w:t>
      </w:r>
      <w:r w:rsidRPr="00CC5181">
        <w:rPr>
          <w:rFonts w:ascii="Century Schoolbook" w:hAnsi="Century Schoolbook"/>
          <w:i/>
          <w:iCs/>
        </w:rPr>
        <w:t>cf.</w:t>
      </w:r>
      <w:r w:rsidRPr="00CC5181">
        <w:rPr>
          <w:rFonts w:ascii="Century Schoolbook" w:hAnsi="Century Schoolbook"/>
        </w:rPr>
        <w:t xml:space="preserve"> Fed. R. Civ. P. 37(b)(2) (authorizing sanctions for violations of discovery orders).</w:t>
      </w:r>
    </w:p>
  </w:endnote>
  <w:endnote w:id="13">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Bouve &amp; Mohr, LLC</w:t>
      </w:r>
      <w:r w:rsidRPr="00CC5181">
        <w:rPr>
          <w:rFonts w:ascii="Century Schoolbook" w:hAnsi="Century Schoolbook"/>
        </w:rPr>
        <w:t xml:space="preserve">, 274 Ga. App. at 762 618 S.E. 2d 650.  This is also consistent with the standard of review used by federal courts and other states’ appellate courts.  </w:t>
      </w:r>
      <w:r w:rsidRPr="00CC5181">
        <w:rPr>
          <w:rFonts w:ascii="Century Schoolbook" w:hAnsi="Century Schoolbook"/>
          <w:i/>
        </w:rPr>
        <w:t>See</w:t>
      </w:r>
      <w:r w:rsidRPr="00CC5181">
        <w:rPr>
          <w:rFonts w:ascii="Century Schoolbook" w:hAnsi="Century Schoolbook"/>
        </w:rPr>
        <w:t xml:space="preserve">, </w:t>
      </w:r>
      <w:r w:rsidRPr="00CC5181">
        <w:rPr>
          <w:rFonts w:ascii="Century Schoolbook" w:hAnsi="Century Schoolbook"/>
          <w:i/>
        </w:rPr>
        <w:t>e.g</w:t>
      </w:r>
      <w:r w:rsidRPr="00CC5181">
        <w:rPr>
          <w:rFonts w:ascii="Century Schoolbook" w:hAnsi="Century Schoolbook"/>
        </w:rPr>
        <w:t>.,</w:t>
      </w:r>
      <w:r w:rsidRPr="00CC5181">
        <w:rPr>
          <w:rFonts w:ascii="Century Schoolbook" w:hAnsi="Century Schoolbook"/>
          <w:i/>
          <w:iCs/>
        </w:rPr>
        <w:t xml:space="preserve"> Chambers, </w:t>
      </w:r>
      <w:r w:rsidRPr="00CC5181">
        <w:rPr>
          <w:rFonts w:ascii="Century Schoolbook" w:hAnsi="Century Schoolbook"/>
        </w:rPr>
        <w:t>501 U.S. 32, 55, 111 S. Ct. 2123, 115 L. Ed. 2d 27; </w:t>
      </w:r>
      <w:r w:rsidRPr="00CC5181">
        <w:rPr>
          <w:rFonts w:ascii="Century Schoolbook" w:hAnsi="Century Schoolbook"/>
          <w:i/>
          <w:iCs/>
        </w:rPr>
        <w:t> Harris v. Chapman,</w:t>
      </w:r>
      <w:r w:rsidRPr="00CC5181">
        <w:rPr>
          <w:rFonts w:ascii="Century Schoolbook" w:hAnsi="Century Schoolbook"/>
        </w:rPr>
        <w:t xml:space="preserve"> 97 F. 3d 499, 506 (11th Cir. 1996); </w:t>
      </w:r>
      <w:r w:rsidRPr="00CC5181">
        <w:rPr>
          <w:rFonts w:ascii="Century Schoolbook" w:hAnsi="Century Schoolbook"/>
          <w:i/>
          <w:iCs/>
        </w:rPr>
        <w:t>Banks v. Jerome Taylor &amp; Associates,</w:t>
      </w:r>
      <w:r w:rsidRPr="00CC5181">
        <w:rPr>
          <w:rFonts w:ascii="Century Schoolbook" w:hAnsi="Century Schoolbook"/>
        </w:rPr>
        <w:t xml:space="preserve"> 700 A. 2d 1329, 1331 (Pa. Super. 1997).  </w:t>
      </w:r>
    </w:p>
  </w:endnote>
  <w:endnote w:id="14">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Chapman,</w:t>
      </w:r>
      <w:r w:rsidRPr="00CC5181">
        <w:rPr>
          <w:rFonts w:ascii="Century Schoolbook" w:hAnsi="Century Schoolbook"/>
        </w:rPr>
        <w:t xml:space="preserve"> 220 Ga. App. 539, 469 S.E. 2d 783.  </w:t>
      </w:r>
    </w:p>
  </w:endnote>
  <w:endnote w:id="15">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293 Ga. App. 358, 361, 667 S.E. 2d 150 (2008)</w:t>
      </w:r>
    </w:p>
  </w:endnote>
  <w:endnote w:id="16">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See, e.g., Copenhagen Reins. Co. v. Champion Home Builders Co., Inc</w:t>
      </w:r>
      <w:r w:rsidRPr="00CC5181">
        <w:rPr>
          <w:rFonts w:ascii="Century Schoolbook" w:hAnsi="Century Schoolbook"/>
        </w:rPr>
        <w:t xml:space="preserve">., 872 So. 2d 848 (Ala. Civ. App. 2003); </w:t>
      </w:r>
      <w:r w:rsidRPr="00CC5181">
        <w:rPr>
          <w:rFonts w:ascii="Century Schoolbook" w:hAnsi="Century Schoolbook"/>
          <w:i/>
        </w:rPr>
        <w:t>Bolton v. Massachusetts Bay Transp. Auth.</w:t>
      </w:r>
      <w:r w:rsidRPr="00CC5181">
        <w:rPr>
          <w:rFonts w:ascii="Century Schoolbook" w:hAnsi="Century Schoolbook"/>
        </w:rPr>
        <w:t xml:space="preserve">, 32 Mass. App. Ct. 654, 593 N.E. 2d 248 (1992); </w:t>
      </w:r>
      <w:r w:rsidRPr="00CC5181">
        <w:rPr>
          <w:rFonts w:ascii="Century Schoolbook" w:hAnsi="Century Schoolbook"/>
          <w:i/>
        </w:rPr>
        <w:t>Patton v. Newmar Corp.</w:t>
      </w:r>
      <w:r w:rsidRPr="00CC5181">
        <w:rPr>
          <w:rFonts w:ascii="Century Schoolbook" w:hAnsi="Century Schoolbook"/>
        </w:rPr>
        <w:t xml:space="preserve">, 538 N.W.2d 116, 119 (Minn. 1995); </w:t>
      </w:r>
      <w:r w:rsidRPr="00CC5181">
        <w:rPr>
          <w:rFonts w:ascii="Century Schoolbook" w:hAnsi="Century Schoolbook"/>
          <w:i/>
        </w:rPr>
        <w:t>Fire</w:t>
      </w:r>
      <w:r w:rsidRPr="00CC5181">
        <w:rPr>
          <w:rFonts w:ascii="Century Schoolbook" w:hAnsi="Century Schoolbook"/>
        </w:rPr>
        <w:t xml:space="preserve"> </w:t>
      </w:r>
      <w:r w:rsidRPr="00CC5181">
        <w:rPr>
          <w:rFonts w:ascii="Century Schoolbook" w:hAnsi="Century Schoolbook"/>
          <w:i/>
        </w:rPr>
        <w:t>Ins. Exch. v. Zenith Radio Corp</w:t>
      </w:r>
      <w:r w:rsidRPr="00CC5181">
        <w:rPr>
          <w:rFonts w:ascii="Century Schoolbook" w:hAnsi="Century Schoolbook"/>
        </w:rPr>
        <w:t>., 103 Nev. 648, 650, 747 P. 2d 911 (1987).</w:t>
      </w:r>
    </w:p>
  </w:endnote>
  <w:endnote w:id="17">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308 Ga. App. 436, 708 S.E.2d 41 (2011).</w:t>
      </w:r>
    </w:p>
  </w:endnote>
  <w:endnote w:id="18">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See, e.g., Pfantz v. Kmart Corp</w:t>
      </w:r>
      <w:r w:rsidRPr="00CC5181">
        <w:rPr>
          <w:rFonts w:ascii="Century Schoolbook" w:hAnsi="Century Schoolbook"/>
        </w:rPr>
        <w:t xml:space="preserve">., 85 P. 3d 564 (Colo. Ct. App. 2003);  </w:t>
      </w:r>
      <w:r w:rsidRPr="00CC5181">
        <w:rPr>
          <w:rFonts w:ascii="Century Schoolbook" w:hAnsi="Century Schoolbook"/>
          <w:i/>
        </w:rPr>
        <w:t>Anderson v. Litzenberg</w:t>
      </w:r>
      <w:r w:rsidRPr="00CC5181">
        <w:rPr>
          <w:rFonts w:ascii="Century Schoolbook" w:hAnsi="Century Schoolbook"/>
        </w:rPr>
        <w:t xml:space="preserve">, 115 Md. App. 549, 694 A. 2d 150 (1997); </w:t>
      </w:r>
      <w:r w:rsidRPr="00CC5181">
        <w:rPr>
          <w:rFonts w:ascii="Century Schoolbook" w:hAnsi="Century Schoolbook"/>
          <w:i/>
        </w:rPr>
        <w:t>Wajda v. Kingsbury</w:t>
      </w:r>
      <w:r w:rsidRPr="00CC5181">
        <w:rPr>
          <w:rFonts w:ascii="Century Schoolbook" w:hAnsi="Century Schoolbook"/>
        </w:rPr>
        <w:t xml:space="preserve">, 652 N.W. 2d 856 (Minn. Ct. App. 2002).  A recent federal court opinion sanctioned a plaintiff with adverse jury instructions where the plaintiff was found to have intentionally deleted a facebook ® account sought by the defense.  </w:t>
      </w:r>
      <w:r w:rsidRPr="00CC5181">
        <w:rPr>
          <w:rFonts w:ascii="Century Schoolbook" w:hAnsi="Century Schoolbook"/>
          <w:i/>
        </w:rPr>
        <w:t>Gatto v. United Air Lines, Inc.</w:t>
      </w:r>
      <w:r w:rsidRPr="00CC5181">
        <w:rPr>
          <w:rFonts w:ascii="Century Schoolbook" w:hAnsi="Century Schoolbook"/>
        </w:rPr>
        <w:t>, 2013 WL 1285285 (Case No. 10-CV-1090-ES-SCM, D.N.J. Mar. 25, 2013).</w:t>
      </w:r>
    </w:p>
  </w:endnote>
  <w:endnote w:id="19">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 xml:space="preserve">Bridgestone/Firestone N. Am. Tire, </w:t>
      </w:r>
      <w:r w:rsidRPr="00CC5181">
        <w:rPr>
          <w:rFonts w:ascii="Century Schoolbook" w:hAnsi="Century Schoolbook"/>
        </w:rPr>
        <w:t xml:space="preserve">258 Ga. App. at 771, 574 S.E. 2d 923.  </w:t>
      </w:r>
    </w:p>
  </w:endnote>
  <w:endnote w:id="20">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Id</w:t>
      </w:r>
      <w:r w:rsidRPr="00CC5181">
        <w:rPr>
          <w:rFonts w:ascii="Century Schoolbook" w:hAnsi="Century Schoolbook"/>
        </w:rPr>
        <w:t>.</w:t>
      </w:r>
    </w:p>
  </w:endnote>
  <w:endnote w:id="21">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220 Ga. App. 539, 469 S.E. 2d 783.</w:t>
      </w:r>
    </w:p>
  </w:endnote>
  <w:endnote w:id="22">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Id</w:t>
      </w:r>
      <w:r w:rsidRPr="00CC5181">
        <w:rPr>
          <w:rFonts w:ascii="Century Schoolbook" w:hAnsi="Century Schoolbook"/>
        </w:rPr>
        <w:t>., 220 Ga. App. at 542, 469 S.E. 2d at 785-86.</w:t>
      </w:r>
    </w:p>
  </w:endnote>
  <w:endnote w:id="23">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Bridgestone/Firestone N. Am. Tire</w:t>
      </w:r>
      <w:r w:rsidRPr="00CC5181">
        <w:rPr>
          <w:rFonts w:ascii="Century Schoolbook" w:hAnsi="Century Schoolbook"/>
        </w:rPr>
        <w:t>, 258 Ga. App. at 770, 574 S.E. 2d 923.</w:t>
      </w:r>
    </w:p>
  </w:endnote>
  <w:endnote w:id="24">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See, e.g</w:t>
      </w:r>
      <w:r w:rsidRPr="00CC5181">
        <w:rPr>
          <w:rFonts w:ascii="Century Schoolbook" w:hAnsi="Century Schoolbook"/>
        </w:rPr>
        <w:t xml:space="preserve">., </w:t>
      </w:r>
      <w:r w:rsidRPr="00CC5181">
        <w:rPr>
          <w:rFonts w:ascii="Century Schoolbook" w:hAnsi="Century Schoolbook"/>
          <w:i/>
        </w:rPr>
        <w:t>Cincinnati Ins. Co. v. Synergy Gas, Inc</w:t>
      </w:r>
      <w:r w:rsidRPr="00CC5181">
        <w:rPr>
          <w:rFonts w:ascii="Century Schoolbook" w:hAnsi="Century Schoolbook"/>
        </w:rPr>
        <w:t>., 585 So. 2d 822 (Ala. 1991)(dismissal);  </w:t>
      </w:r>
      <w:r w:rsidRPr="00CC5181">
        <w:rPr>
          <w:rFonts w:ascii="Century Schoolbook" w:hAnsi="Century Schoolbook"/>
          <w:i/>
        </w:rPr>
        <w:t>Stubli v. Big D Int'l Trucks, Inc.</w:t>
      </w:r>
      <w:r w:rsidRPr="00CC5181">
        <w:rPr>
          <w:rFonts w:ascii="Century Schoolbook" w:hAnsi="Century Schoolbook"/>
        </w:rPr>
        <w:t xml:space="preserve">, 107 Nev. 309, 810 P. 2d 785 (1991)(dismissal); </w:t>
      </w:r>
      <w:r w:rsidRPr="00CC5181">
        <w:rPr>
          <w:rFonts w:ascii="Century Schoolbook" w:hAnsi="Century Schoolbook"/>
          <w:i/>
        </w:rPr>
        <w:t>Lindquist v. Pillsbury Co</w:t>
      </w:r>
      <w:r w:rsidRPr="00CC5181">
        <w:rPr>
          <w:rFonts w:ascii="Century Schoolbook" w:hAnsi="Century Schoolbook"/>
        </w:rPr>
        <w:t xml:space="preserve">., 1 A.D. 3d 410, 766 N.Y.S. 2d 689 (2003)(dismissal); </w:t>
      </w:r>
      <w:r w:rsidRPr="00CC5181">
        <w:rPr>
          <w:rFonts w:ascii="Century Schoolbook" w:hAnsi="Century Schoolbook"/>
          <w:i/>
        </w:rPr>
        <w:t>Hawley v. Cash</w:t>
      </w:r>
      <w:r w:rsidRPr="00CC5181">
        <w:rPr>
          <w:rFonts w:ascii="Century Schoolbook" w:hAnsi="Century Schoolbook"/>
        </w:rPr>
        <w:t xml:space="preserve">, 155 N.C. App. 580, 574 S.E. 2d 684 (2002) (summary judgment); </w:t>
      </w:r>
      <w:r w:rsidRPr="00CC5181">
        <w:rPr>
          <w:rFonts w:ascii="Century Schoolbook" w:hAnsi="Century Schoolbook"/>
          <w:i/>
        </w:rPr>
        <w:t>Fines v. Ressler Enter., Inc.</w:t>
      </w:r>
      <w:r w:rsidRPr="00CC5181">
        <w:rPr>
          <w:rFonts w:ascii="Century Schoolbook" w:hAnsi="Century Schoolbook"/>
        </w:rPr>
        <w:t>, 2012 N.D. 175, 820 N.W. 2d 688 (dismissal).</w:t>
      </w:r>
    </w:p>
  </w:endnote>
  <w:endnote w:id="25">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 xml:space="preserve">Supra </w:t>
      </w:r>
      <w:r w:rsidRPr="00CC5181">
        <w:rPr>
          <w:rFonts w:ascii="Century Schoolbook" w:hAnsi="Century Schoolbook"/>
        </w:rPr>
        <w:t>note 17</w:t>
      </w:r>
      <w:r w:rsidRPr="00CC5181">
        <w:rPr>
          <w:rFonts w:ascii="Century Schoolbook" w:hAnsi="Century Schoolbook"/>
          <w:i/>
        </w:rPr>
        <w:t>.</w:t>
      </w:r>
    </w:p>
  </w:endnote>
  <w:endnote w:id="26">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In </w:t>
      </w:r>
      <w:r w:rsidRPr="00CC5181">
        <w:rPr>
          <w:rFonts w:ascii="Century Schoolbook" w:hAnsi="Century Schoolbook"/>
          <w:i/>
        </w:rPr>
        <w:t>Robertet Flavors, Inc. v. Tri-Form Constr., Inc.</w:t>
      </w:r>
      <w:r w:rsidRPr="00CC5181">
        <w:rPr>
          <w:rFonts w:ascii="Century Schoolbook" w:hAnsi="Century Schoolbook"/>
        </w:rPr>
        <w:t>, 203 N.J. 252, 285, 1 A. 3d 658, 678 (2010), the New Jersey Supreme Court reached a similar conclusion allowing limited claims to continue against one defendant (after applying spoliation sanctions relating to restricting evidence to be admitted) and dismissing the plaintiff’s claims against the other co-defendants as sanctions for spoliation.</w:t>
      </w:r>
    </w:p>
  </w:endnote>
  <w:endnote w:id="27">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427 F. 3d 939 (11th Cir. 2005).</w:t>
      </w:r>
    </w:p>
  </w:endnote>
  <w:endnote w:id="28">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Id</w:t>
      </w:r>
      <w:r w:rsidRPr="00CC5181">
        <w:rPr>
          <w:rFonts w:ascii="Century Schoolbook" w:hAnsi="Century Schoolbook"/>
        </w:rPr>
        <w:t>. at 943 (footnote omitted).</w:t>
      </w:r>
    </w:p>
  </w:endnote>
  <w:endnote w:id="29">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Id</w:t>
      </w:r>
      <w:r w:rsidRPr="00CC5181">
        <w:rPr>
          <w:rFonts w:ascii="Century Schoolbook" w:hAnsi="Century Schoolbook"/>
        </w:rPr>
        <w:t>. at 945.</w:t>
      </w:r>
    </w:p>
  </w:endnote>
  <w:endnote w:id="30">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 xml:space="preserve">Supra </w:t>
      </w:r>
      <w:r w:rsidRPr="00CC5181">
        <w:rPr>
          <w:rFonts w:ascii="Century Schoolbook" w:hAnsi="Century Schoolbook"/>
        </w:rPr>
        <w:t>note 15</w:t>
      </w:r>
      <w:r w:rsidRPr="00CC5181">
        <w:rPr>
          <w:rFonts w:ascii="Century Schoolbook" w:hAnsi="Century Schoolbook"/>
          <w:i/>
        </w:rPr>
        <w:t>.</w:t>
      </w:r>
    </w:p>
  </w:endnote>
  <w:endnote w:id="31">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iCs/>
        </w:rPr>
        <w:t>See also</w:t>
      </w:r>
      <w:r w:rsidRPr="00CC5181">
        <w:rPr>
          <w:rFonts w:ascii="Century Schoolbook" w:hAnsi="Century Schoolbook"/>
        </w:rPr>
        <w:t xml:space="preserve"> </w:t>
      </w:r>
      <w:r w:rsidRPr="00CC5181">
        <w:rPr>
          <w:rFonts w:ascii="Century Schoolbook" w:hAnsi="Century Schoolbook"/>
          <w:i/>
          <w:iCs/>
        </w:rPr>
        <w:t>R.A. Siegel Co.</w:t>
      </w:r>
      <w:r w:rsidRPr="00CC5181">
        <w:rPr>
          <w:rFonts w:ascii="Century Schoolbook" w:hAnsi="Century Schoolbook"/>
        </w:rPr>
        <w:t>, 246 Ga. App. at 182, 539 S.E. 2d at 878 (“We are mindful that the sanction imposed here, excluding expert testimony, is a harsh sanction as it can be the functional equivalent of striking the answer or dismissal.”).</w:t>
      </w:r>
    </w:p>
  </w:endnote>
  <w:endnote w:id="32">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Fire Ins. Exch. v. Zenith Radio Corp.</w:t>
      </w:r>
      <w:r w:rsidRPr="00CC5181">
        <w:rPr>
          <w:rFonts w:ascii="Century Schoolbook" w:hAnsi="Century Schoolbook"/>
        </w:rPr>
        <w:t>, 103 Nev. 648, 651, 747 P. 2d 911 (1987).</w:t>
      </w:r>
    </w:p>
  </w:endnote>
  <w:endnote w:id="33">
    <w:p w:rsidR="009053EE" w:rsidRPr="00CC5181" w:rsidRDefault="009053EE" w:rsidP="005C3E72">
      <w:pPr>
        <w:pStyle w:val="EndnoteText"/>
        <w:spacing w:after="120"/>
        <w:jc w:val="both"/>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 xml:space="preserve">Supra </w:t>
      </w:r>
      <w:r w:rsidRPr="00CC5181">
        <w:rPr>
          <w:rFonts w:ascii="Century Schoolbook" w:hAnsi="Century Schoolbook"/>
        </w:rPr>
        <w:t>note 11.</w:t>
      </w:r>
    </w:p>
  </w:endnote>
  <w:endnote w:id="34">
    <w:p w:rsidR="009053EE" w:rsidRPr="00CC5181" w:rsidRDefault="009053EE" w:rsidP="005C3E72">
      <w:pPr>
        <w:pStyle w:val="EndnoteText"/>
        <w:spacing w:after="120"/>
        <w:rPr>
          <w:rFonts w:ascii="Century Schoolbook" w:hAnsi="Century Schoolbook"/>
        </w:rPr>
      </w:pPr>
      <w:r w:rsidRPr="00CC5181">
        <w:rPr>
          <w:rStyle w:val="EndnoteReference"/>
          <w:rFonts w:ascii="Century Schoolbook" w:hAnsi="Century Schoolbook"/>
        </w:rPr>
        <w:endnoteRef/>
      </w:r>
      <w:r w:rsidRPr="00CC5181">
        <w:rPr>
          <w:rFonts w:ascii="Century Schoolbook" w:hAnsi="Century Schoolbook"/>
        </w:rPr>
        <w:t xml:space="preserve"> Gwinnett State Court, Civil Action File No. 11A-01696</w:t>
      </w:r>
      <w:r w:rsidRPr="006A7CD0">
        <w:rPr>
          <w:rFonts w:ascii="Century Schoolbook" w:hAnsi="Century Schoolbook"/>
        </w:rPr>
        <w:t>-8.  A copy of Order is provided as Appendix A to this article.</w:t>
      </w:r>
    </w:p>
  </w:endnote>
  <w:endnote w:id="35">
    <w:p w:rsidR="009053EE" w:rsidRPr="002535FF" w:rsidRDefault="009053EE" w:rsidP="005C3E72">
      <w:pPr>
        <w:pStyle w:val="EndnoteText"/>
        <w:spacing w:after="120"/>
        <w:jc w:val="both"/>
        <w:rPr>
          <w:rFonts w:ascii="Century Schoolbook" w:hAnsi="Century Schoolbook"/>
          <w:sz w:val="16"/>
          <w:szCs w:val="16"/>
        </w:rPr>
      </w:pPr>
      <w:r w:rsidRPr="00CC5181">
        <w:rPr>
          <w:rStyle w:val="EndnoteReference"/>
          <w:rFonts w:ascii="Century Schoolbook" w:hAnsi="Century Schoolbook"/>
        </w:rPr>
        <w:endnoteRef/>
      </w:r>
      <w:r w:rsidRPr="00CC5181">
        <w:rPr>
          <w:rFonts w:ascii="Century Schoolbook" w:hAnsi="Century Schoolbook"/>
        </w:rPr>
        <w:t xml:space="preserve"> </w:t>
      </w:r>
      <w:r w:rsidRPr="00CC5181">
        <w:rPr>
          <w:rFonts w:ascii="Century Schoolbook" w:hAnsi="Century Schoolbook"/>
          <w:i/>
        </w:rPr>
        <w:t>Id.</w:t>
      </w:r>
      <w:r w:rsidRPr="00CC5181">
        <w:rPr>
          <w:rFonts w:ascii="Century Schoolbook" w:hAnsi="Century Schoolbook"/>
        </w:rPr>
        <w:t xml:space="preserve"> at 15</w:t>
      </w:r>
    </w:p>
  </w:endnote>
  <w:endnote w:id="36">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Comment 6 provides, “When a lawyer has been retained by an insurer to represent an insured, for example, the representation may be limited to matters related to insurance coverage.”  </w:t>
      </w:r>
    </w:p>
  </w:endnote>
  <w:endnote w:id="37">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Comment 8 provides, “All agreements concerning a lawyer’s representation of a client must accord with the Rules of Professional Conduct and other law.”</w:t>
      </w:r>
    </w:p>
  </w:endnote>
  <w:endnote w:id="38">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Notably, however, Georgia bankruptcy courts have addressed the propriety of a lawyer contractually limiting an engagement scope.  </w:t>
      </w:r>
      <w:r w:rsidRPr="00C279A3">
        <w:rPr>
          <w:rFonts w:ascii="Century Schoolbook" w:hAnsi="Century Schoolbook"/>
          <w:i/>
        </w:rPr>
        <w:t>In re Mathis</w:t>
      </w:r>
      <w:r w:rsidRPr="00C279A3">
        <w:rPr>
          <w:rFonts w:ascii="Century Schoolbook" w:hAnsi="Century Schoolbook"/>
        </w:rPr>
        <w:t xml:space="preserve">, 465 B.R. 325 (N.D. Ga. 2012) (stating that it was improper for a bankruptcy attorney to contractually exclude the defense of adversary proceedings from an engagement’s scope).  </w:t>
      </w:r>
    </w:p>
  </w:endnote>
  <w:endnote w:id="39">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James 3 Corp. v. Truck Ins. Exch.</w:t>
      </w:r>
      <w:r w:rsidRPr="00C279A3">
        <w:rPr>
          <w:rFonts w:ascii="Century Schoolbook" w:hAnsi="Century Schoolbook"/>
        </w:rPr>
        <w:t xml:space="preserve">, 91 Cal. App. 4th 1093, 1104 (2001) (“[t]here is nothing in the policy that contractually obligates [insurer] to fund and prosecute an insured’s affirmative relief counterclaims or cross-complaints”);  </w:t>
      </w:r>
      <w:r w:rsidRPr="00C279A3">
        <w:rPr>
          <w:rFonts w:ascii="Century Schoolbook" w:hAnsi="Century Schoolbook"/>
          <w:i/>
        </w:rPr>
        <w:t xml:space="preserve">Red Head Brass, Inc. v. Buckeye Union Ins. Co., </w:t>
      </w:r>
      <w:r w:rsidRPr="00C279A3">
        <w:rPr>
          <w:rFonts w:ascii="Century Schoolbook" w:hAnsi="Century Schoolbook"/>
        </w:rPr>
        <w:t>135 Ohio App. 3d 616 (1999).</w:t>
      </w:r>
    </w:p>
  </w:endnote>
  <w:endnote w:id="40">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The “tripartite” relationship is the term describing the relationship among an insurer, its insured, and defense counsel.    </w:t>
      </w:r>
    </w:p>
  </w:endnote>
  <w:endnote w:id="41">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Underwriters Ins. Co. v. Atlanta Gas Light Co., </w:t>
      </w:r>
      <w:r w:rsidRPr="00C279A3">
        <w:rPr>
          <w:rFonts w:ascii="Century Schoolbook" w:hAnsi="Century Schoolbook"/>
        </w:rPr>
        <w:t xml:space="preserve">248 F.R.D. 663 (N.D. Ga. 2008). </w:t>
      </w:r>
    </w:p>
  </w:endnote>
  <w:endnote w:id="42">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See Kennedy v. Jones, </w:t>
      </w:r>
      <w:r w:rsidRPr="00C279A3">
        <w:rPr>
          <w:rFonts w:ascii="Century Schoolbook" w:hAnsi="Century Schoolbook"/>
        </w:rPr>
        <w:t>44 F.R.D. 52 (1968) (“It has been suggested that perhaps the counterclaim was not filed because Kennedy’s counsel did not think that there was any insurance on the Jones Automobile.  Nevertheless, the filing of a counterclaim for tactical defensive reasons is generally recognized as good practice.”) Further, O.C.G.A. § 9-11-13(a) provides, in pertinent part, that “[a] pleading shall state as a counterclaim any claim which at the time of serving the pleading the pleader has against any opposing party, if it arises out of the transaction or occurrence that is the subject matter of the opposing party's claim and does not require for its adjudication the presence of third parties of whom the court cannot acquire jurisdiction.” Accordingly, a client who reasonably believes that a lawyer represented him might argue that the lawyer’s fiduciary duties obligated him to prosecute the client’s affirmative claims.</w:t>
      </w:r>
    </w:p>
  </w:endnote>
  <w:endnote w:id="43">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Appleman on Insurance</w:t>
      </w:r>
      <w:r w:rsidRPr="00C279A3">
        <w:rPr>
          <w:rFonts w:ascii="Century Schoolbook" w:hAnsi="Century Schoolbook"/>
        </w:rPr>
        <w:t xml:space="preserve"> § 16.04.</w:t>
      </w:r>
    </w:p>
  </w:endnote>
  <w:endnote w:id="44">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Karon O. Bowdre, </w:t>
      </w:r>
      <w:r w:rsidRPr="00C279A3">
        <w:rPr>
          <w:rFonts w:ascii="Century Schoolbook" w:hAnsi="Century Schoolbook"/>
          <w:i/>
        </w:rPr>
        <w:t>Conflicts of Interest Between Insurer and Insured: Ethical Traps for the Unsuspecting Defense Counsel</w:t>
      </w:r>
      <w:r w:rsidRPr="00C279A3">
        <w:rPr>
          <w:rFonts w:ascii="Century Schoolbook" w:hAnsi="Century Schoolbook"/>
        </w:rPr>
        <w:t xml:space="preserve">, 17 Am. J. Trial Advoc. 101, 103 (1993) (“Indeed, the costs of defense form one reason why coverage is purchased”). </w:t>
      </w:r>
    </w:p>
  </w:endnote>
  <w:endnote w:id="45">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See Auto-Owners Ins. Co. v. State Farm Fire &amp; Cas. Co.,</w:t>
      </w:r>
      <w:r w:rsidRPr="00C279A3">
        <w:rPr>
          <w:rFonts w:ascii="Century Schoolbook" w:hAnsi="Century Schoolbook"/>
        </w:rPr>
        <w:t xml:space="preserve"> 297 Ga. App. 751, 678 S.E.2d 196 (2009); </w:t>
      </w:r>
      <w:r w:rsidRPr="00C279A3">
        <w:rPr>
          <w:rFonts w:ascii="Century Schoolbook" w:hAnsi="Century Schoolbook"/>
          <w:i/>
        </w:rPr>
        <w:t>Nationwide Mut. Fire Ins. Co. v. Kim</w:t>
      </w:r>
      <w:r w:rsidRPr="00C279A3">
        <w:rPr>
          <w:rFonts w:ascii="Century Schoolbook" w:hAnsi="Century Schoolbook"/>
        </w:rPr>
        <w:t>, 294 Ga. App. 548, 669 S.E.2d 517 (2008).</w:t>
      </w:r>
    </w:p>
  </w:endnote>
  <w:endnote w:id="46">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Auto-Owners Ins. Co.,</w:t>
      </w:r>
      <w:r w:rsidRPr="00C279A3">
        <w:rPr>
          <w:rFonts w:ascii="Century Schoolbook" w:hAnsi="Century Schoolbook"/>
        </w:rPr>
        <w:t xml:space="preserve"> 297 Ga. App. 751, 678 S.E.2d 196; </w:t>
      </w:r>
      <w:r w:rsidRPr="00C279A3">
        <w:rPr>
          <w:rFonts w:ascii="Century Schoolbook" w:hAnsi="Century Schoolbook"/>
          <w:i/>
        </w:rPr>
        <w:t>Nationwide Mut. Fire Ins. Co.</w:t>
      </w:r>
      <w:r w:rsidRPr="00C279A3">
        <w:rPr>
          <w:rFonts w:ascii="Century Schoolbook" w:hAnsi="Century Schoolbook"/>
        </w:rPr>
        <w:t>, 294 Ga. App. 548, 669 S.E.2d 517</w:t>
      </w:r>
      <w:r w:rsidRPr="00C279A3">
        <w:rPr>
          <w:rFonts w:ascii="Century Schoolbook" w:hAnsi="Century Schoolbook"/>
          <w:i/>
        </w:rPr>
        <w:t xml:space="preserve">; see also Lawyers Title Ins. Corp. v. Stribling, </w:t>
      </w:r>
      <w:r w:rsidRPr="00C279A3">
        <w:rPr>
          <w:rFonts w:ascii="Century Schoolbook" w:hAnsi="Century Schoolbook"/>
        </w:rPr>
        <w:t>294 Ga. App. 382, 670 S.E.2d 154 (2008).</w:t>
      </w:r>
    </w:p>
  </w:endnote>
  <w:endnote w:id="47">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Driskell v. Empire Fire &amp; Marine Ins. Co., </w:t>
      </w:r>
      <w:r w:rsidRPr="00C279A3">
        <w:rPr>
          <w:rFonts w:ascii="Century Schoolbook" w:hAnsi="Century Schoolbook"/>
        </w:rPr>
        <w:t xml:space="preserve">249 Ga. App. 56, 547 S.E.2d 360 (2001); </w:t>
      </w:r>
      <w:r w:rsidRPr="00C279A3">
        <w:rPr>
          <w:rFonts w:ascii="Century Schoolbook" w:hAnsi="Century Schoolbook"/>
          <w:i/>
        </w:rPr>
        <w:t>Lavoi Corp., Inc. v. Nat’l Fire Ins.,</w:t>
      </w:r>
      <w:r w:rsidRPr="00C279A3">
        <w:rPr>
          <w:rFonts w:ascii="Century Schoolbook" w:hAnsi="Century Schoolbook"/>
        </w:rPr>
        <w:t xml:space="preserve"> 293 Ga. App. 142, 666 S.E. 387 (2008). </w:t>
      </w:r>
    </w:p>
  </w:endnote>
  <w:endnote w:id="48">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Driskell, </w:t>
      </w:r>
      <w:r w:rsidRPr="00C279A3">
        <w:rPr>
          <w:rFonts w:ascii="Century Schoolbook" w:hAnsi="Century Schoolbook"/>
        </w:rPr>
        <w:t xml:space="preserve">249 Ga. App. 56, 547 S.E.2d 360; </w:t>
      </w:r>
      <w:r w:rsidRPr="00C279A3">
        <w:rPr>
          <w:rFonts w:ascii="Century Schoolbook" w:hAnsi="Century Schoolbook"/>
          <w:i/>
        </w:rPr>
        <w:t>Lavoi Corp., Inc.,</w:t>
      </w:r>
      <w:r w:rsidRPr="00C279A3">
        <w:rPr>
          <w:rFonts w:ascii="Century Schoolbook" w:hAnsi="Century Schoolbook"/>
        </w:rPr>
        <w:t xml:space="preserve"> 293 Ga. App. 142, 666 S.E. 387</w:t>
      </w:r>
      <w:r w:rsidRPr="00C279A3">
        <w:rPr>
          <w:rFonts w:ascii="Century Schoolbook" w:hAnsi="Century Schoolbook"/>
          <w:i/>
        </w:rPr>
        <w:t>; Fireman’s Fund Ins. Co. v. Univ of Ga. Athletic Ass’n.</w:t>
      </w:r>
      <w:r w:rsidRPr="00C279A3">
        <w:rPr>
          <w:rFonts w:ascii="Century Schoolbook" w:hAnsi="Century Schoolbook"/>
        </w:rPr>
        <w:t>, 288 Ga. App. 355 (2007).</w:t>
      </w:r>
    </w:p>
  </w:endnote>
  <w:endnote w:id="49">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Driskell, </w:t>
      </w:r>
      <w:r w:rsidRPr="00C279A3">
        <w:rPr>
          <w:rFonts w:ascii="Century Schoolbook" w:hAnsi="Century Schoolbook"/>
        </w:rPr>
        <w:t xml:space="preserve">249 Ga. App. 56, 547 S.E.2d 360; </w:t>
      </w:r>
      <w:r w:rsidRPr="00C279A3">
        <w:rPr>
          <w:rFonts w:ascii="Century Schoolbook" w:hAnsi="Century Schoolbook"/>
          <w:i/>
        </w:rPr>
        <w:t>Lavoi Corp., Inc.,</w:t>
      </w:r>
      <w:r w:rsidRPr="00C279A3">
        <w:rPr>
          <w:rFonts w:ascii="Century Schoolbook" w:hAnsi="Century Schoolbook"/>
        </w:rPr>
        <w:t xml:space="preserve"> 293 Ga. App. 142, 666 S.E. 387</w:t>
      </w:r>
      <w:r w:rsidRPr="00C279A3">
        <w:rPr>
          <w:rFonts w:ascii="Century Schoolbook" w:hAnsi="Century Schoolbook"/>
          <w:i/>
        </w:rPr>
        <w:t>; Fireman’s Fund Ins. Co.</w:t>
      </w:r>
      <w:r w:rsidRPr="00C279A3">
        <w:rPr>
          <w:rFonts w:ascii="Century Schoolbook" w:hAnsi="Century Schoolbook"/>
        </w:rPr>
        <w:t>, 288 Ga. App. 355.</w:t>
      </w:r>
    </w:p>
  </w:endnote>
  <w:endnote w:id="50">
    <w:p w:rsidR="009053EE" w:rsidRPr="00C279A3" w:rsidRDefault="009053EE" w:rsidP="003522D9">
      <w:pPr>
        <w:pStyle w:val="EndnoteText"/>
        <w:spacing w:after="120"/>
        <w:jc w:val="both"/>
        <w:rPr>
          <w:rFonts w:ascii="Century Schoolbook" w:hAnsi="Century Schoolbook"/>
          <w:i/>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Driskell, </w:t>
      </w:r>
      <w:r w:rsidRPr="00C279A3">
        <w:rPr>
          <w:rFonts w:ascii="Century Schoolbook" w:hAnsi="Century Schoolbook"/>
        </w:rPr>
        <w:t xml:space="preserve">249 Ga. App. 56, 547 S.E.2d 360; </w:t>
      </w:r>
      <w:r w:rsidRPr="00C279A3">
        <w:rPr>
          <w:rFonts w:ascii="Century Schoolbook" w:hAnsi="Century Schoolbook"/>
          <w:i/>
        </w:rPr>
        <w:t>Lavoi Corp., Inc.,</w:t>
      </w:r>
      <w:r w:rsidRPr="00C279A3">
        <w:rPr>
          <w:rFonts w:ascii="Century Schoolbook" w:hAnsi="Century Schoolbook"/>
        </w:rPr>
        <w:t xml:space="preserve"> 293 Ga. App. 142, 666 S.E. 387</w:t>
      </w:r>
      <w:r w:rsidRPr="00C279A3">
        <w:rPr>
          <w:rFonts w:ascii="Century Schoolbook" w:hAnsi="Century Schoolbook"/>
          <w:i/>
        </w:rPr>
        <w:t>; Fireman’s Fund Ins. Co.</w:t>
      </w:r>
      <w:r w:rsidRPr="00C279A3">
        <w:rPr>
          <w:rFonts w:ascii="Century Schoolbook" w:hAnsi="Century Schoolbook"/>
        </w:rPr>
        <w:t>, 288 Ga. App. 355</w:t>
      </w:r>
      <w:r w:rsidRPr="00C279A3">
        <w:rPr>
          <w:rFonts w:ascii="Century Schoolbook" w:hAnsi="Century Schoolbook"/>
          <w:i/>
        </w:rPr>
        <w:t xml:space="preserve">. </w:t>
      </w:r>
    </w:p>
  </w:endnote>
  <w:endnote w:id="51">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Regardless of coverage, however, an insurance company’s interests may be best served through the assertion of a counterclaim to gain settlement leverage. </w:t>
      </w:r>
      <w:r w:rsidRPr="00C279A3">
        <w:rPr>
          <w:rFonts w:ascii="Century Schoolbook" w:hAnsi="Century Schoolbook"/>
          <w:i/>
        </w:rPr>
        <w:t>Wright v. Hartford Acc. &amp; Indem. Co</w:t>
      </w:r>
      <w:r w:rsidRPr="00C279A3">
        <w:rPr>
          <w:rFonts w:ascii="Century Schoolbook" w:hAnsi="Century Schoolbook"/>
        </w:rPr>
        <w:t>., 442 F. Supp. 155, 156 (N.D. Ga. 1977).</w:t>
      </w:r>
    </w:p>
  </w:endnote>
  <w:endnote w:id="52">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New Appleman on Insurance Law</w:t>
      </w:r>
      <w:r w:rsidRPr="00C279A3">
        <w:rPr>
          <w:rFonts w:ascii="Century Schoolbook" w:hAnsi="Century Schoolbook"/>
        </w:rPr>
        <w:t xml:space="preserve"> § 16.06[ii].</w:t>
      </w:r>
    </w:p>
  </w:endnote>
  <w:endnote w:id="53">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Red Head Brass, Inc. v. Buckeye Union Ins. Co.,</w:t>
      </w:r>
      <w:r w:rsidRPr="00C279A3">
        <w:rPr>
          <w:rFonts w:ascii="Century Schoolbook" w:hAnsi="Century Schoolbook"/>
        </w:rPr>
        <w:t xml:space="preserve"> 735 N.E.2d 48, 57 (1999).</w:t>
      </w:r>
    </w:p>
  </w:endnote>
  <w:endnote w:id="54">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Safeguard Scientifics, Inc. v. Liberty Mut. Ins. Co.,</w:t>
      </w:r>
      <w:r w:rsidRPr="00C279A3">
        <w:rPr>
          <w:rFonts w:ascii="Century Schoolbook" w:hAnsi="Century Schoolbook"/>
        </w:rPr>
        <w:t xml:space="preserve"> 766 F. Supp. 324 (E.D. Pa. 1991), </w:t>
      </w:r>
      <w:r w:rsidRPr="00C279A3">
        <w:rPr>
          <w:rFonts w:ascii="Century Schoolbook" w:hAnsi="Century Schoolbook"/>
          <w:i/>
        </w:rPr>
        <w:t>reversed on other grounds</w:t>
      </w:r>
      <w:r w:rsidRPr="00C279A3">
        <w:rPr>
          <w:rFonts w:ascii="Century Schoolbook" w:hAnsi="Century Schoolbook"/>
        </w:rPr>
        <w:t>, 961 F.2d 209 (3</w:t>
      </w:r>
      <w:r w:rsidRPr="00C279A3">
        <w:rPr>
          <w:rFonts w:ascii="Century Schoolbook" w:hAnsi="Century Schoolbook"/>
          <w:vertAlign w:val="superscript"/>
        </w:rPr>
        <w:t>rd</w:t>
      </w:r>
      <w:r w:rsidRPr="00C279A3">
        <w:rPr>
          <w:rFonts w:ascii="Century Schoolbook" w:hAnsi="Century Schoolbook"/>
        </w:rPr>
        <w:t xml:space="preserve"> Cir. 1992). </w:t>
      </w:r>
    </w:p>
  </w:endnote>
  <w:endnote w:id="55">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Id.</w:t>
      </w:r>
    </w:p>
  </w:endnote>
  <w:endnote w:id="56">
    <w:p w:rsidR="009053EE" w:rsidRPr="00C279A3" w:rsidRDefault="009053EE" w:rsidP="003522D9">
      <w:pPr>
        <w:pStyle w:val="EndnoteText"/>
        <w:spacing w:after="120"/>
        <w:jc w:val="both"/>
        <w:rPr>
          <w:rFonts w:ascii="Century Schoolbook" w:hAnsi="Century Schoolbook"/>
          <w:i/>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Id.</w:t>
      </w:r>
    </w:p>
  </w:endnote>
  <w:endnote w:id="57">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Id. </w:t>
      </w:r>
    </w:p>
  </w:endnote>
  <w:endnote w:id="58">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315 F. Supp. 2d 879 (N.D. Ill. 2003)</w:t>
      </w:r>
    </w:p>
  </w:endnote>
  <w:endnote w:id="59">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Id</w:t>
      </w:r>
      <w:r w:rsidRPr="00C279A3">
        <w:rPr>
          <w:rFonts w:ascii="Century Schoolbook" w:hAnsi="Century Schoolbook"/>
        </w:rPr>
        <w:t>.</w:t>
      </w:r>
    </w:p>
  </w:endnote>
  <w:endnote w:id="60">
    <w:p w:rsidR="009053EE" w:rsidRPr="00C279A3" w:rsidRDefault="009053EE" w:rsidP="003522D9">
      <w:pPr>
        <w:pStyle w:val="EndnoteText"/>
        <w:spacing w:after="120"/>
        <w:jc w:val="both"/>
        <w:rPr>
          <w:rFonts w:ascii="Century Schoolbook" w:hAnsi="Century Schoolbook"/>
          <w:i/>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Id.</w:t>
      </w:r>
    </w:p>
  </w:endnote>
  <w:endnote w:id="61">
    <w:p w:rsidR="009053EE" w:rsidRPr="00C279A3" w:rsidRDefault="009053EE" w:rsidP="003522D9">
      <w:pPr>
        <w:spacing w:after="120"/>
        <w:jc w:val="both"/>
        <w:rPr>
          <w:rFonts w:ascii="Century Schoolbook" w:hAnsi="Century Schoolbook"/>
          <w:sz w:val="20"/>
          <w:szCs w:val="20"/>
        </w:rPr>
      </w:pPr>
      <w:r w:rsidRPr="00C279A3">
        <w:rPr>
          <w:rStyle w:val="EndnoteReference"/>
          <w:rFonts w:ascii="Century Schoolbook" w:hAnsi="Century Schoolbook"/>
          <w:sz w:val="20"/>
          <w:szCs w:val="20"/>
        </w:rPr>
        <w:endnoteRef/>
      </w:r>
      <w:r w:rsidRPr="00C279A3">
        <w:rPr>
          <w:rFonts w:ascii="Century Schoolbook" w:hAnsi="Century Schoolbook"/>
          <w:sz w:val="20"/>
          <w:szCs w:val="20"/>
        </w:rPr>
        <w:t xml:space="preserve"> </w:t>
      </w:r>
      <w:r w:rsidRPr="00C279A3">
        <w:rPr>
          <w:rFonts w:ascii="Century Schoolbook" w:hAnsi="Century Schoolbook"/>
          <w:i/>
          <w:sz w:val="20"/>
          <w:szCs w:val="20"/>
        </w:rPr>
        <w:t>IBP, Inc. v. Nat’l Union Fire Ins. Co.</w:t>
      </w:r>
      <w:r w:rsidRPr="00C279A3">
        <w:rPr>
          <w:rFonts w:ascii="Century Schoolbook" w:hAnsi="Century Schoolbook"/>
          <w:sz w:val="20"/>
          <w:szCs w:val="20"/>
        </w:rPr>
        <w:t>, 299 F. Supp. 2d 1024 (D.S.D. 2003).</w:t>
      </w:r>
    </w:p>
  </w:endnote>
  <w:endnote w:id="62">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Id. </w:t>
      </w:r>
      <w:r w:rsidRPr="00C279A3">
        <w:rPr>
          <w:rFonts w:ascii="Century Schoolbook" w:hAnsi="Century Schoolbook"/>
        </w:rPr>
        <w:t>at 1030.</w:t>
      </w:r>
    </w:p>
  </w:endnote>
  <w:endnote w:id="63">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See, e.g., Int’l Ins. Co. v. Rollprint Packaging Prod., Inc., </w:t>
      </w:r>
      <w:r w:rsidRPr="00C279A3">
        <w:rPr>
          <w:rFonts w:ascii="Century Schoolbook" w:hAnsi="Century Schoolbook"/>
        </w:rPr>
        <w:t xml:space="preserve">312 Ill. App. 3d 998 (2000); </w:t>
      </w:r>
      <w:r w:rsidRPr="00C279A3">
        <w:rPr>
          <w:rFonts w:ascii="Century Schoolbook" w:hAnsi="Century Schoolbook"/>
          <w:i/>
        </w:rPr>
        <w:t>Duke Univ. v. St. Paul Mercury Ins. Co.,</w:t>
      </w:r>
      <w:r w:rsidRPr="00C279A3">
        <w:rPr>
          <w:rFonts w:ascii="Century Schoolbook" w:hAnsi="Century Schoolbook"/>
        </w:rPr>
        <w:t xml:space="preserve"> 95 N.C. App. 63 (1989).</w:t>
      </w:r>
    </w:p>
  </w:endnote>
  <w:endnote w:id="64">
    <w:p w:rsidR="009053EE" w:rsidRPr="00C279A3" w:rsidRDefault="009053EE" w:rsidP="003522D9">
      <w:pPr>
        <w:pStyle w:val="EndnoteText"/>
        <w:spacing w:after="120"/>
        <w:jc w:val="both"/>
        <w:rPr>
          <w:rFonts w:ascii="Century Schoolbook" w:hAnsi="Century Schoolbook"/>
          <w:i/>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International Ins. Co., </w:t>
      </w:r>
      <w:r w:rsidRPr="00C279A3">
        <w:rPr>
          <w:rFonts w:ascii="Century Schoolbook" w:hAnsi="Century Schoolbook"/>
        </w:rPr>
        <w:t xml:space="preserve">312 Ill. App. 3d 998. </w:t>
      </w:r>
    </w:p>
  </w:endnote>
  <w:endnote w:id="65">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See, e.g., Smart Style Indus., Inc. v. Penn. Gen. Ins. Co., </w:t>
      </w:r>
      <w:r w:rsidRPr="00C279A3">
        <w:rPr>
          <w:rFonts w:ascii="Century Schoolbook" w:hAnsi="Century Schoolbook"/>
        </w:rPr>
        <w:t xml:space="preserve">930 F. Supp. 159 (S.D.N.Y. 1996); </w:t>
      </w:r>
      <w:r w:rsidRPr="00C279A3">
        <w:rPr>
          <w:rFonts w:ascii="Century Schoolbook" w:hAnsi="Century Schoolbook"/>
          <w:i/>
        </w:rPr>
        <w:t>Bennett v. St. Paul Fire &amp; Marine Ins. Co.</w:t>
      </w:r>
      <w:r w:rsidRPr="00C279A3">
        <w:rPr>
          <w:rFonts w:ascii="Century Schoolbook" w:hAnsi="Century Schoolbook"/>
        </w:rPr>
        <w:t>, 2006 WL 1313059 (D. Me. 2006) (“counterclaim primarily seeks affirmative relief based on allegations that are only tangentially related to Liberty’s complaint,” and therefore the actions were not “inextricably intertwined”).</w:t>
      </w:r>
    </w:p>
  </w:endnote>
  <w:endnote w:id="66">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Smart Style Industries, Inc., </w:t>
      </w:r>
      <w:r w:rsidRPr="00C279A3">
        <w:rPr>
          <w:rFonts w:ascii="Century Schoolbook" w:hAnsi="Century Schoolbook"/>
        </w:rPr>
        <w:t>930 F. Supp.159.</w:t>
      </w:r>
    </w:p>
  </w:endnote>
  <w:endnote w:id="67">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See generally Wright v. Hartford Acc. &amp; Indem. Co</w:t>
      </w:r>
      <w:r w:rsidRPr="00C279A3">
        <w:rPr>
          <w:rFonts w:ascii="Century Schoolbook" w:hAnsi="Century Schoolbook"/>
        </w:rPr>
        <w:t>., 442 F. Supp. 155, 156 (N.D. Ga. 1977).</w:t>
      </w:r>
    </w:p>
  </w:endnote>
  <w:endnote w:id="68">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w:t>
      </w:r>
      <w:r w:rsidRPr="00C279A3">
        <w:rPr>
          <w:rFonts w:ascii="Century Schoolbook" w:hAnsi="Century Schoolbook"/>
          <w:i/>
        </w:rPr>
        <w:t xml:space="preserve">See Kennedy v. Jones, </w:t>
      </w:r>
      <w:r w:rsidRPr="00C279A3">
        <w:rPr>
          <w:rFonts w:ascii="Century Schoolbook" w:hAnsi="Century Schoolbook"/>
        </w:rPr>
        <w:t>44 F.R.D. 52 (1968) (“It has been suggested that perhaps the counterclaim was not filed because Kennedy’s counsel did not think that there was any insurance on the Jones Automobile.  Nevertheless, the filing of a counterclaim for tactical defensive reasons is generally recognized as good practice.”).</w:t>
      </w:r>
    </w:p>
  </w:endnote>
  <w:endnote w:id="69">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Thus, causing a potential malpractice claim.</w:t>
      </w:r>
    </w:p>
  </w:endnote>
  <w:endnote w:id="70">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O.C.G.A. § 9-11-13 (counter-claims arising out of the same transaction or occurrence as the underlying case are compulsory and must be raised); </w:t>
      </w:r>
      <w:r w:rsidRPr="00C279A3">
        <w:rPr>
          <w:rFonts w:ascii="Century Schoolbook" w:hAnsi="Century Schoolbook"/>
          <w:i/>
        </w:rPr>
        <w:t>Fowler v. Vineyard</w:t>
      </w:r>
      <w:r w:rsidRPr="00C279A3">
        <w:rPr>
          <w:rFonts w:ascii="Century Schoolbook" w:hAnsi="Century Schoolbook"/>
        </w:rPr>
        <w:t xml:space="preserve">, 261 Ga. 454, 405 S.E.2d 678 (1991) and </w:t>
      </w:r>
      <w:r w:rsidRPr="00C279A3">
        <w:rPr>
          <w:rFonts w:ascii="Century Schoolbook" w:hAnsi="Century Schoolbook"/>
          <w:i/>
        </w:rPr>
        <w:t>Citizens Exch. Bank v. Kirkland</w:t>
      </w:r>
      <w:r w:rsidRPr="00C279A3">
        <w:rPr>
          <w:rFonts w:ascii="Century Schoolbook" w:hAnsi="Century Schoolbook"/>
        </w:rPr>
        <w:t>, 256 Ga. 71, 344 S.E.2d 409 (1986) (transactionally related cross-claims are mandatory).</w:t>
      </w:r>
    </w:p>
  </w:endnote>
  <w:endnote w:id="71">
    <w:p w:rsidR="009053EE" w:rsidRPr="00C279A3" w:rsidRDefault="009053EE" w:rsidP="003522D9">
      <w:pPr>
        <w:pStyle w:val="EndnoteText"/>
        <w:spacing w:after="120"/>
        <w:jc w:val="both"/>
        <w:rPr>
          <w:rFonts w:ascii="Century Schoolbook" w:hAnsi="Century Schoolbook"/>
          <w:i/>
        </w:rPr>
      </w:pPr>
      <w:r w:rsidRPr="00C279A3">
        <w:rPr>
          <w:rStyle w:val="EndnoteReference"/>
          <w:rFonts w:ascii="Century Schoolbook" w:hAnsi="Century Schoolbook"/>
        </w:rPr>
        <w:endnoteRef/>
      </w:r>
      <w:r w:rsidRPr="00C279A3">
        <w:rPr>
          <w:rFonts w:ascii="Century Schoolbook" w:hAnsi="Century Schoolbook"/>
        </w:rPr>
        <w:t xml:space="preserve"> In Georgia, “an insured who has been compelled to conduct his own defense in a case in which the insurer had a duty to defend may recover the cost of the defense incurred (attorney’s fees, etc.), and a bad faith (or stubbornly litigious) refusal to defend is the basis for an additional recovery for attorney’s fees incurred by the insured in asserting his right of reimbursement against the insurer.” </w:t>
      </w:r>
      <w:r w:rsidRPr="00C279A3">
        <w:rPr>
          <w:rFonts w:ascii="Century Schoolbook" w:hAnsi="Century Schoolbook"/>
          <w:i/>
        </w:rPr>
        <w:t xml:space="preserve">Am. Fid. &amp; Cas. Co., </w:t>
      </w:r>
      <w:r w:rsidRPr="00C279A3">
        <w:rPr>
          <w:rFonts w:ascii="Century Schoolbook" w:hAnsi="Century Schoolbook"/>
        </w:rPr>
        <w:t>280 F.2d at 453 (applying Georgia law and citing</w:t>
      </w:r>
      <w:r w:rsidRPr="00C279A3">
        <w:rPr>
          <w:rFonts w:ascii="Century Schoolbook" w:hAnsi="Century Schoolbook"/>
          <w:i/>
        </w:rPr>
        <w:t xml:space="preserve"> Md. Cas. Co. v. Sammons, </w:t>
      </w:r>
      <w:r w:rsidRPr="00C279A3">
        <w:rPr>
          <w:rFonts w:ascii="Century Schoolbook" w:hAnsi="Century Schoolbook"/>
        </w:rPr>
        <w:t>63 Ga. App. 323, 11 S.E.2d 89 (1940));</w:t>
      </w:r>
      <w:r w:rsidRPr="00C279A3">
        <w:rPr>
          <w:rFonts w:ascii="Century Schoolbook" w:hAnsi="Century Schoolbook"/>
          <w:i/>
        </w:rPr>
        <w:t xml:space="preserve"> Milwaukee Mechs. Ins. Co. v. Davis, </w:t>
      </w:r>
      <w:r w:rsidRPr="00C279A3">
        <w:rPr>
          <w:rFonts w:ascii="Century Schoolbook" w:hAnsi="Century Schoolbook"/>
        </w:rPr>
        <w:t>198 F.2d 441 (5th Cir. 1952).</w:t>
      </w:r>
    </w:p>
  </w:endnote>
  <w:endnote w:id="72">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Rule 1.7, Georgia Rules of Professional Conduct. </w:t>
      </w:r>
    </w:p>
  </w:endnote>
  <w:endnote w:id="73">
    <w:p w:rsidR="009053EE" w:rsidRPr="00C279A3" w:rsidRDefault="009053EE" w:rsidP="003522D9">
      <w:pPr>
        <w:pStyle w:val="EndnoteText"/>
        <w:spacing w:after="120"/>
        <w:jc w:val="both"/>
        <w:rPr>
          <w:rFonts w:ascii="Century Schoolbook" w:hAnsi="Century Schoolbook"/>
        </w:rPr>
      </w:pPr>
      <w:r w:rsidRPr="00C279A3">
        <w:rPr>
          <w:rStyle w:val="EndnoteReference"/>
          <w:rFonts w:ascii="Century Schoolbook" w:hAnsi="Century Schoolbook"/>
        </w:rPr>
        <w:endnoteRef/>
      </w:r>
      <w:r w:rsidRPr="00C279A3">
        <w:rPr>
          <w:rFonts w:ascii="Century Schoolbook" w:hAnsi="Century Schoolbook"/>
        </w:rPr>
        <w:t xml:space="preserve"> Rule 1.8(f), Georgia Rules of Professional Conduct.</w:t>
      </w:r>
    </w:p>
  </w:endnote>
  <w:endnote w:id="74">
    <w:p w:rsidR="009053EE" w:rsidRDefault="009053EE" w:rsidP="003522D9">
      <w:pPr>
        <w:pStyle w:val="EndnoteText"/>
        <w:spacing w:after="120"/>
        <w:jc w:val="both"/>
      </w:pPr>
      <w:r w:rsidRPr="00C279A3">
        <w:rPr>
          <w:rStyle w:val="EndnoteReference"/>
          <w:rFonts w:ascii="Century Schoolbook" w:hAnsi="Century Schoolbook"/>
        </w:rPr>
        <w:endnoteRef/>
      </w:r>
      <w:r w:rsidRPr="00C279A3">
        <w:rPr>
          <w:rFonts w:ascii="Century Schoolbook" w:hAnsi="Century Schoolbook"/>
        </w:rPr>
        <w:t xml:space="preserve"> Paul M. Lisnek, </w:t>
      </w:r>
      <w:r w:rsidRPr="00C279A3">
        <w:rPr>
          <w:rFonts w:ascii="Century Schoolbook" w:hAnsi="Century Schoolbook"/>
          <w:i/>
        </w:rPr>
        <w:t>The Art of Lawyering</w:t>
      </w:r>
      <w:r w:rsidRPr="00C279A3">
        <w:rPr>
          <w:rFonts w:ascii="Century Schoolbook" w:hAnsi="Century Schoolbook"/>
        </w:rPr>
        <w:t xml:space="preserve"> 12 (2010, Sphinx Publishing); Richard L. Abel, Phillip S. C. Lewis, </w:t>
      </w:r>
      <w:r w:rsidRPr="00C279A3">
        <w:rPr>
          <w:rFonts w:ascii="Century Schoolbook" w:hAnsi="Century Schoolbook"/>
          <w:i/>
        </w:rPr>
        <w:t>Lawyers in Society</w:t>
      </w:r>
      <w:r w:rsidRPr="00C279A3">
        <w:rPr>
          <w:rFonts w:ascii="Century Schoolbook" w:hAnsi="Century Schoolbook"/>
        </w:rPr>
        <w:t xml:space="preserve"> 131 (1988, Univ. of Cal. Press).</w:t>
      </w:r>
    </w:p>
  </w:endnote>
  <w:endnote w:id="75">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291 Ga. 402, 730 S.E.2d 413 (2012).</w:t>
      </w:r>
    </w:p>
  </w:endnote>
  <w:endnote w:id="7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730 S.E.2d at 416.  </w:t>
      </w:r>
    </w:p>
  </w:endnote>
  <w:endnote w:id="7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7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79">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Moon v. Cincinnati Ins. Co.</w:t>
      </w:r>
      <w:r w:rsidRPr="00A07AFF">
        <w:rPr>
          <w:rFonts w:ascii="Century Schoolbook" w:hAnsi="Century Schoolbook"/>
        </w:rPr>
        <w:t>, No. 1:12-CV-3112-TWT, 2013 WL 300872, at *2 (N.D. Ga. Jan. 25, 2013).</w:t>
      </w:r>
    </w:p>
  </w:endnote>
  <w:endnote w:id="80">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Bank of Camilla v. St. Paul Mercury Ins. Co.</w:t>
      </w:r>
      <w:r w:rsidRPr="00A07AFF">
        <w:rPr>
          <w:rFonts w:ascii="Century Schoolbook" w:hAnsi="Century Schoolbook"/>
        </w:rPr>
        <w:t>, No. 1:12-CV-15 (WLS), 2013 WL 1333519, at *5 (M.D. Ga. Mar. 29, 2013).</w:t>
      </w:r>
    </w:p>
  </w:endnote>
  <w:endnote w:id="81">
    <w:p w:rsidR="009053EE" w:rsidRPr="00A07AFF" w:rsidRDefault="009053EE" w:rsidP="00184A52">
      <w:pPr>
        <w:spacing w:afterLines="120" w:after="288"/>
        <w:jc w:val="both"/>
        <w:rPr>
          <w:rFonts w:ascii="Century Schoolbook" w:hAnsi="Century Schoolbook"/>
          <w:sz w:val="20"/>
          <w:szCs w:val="20"/>
        </w:rPr>
      </w:pPr>
      <w:r w:rsidRPr="00A07AFF">
        <w:rPr>
          <w:rStyle w:val="EndnoteReference"/>
          <w:rFonts w:ascii="Century Schoolbook" w:hAnsi="Century Schoolbook"/>
          <w:sz w:val="20"/>
          <w:szCs w:val="20"/>
        </w:rPr>
        <w:endnoteRef/>
      </w:r>
      <w:r w:rsidRPr="00A07AFF">
        <w:rPr>
          <w:rFonts w:ascii="Century Schoolbook" w:hAnsi="Century Schoolbook"/>
          <w:sz w:val="20"/>
          <w:szCs w:val="20"/>
        </w:rPr>
        <w:t xml:space="preserve">  </w:t>
      </w:r>
      <w:r w:rsidRPr="00A07AFF">
        <w:rPr>
          <w:rFonts w:ascii="Century Schoolbook" w:hAnsi="Century Schoolbook"/>
          <w:i/>
          <w:sz w:val="20"/>
          <w:szCs w:val="20"/>
        </w:rPr>
        <w:t>Gary G. Day Constr. Co. v. Clarendon Am. Ins. Co.</w:t>
      </w:r>
      <w:r w:rsidRPr="00A07AFF">
        <w:rPr>
          <w:rFonts w:ascii="Century Schoolbook" w:hAnsi="Century Schoolbook"/>
          <w:sz w:val="20"/>
          <w:szCs w:val="20"/>
        </w:rPr>
        <w:t>, 459 F. Supp. 2d 1039 (D. Nev. 2006).</w:t>
      </w:r>
    </w:p>
  </w:endnote>
  <w:endnote w:id="8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291 Ga. at 402, 730 S.E.2d at 415.  </w:t>
      </w:r>
    </w:p>
  </w:endnote>
  <w:endnote w:id="8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403, 730 S.E.2d at 415.  </w:t>
      </w:r>
    </w:p>
  </w:endnote>
  <w:endnote w:id="8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403-04, 730 S.E.2d at 415-16.  </w:t>
      </w:r>
    </w:p>
  </w:endnote>
  <w:endnote w:id="85">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402, 730 S.E.2d at 415.  </w:t>
      </w:r>
    </w:p>
  </w:endnote>
  <w:endnote w:id="8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403, 730 S.E.2d at 415.  </w:t>
      </w:r>
    </w:p>
  </w:endnote>
  <w:endnote w:id="8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88">
    <w:p w:rsidR="009053EE" w:rsidRPr="00A07AFF" w:rsidRDefault="009053EE" w:rsidP="00184A52">
      <w:pPr>
        <w:pStyle w:val="EndnoteText"/>
        <w:spacing w:afterLines="120" w:after="288"/>
        <w:jc w:val="both"/>
        <w:rPr>
          <w:rFonts w:ascii="Century Schoolbook" w:hAnsi="Century Schoolbook"/>
          <w:u w:val="single"/>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89">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at 404-05, 730 S.E.2d at 416.</w:t>
      </w:r>
    </w:p>
  </w:endnote>
  <w:endnote w:id="90">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730 S.E.2d at 416.  </w:t>
      </w:r>
    </w:p>
  </w:endnote>
  <w:endnote w:id="91">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730 S.E.2d at 417.  </w:t>
      </w:r>
    </w:p>
  </w:endnote>
  <w:endnote w:id="9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703 S.E.2d at 416.  </w:t>
      </w:r>
    </w:p>
  </w:endnote>
  <w:endnote w:id="9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730 S.E.2d at 416 (citations omitted) (emphasis in original).  </w:t>
      </w:r>
    </w:p>
  </w:endnote>
  <w:endnote w:id="9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730 S.E.2d at 416-17.  </w:t>
      </w:r>
    </w:p>
  </w:endnote>
  <w:endnote w:id="95">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9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9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9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at 406, 730 S.E.2d at 417.</w:t>
      </w:r>
    </w:p>
  </w:endnote>
  <w:endnote w:id="99">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 730 S.E.2d at 417 (emphasis in original).  </w:t>
      </w:r>
    </w:p>
  </w:endnote>
  <w:endnote w:id="100">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01">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Richmond v. Ga. Farm Bureau Mut. Ins. Co</w:t>
      </w:r>
      <w:r w:rsidRPr="00A07AFF">
        <w:rPr>
          <w:rFonts w:ascii="Century Schoolbook" w:hAnsi="Century Schoolbook"/>
          <w:u w:val="single"/>
        </w:rPr>
        <w:t>.</w:t>
      </w:r>
      <w:r w:rsidRPr="00A07AFF">
        <w:rPr>
          <w:rFonts w:ascii="Century Schoolbook" w:hAnsi="Century Schoolbook"/>
        </w:rPr>
        <w:t>, 140 Ga. App. 215, 231 S.E.2d 245 (1976).</w:t>
      </w:r>
    </w:p>
  </w:endnote>
  <w:endnote w:id="10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405-06, 730 S.E.2d at 417 (emphasis in original).  </w:t>
      </w:r>
    </w:p>
  </w:endnote>
  <w:endnote w:id="10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406, 730 S.E.2d at 417.  </w:t>
      </w:r>
    </w:p>
  </w:endnote>
  <w:endnote w:id="10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05">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408, 730 S.E.2d at 419 (Melton, J., dissenting).  </w:t>
      </w:r>
    </w:p>
  </w:endnote>
  <w:endnote w:id="10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(citing case law from Missouri, California, New York, Illinois, Pennsylvania, Mississippi, and the Sixth Circuit: </w:t>
      </w:r>
      <w:r w:rsidRPr="00A07AFF">
        <w:rPr>
          <w:rFonts w:ascii="Century Schoolbook" w:hAnsi="Century Schoolbook"/>
          <w:i/>
        </w:rPr>
        <w:t>Shahan v. Shahan</w:t>
      </w:r>
      <w:r w:rsidRPr="00A07AFF">
        <w:rPr>
          <w:rFonts w:ascii="Century Schoolbook" w:hAnsi="Century Schoolbook"/>
        </w:rPr>
        <w:t xml:space="preserve">, 988 S.W.2d 529, 534 (Mo. 1999) (filing by insurer of complaint that does not raise particular coverage defenses does not constitute a waiver of that defense); </w:t>
      </w:r>
      <w:r w:rsidRPr="00A07AFF">
        <w:rPr>
          <w:rFonts w:ascii="Century Schoolbook" w:hAnsi="Century Schoolbook"/>
          <w:i/>
        </w:rPr>
        <w:t>Waller v. Truck Ins. Exchange, Inc</w:t>
      </w:r>
      <w:r w:rsidRPr="00A07AFF">
        <w:rPr>
          <w:rFonts w:ascii="Century Schoolbook" w:hAnsi="Century Schoolbook"/>
          <w:u w:val="single"/>
        </w:rPr>
        <w:t>.</w:t>
      </w:r>
      <w:r w:rsidRPr="00A07AFF">
        <w:rPr>
          <w:rFonts w:ascii="Century Schoolbook" w:hAnsi="Century Schoolbook"/>
        </w:rPr>
        <w:t xml:space="preserve">, 11 Ca. 4th 1, 44 Cal. Rptr.2d 370, 900 P.2d 619, 636 (1995) (“of the 33 sister states to consider the issue, 32 agree” that “[a]n insurer does not impliedly waiver coverage defenses it fails to mention when it denies the claim”); </w:t>
      </w:r>
      <w:r w:rsidRPr="00A07AFF">
        <w:rPr>
          <w:rFonts w:ascii="Century Schoolbook" w:hAnsi="Century Schoolbook"/>
          <w:i/>
        </w:rPr>
        <w:t xml:space="preserve">Guberman v. William Penn Life Ins. Co., </w:t>
      </w:r>
      <w:r w:rsidRPr="00A07AFF">
        <w:rPr>
          <w:rFonts w:ascii="Century Schoolbook" w:hAnsi="Century Schoolbook"/>
        </w:rPr>
        <w:t xml:space="preserve">146 A.D.2d 8, 12, 538 N.Y.S.2d 571 (1989) (“rule of estoppel is limited in its application to those instances where the insured has suffered some degree of prejudice as a result of the insurer’s attempt to shift its defense from one basis to another”); </w:t>
      </w:r>
      <w:r w:rsidRPr="00A07AFF">
        <w:rPr>
          <w:rFonts w:ascii="Century Schoolbook" w:hAnsi="Century Schoolbook"/>
          <w:i/>
        </w:rPr>
        <w:t xml:space="preserve">Ladd Constr. Co. v. Ins. Co. of N. Am., </w:t>
      </w:r>
      <w:r w:rsidRPr="00A07AFF">
        <w:rPr>
          <w:rFonts w:ascii="Century Schoolbook" w:hAnsi="Century Schoolbook"/>
        </w:rPr>
        <w:t xml:space="preserve">74 Ill. App. 3d 43, 50–51, 29 Ill. Dec. 305, 391 N.E.2d 568 (1979) (“An insurance company is not required to raise all possible defenses in its letter to the insured. Failure to raise all defenses does not result in a per se waiver of the same.”); </w:t>
      </w:r>
      <w:r w:rsidRPr="00A07AFF">
        <w:rPr>
          <w:rFonts w:ascii="Century Schoolbook" w:hAnsi="Century Schoolbook"/>
          <w:iCs/>
          <w:u w:val="single"/>
        </w:rPr>
        <w:t>Co</w:t>
      </w:r>
      <w:r w:rsidRPr="00A07AFF">
        <w:rPr>
          <w:rFonts w:ascii="Century Schoolbook" w:hAnsi="Century Schoolbook"/>
          <w:i/>
          <w:iCs/>
        </w:rPr>
        <w:t>nsol. Rail Corp. v. Hartford Acc. &amp; Indem. Co.,</w:t>
      </w:r>
      <w:r w:rsidRPr="00A07AFF">
        <w:rPr>
          <w:rFonts w:ascii="Century Schoolbook" w:hAnsi="Century Schoolbook"/>
        </w:rPr>
        <w:t xml:space="preserve"> 676 F. Supp. 82, 85 (E.D. Pa. 1987) (“waiver cannot operate to expand coverage under an insurance policy”); </w:t>
      </w:r>
      <w:r w:rsidRPr="00A07AFF">
        <w:rPr>
          <w:rFonts w:ascii="Century Schoolbook" w:hAnsi="Century Schoolbook"/>
          <w:i/>
          <w:iCs/>
        </w:rPr>
        <w:t>State of Miss. ex rel. King v. Richardson</w:t>
      </w:r>
      <w:r w:rsidRPr="00A07AFF">
        <w:rPr>
          <w:rFonts w:ascii="Century Schoolbook" w:hAnsi="Century Schoolbook"/>
          <w:iCs/>
        </w:rPr>
        <w:t>,</w:t>
      </w:r>
      <w:r w:rsidRPr="00A07AFF">
        <w:rPr>
          <w:rFonts w:ascii="Century Schoolbook" w:hAnsi="Century Schoolbook"/>
        </w:rPr>
        <w:t xml:space="preserve"> 634 F. Supp. 133, 136 (S.D. Miss. 1986) (reliance on another ground to deny coverage did not waive insurer's right to deny coverage because of late notice); </w:t>
      </w:r>
      <w:r w:rsidRPr="00A07AFF">
        <w:rPr>
          <w:rFonts w:ascii="Century Schoolbook" w:hAnsi="Century Schoolbook"/>
          <w:i/>
          <w:iCs/>
        </w:rPr>
        <w:t>City of Pigeon Forge v. Midland Ins. Co</w:t>
      </w:r>
      <w:r w:rsidRPr="00A07AFF">
        <w:rPr>
          <w:rFonts w:ascii="Century Schoolbook" w:hAnsi="Century Schoolbook"/>
          <w:iCs/>
          <w:u w:val="single"/>
        </w:rPr>
        <w:t>.</w:t>
      </w:r>
      <w:r w:rsidRPr="00A07AFF">
        <w:rPr>
          <w:rFonts w:ascii="Century Schoolbook" w:hAnsi="Century Schoolbook"/>
          <w:i/>
          <w:iCs/>
        </w:rPr>
        <w:t>,</w:t>
      </w:r>
      <w:r w:rsidRPr="00A07AFF">
        <w:rPr>
          <w:rFonts w:ascii="Century Schoolbook" w:hAnsi="Century Schoolbook"/>
        </w:rPr>
        <w:t xml:space="preserve"> 788 F.2d 368, 371 (6th Cir. 1986) (defense of lack of timely notice not waived because it was not mentioned in the insurer's declination of coverage letter)).</w:t>
      </w:r>
    </w:p>
  </w:endnote>
  <w:endnote w:id="10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Waller v. Truck Ins. Exch., Inc</w:t>
      </w:r>
      <w:r w:rsidRPr="00A07AFF">
        <w:rPr>
          <w:rFonts w:ascii="Century Schoolbook" w:hAnsi="Century Schoolbook"/>
          <w:u w:val="single"/>
        </w:rPr>
        <w:t>.</w:t>
      </w:r>
      <w:r w:rsidRPr="00A07AFF">
        <w:rPr>
          <w:rFonts w:ascii="Century Schoolbook" w:hAnsi="Century Schoolbook"/>
        </w:rPr>
        <w:t>, 11 Ca. 4th 1, 44 Cal. Rptr. 2d 370, 900 P.2d 619, 636 (1995).</w:t>
      </w:r>
    </w:p>
  </w:endnote>
  <w:endnote w:id="10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No. 1:12-CV-3112-TWT, 2013 WL 300872, at *2 (N.D. Ga. Jan. 25, 2013).  </w:t>
      </w:r>
    </w:p>
  </w:endnote>
  <w:endnote w:id="109">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*1.  </w:t>
      </w:r>
    </w:p>
  </w:endnote>
  <w:endnote w:id="110">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*1.  </w:t>
      </w:r>
    </w:p>
  </w:endnote>
  <w:endnote w:id="111">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1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1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at *2.</w:t>
      </w:r>
    </w:p>
  </w:endnote>
  <w:endnote w:id="11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  </w:t>
      </w:r>
    </w:p>
  </w:endnote>
  <w:endnote w:id="115">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*3.  </w:t>
      </w:r>
    </w:p>
  </w:endnote>
  <w:endnote w:id="11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*3.  </w:t>
      </w:r>
    </w:p>
  </w:endnote>
  <w:endnote w:id="11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1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r w:rsidRPr="00A07AFF">
        <w:rPr>
          <w:rFonts w:ascii="Century Schoolbook" w:hAnsi="Century Schoolbook"/>
          <w:i/>
        </w:rPr>
        <w:t>quoting</w:t>
      </w:r>
      <w:r w:rsidRPr="00A07AFF">
        <w:rPr>
          <w:rFonts w:ascii="Century Schoolbook" w:hAnsi="Century Schoolbook"/>
        </w:rPr>
        <w:t xml:space="preserve"> </w:t>
      </w:r>
      <w:r w:rsidRPr="00A07AFF">
        <w:rPr>
          <w:rFonts w:ascii="Century Schoolbook" w:hAnsi="Century Schoolbook"/>
          <w:i/>
        </w:rPr>
        <w:t>Hoover</w:t>
      </w:r>
      <w:r w:rsidRPr="00A07AFF">
        <w:rPr>
          <w:rFonts w:ascii="Century Schoolbook" w:hAnsi="Century Schoolbook"/>
        </w:rPr>
        <w:t>, 291 Ga. at 405, 730 S.E.2d at 413.</w:t>
      </w:r>
    </w:p>
  </w:endnote>
  <w:endnote w:id="119">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  </w:t>
      </w:r>
    </w:p>
  </w:endnote>
  <w:endnote w:id="120">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21">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r w:rsidRPr="00A07AFF">
        <w:rPr>
          <w:rFonts w:ascii="Century Schoolbook" w:hAnsi="Century Schoolbook"/>
          <w:i/>
        </w:rPr>
        <w:t>quoting</w:t>
      </w:r>
      <w:r w:rsidRPr="00A07AFF">
        <w:rPr>
          <w:rFonts w:ascii="Century Schoolbook" w:hAnsi="Century Schoolbook"/>
        </w:rPr>
        <w:t xml:space="preserve"> </w:t>
      </w:r>
      <w:r w:rsidRPr="00A07AFF">
        <w:rPr>
          <w:rFonts w:ascii="Century Schoolbook" w:hAnsi="Century Schoolbook"/>
          <w:i/>
        </w:rPr>
        <w:t>Hoover</w:t>
      </w:r>
      <w:r w:rsidRPr="00A07AFF">
        <w:rPr>
          <w:rFonts w:ascii="Century Schoolbook" w:hAnsi="Century Schoolbook"/>
        </w:rPr>
        <w:t xml:space="preserve">, 291 Ga. at 405, 730 S.E.2d at 413.  </w:t>
      </w:r>
    </w:p>
  </w:endnote>
  <w:endnote w:id="12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2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No. 1:12-CV-15 (WLS), 2013 WL 1333519, at *5 (M.D. Ga. Mar. 29, 2013).  </w:t>
      </w:r>
    </w:p>
  </w:endnote>
  <w:endnote w:id="12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*2.  </w:t>
      </w:r>
    </w:p>
  </w:endnote>
  <w:endnote w:id="125">
    <w:p w:rsidR="009053EE" w:rsidRPr="00A07AFF" w:rsidRDefault="009053EE" w:rsidP="00184A52">
      <w:pPr>
        <w:pStyle w:val="EndnoteText"/>
        <w:spacing w:afterLines="120" w:after="288"/>
        <w:jc w:val="both"/>
        <w:rPr>
          <w:rFonts w:ascii="Century Schoolbook" w:hAnsi="Century Schoolbook"/>
          <w:u w:val="single"/>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2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*3.  </w:t>
      </w:r>
    </w:p>
  </w:endnote>
  <w:endnote w:id="12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2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*4.  </w:t>
      </w:r>
    </w:p>
  </w:endnote>
  <w:endnote w:id="129">
    <w:p w:rsidR="009053EE" w:rsidRPr="00A07AFF" w:rsidRDefault="009053EE" w:rsidP="00184A52">
      <w:pPr>
        <w:pStyle w:val="EndnoteText"/>
        <w:spacing w:afterLines="120" w:after="288"/>
        <w:jc w:val="both"/>
        <w:rPr>
          <w:rFonts w:ascii="Century Schoolbook" w:hAnsi="Century Schoolbook"/>
          <w:u w:val="single"/>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30">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31">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*5.  </w:t>
      </w:r>
    </w:p>
  </w:endnote>
  <w:endnote w:id="13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3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r w:rsidRPr="00A07AFF">
        <w:rPr>
          <w:rFonts w:ascii="Century Schoolbook" w:hAnsi="Century Schoolbook"/>
          <w:i/>
        </w:rPr>
        <w:t>citing Hoover</w:t>
      </w:r>
      <w:r w:rsidRPr="00A07AFF">
        <w:rPr>
          <w:rFonts w:ascii="Century Schoolbook" w:hAnsi="Century Schoolbook"/>
        </w:rPr>
        <w:t>, 730 S.E.2d at 416 (emphasis added).</w:t>
      </w:r>
    </w:p>
  </w:endnote>
  <w:endnote w:id="13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r w:rsidRPr="00A07AFF">
        <w:rPr>
          <w:rFonts w:ascii="Century Schoolbook" w:hAnsi="Century Schoolbook"/>
          <w:i/>
        </w:rPr>
        <w:t>citing Penn–America Ins. Co. v. Disabled Am. Veterans</w:t>
      </w:r>
      <w:r w:rsidRPr="00A07AFF">
        <w:rPr>
          <w:rFonts w:ascii="Century Schoolbook" w:hAnsi="Century Schoolbook"/>
        </w:rPr>
        <w:t xml:space="preserve">, 224 Ga. App. 557, 481 S.E.2d 850, 852 (1997) (“an insurer's duty to pay and its duty to defend are separate and independent obligations”); </w:t>
      </w:r>
      <w:r w:rsidRPr="00A07AFF">
        <w:rPr>
          <w:rFonts w:ascii="Century Schoolbook" w:hAnsi="Century Schoolbook"/>
          <w:i/>
        </w:rPr>
        <w:t>Aetna Cas. &amp; Sur. Co. v. Empire Fire &amp; Marine Ins. Co.</w:t>
      </w:r>
      <w:r w:rsidRPr="00A07AFF">
        <w:rPr>
          <w:rFonts w:ascii="Century Schoolbook" w:hAnsi="Century Schoolbook"/>
        </w:rPr>
        <w:t xml:space="preserve">, 212 Ga. App. 642, 442 S.E.2d 778, 783 (1994) (“While it is true that an insurer loses its opportunity to contest the negligence of the insured or the injured person's right to recover by refusing to defend, the insurer does not lose its right to contest the insured's entitlement to a recovery under its policy.”). </w:t>
      </w:r>
    </w:p>
  </w:endnote>
  <w:endnote w:id="135">
    <w:p w:rsidR="009053EE" w:rsidRPr="00A07AFF" w:rsidRDefault="009053EE" w:rsidP="00184A52">
      <w:pPr>
        <w:pStyle w:val="EndnoteText"/>
        <w:spacing w:afterLines="120" w:after="288"/>
        <w:jc w:val="both"/>
        <w:rPr>
          <w:rFonts w:ascii="Century Schoolbook" w:hAnsi="Century Schoolbook"/>
          <w:u w:val="single"/>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36">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Kay-Lex Co. v. Essex Ins. Co.</w:t>
      </w:r>
      <w:r w:rsidRPr="00A07AFF">
        <w:rPr>
          <w:rFonts w:ascii="Century Schoolbook" w:hAnsi="Century Schoolbook"/>
        </w:rPr>
        <w:t xml:space="preserve">, 286 Ga. App. 484, 491, 649 S.E.2d 602, 608 (2007) </w:t>
      </w:r>
      <w:r w:rsidRPr="00A07AFF">
        <w:rPr>
          <w:rFonts w:ascii="Century Schoolbook" w:hAnsi="Century Schoolbook"/>
          <w:i/>
        </w:rPr>
        <w:t>quoting Gov’t Emp. Ins. Co. v. Progressive Cas. Ins. Co.</w:t>
      </w:r>
      <w:r w:rsidRPr="00A07AFF">
        <w:rPr>
          <w:rFonts w:ascii="Century Schoolbook" w:hAnsi="Century Schoolbook"/>
        </w:rPr>
        <w:t>, 275 Ga. App. 872, 876, 622 S.E.2d 92 (2005).</w:t>
      </w:r>
    </w:p>
  </w:endnote>
  <w:endnote w:id="137">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Facility</w:t>
      </w:r>
      <w:r w:rsidRPr="00A07AFF">
        <w:rPr>
          <w:rFonts w:ascii="Century Schoolbook" w:hAnsi="Century Schoolbook"/>
          <w:u w:val="single"/>
        </w:rPr>
        <w:t xml:space="preserve"> </w:t>
      </w:r>
      <w:r w:rsidRPr="00A07AFF">
        <w:rPr>
          <w:rFonts w:ascii="Century Schoolbook" w:hAnsi="Century Schoolbook"/>
          <w:i/>
        </w:rPr>
        <w:t>Inv., LP v. Homeland Ins. Co.</w:t>
      </w:r>
      <w:r w:rsidRPr="00A07AFF">
        <w:rPr>
          <w:rFonts w:ascii="Century Schoolbook" w:hAnsi="Century Schoolbook"/>
        </w:rPr>
        <w:t>, No. A12A2377, 2013 WL 1277797 (Ga. Ct. App. Mar. 29, 2013).</w:t>
      </w:r>
    </w:p>
  </w:endnote>
  <w:endnote w:id="138">
    <w:p w:rsidR="009053EE" w:rsidRPr="00A07AFF" w:rsidRDefault="009053EE" w:rsidP="00184A52">
      <w:pPr>
        <w:pStyle w:val="BodyText05"/>
        <w:tabs>
          <w:tab w:val="left" w:pos="0"/>
        </w:tabs>
        <w:spacing w:before="0" w:afterLines="120" w:after="288"/>
        <w:ind w:firstLine="0"/>
        <w:jc w:val="both"/>
        <w:outlineLvl w:val="0"/>
        <w:rPr>
          <w:rFonts w:ascii="Century Schoolbook" w:hAnsi="Century Schoolbook"/>
          <w:sz w:val="20"/>
          <w:szCs w:val="20"/>
        </w:rPr>
      </w:pPr>
      <w:r w:rsidRPr="00A07AFF">
        <w:rPr>
          <w:rStyle w:val="EndnoteReference"/>
          <w:rFonts w:ascii="Century Schoolbook" w:hAnsi="Century Schoolbook"/>
          <w:sz w:val="20"/>
          <w:szCs w:val="20"/>
        </w:rPr>
        <w:endnoteRef/>
      </w:r>
      <w:r w:rsidRPr="00A07AFF">
        <w:rPr>
          <w:rFonts w:ascii="Century Schoolbook" w:hAnsi="Century Schoolbook"/>
          <w:sz w:val="20"/>
          <w:szCs w:val="20"/>
        </w:rPr>
        <w:t xml:space="preserve">  </w:t>
      </w:r>
      <w:r w:rsidRPr="00A07AFF">
        <w:rPr>
          <w:rFonts w:ascii="Century Schoolbook" w:hAnsi="Century Schoolbook"/>
          <w:i/>
          <w:sz w:val="20"/>
          <w:szCs w:val="20"/>
        </w:rPr>
        <w:t>Id.</w:t>
      </w:r>
      <w:r w:rsidRPr="00A07AFF">
        <w:rPr>
          <w:rFonts w:ascii="Century Schoolbook" w:hAnsi="Century Schoolbook"/>
          <w:sz w:val="20"/>
          <w:szCs w:val="20"/>
        </w:rPr>
        <w:t xml:space="preserve"> at *4 </w:t>
      </w:r>
      <w:r w:rsidRPr="00A07AFF">
        <w:rPr>
          <w:rFonts w:ascii="Century Schoolbook" w:hAnsi="Century Schoolbook"/>
          <w:i/>
          <w:sz w:val="20"/>
          <w:szCs w:val="20"/>
        </w:rPr>
        <w:t>citing</w:t>
      </w:r>
      <w:r w:rsidRPr="00A07AFF">
        <w:rPr>
          <w:rFonts w:ascii="Century Schoolbook" w:hAnsi="Century Schoolbook"/>
          <w:sz w:val="20"/>
          <w:szCs w:val="20"/>
        </w:rPr>
        <w:t xml:space="preserve"> </w:t>
      </w:r>
      <w:r w:rsidRPr="00A07AFF">
        <w:rPr>
          <w:rFonts w:ascii="Century Schoolbook" w:hAnsi="Century Schoolbook"/>
          <w:i/>
          <w:sz w:val="20"/>
          <w:szCs w:val="20"/>
        </w:rPr>
        <w:t>Hoover</w:t>
      </w:r>
      <w:r w:rsidRPr="00A07AFF">
        <w:rPr>
          <w:rFonts w:ascii="Century Schoolbook" w:hAnsi="Century Schoolbook"/>
          <w:sz w:val="20"/>
          <w:szCs w:val="20"/>
        </w:rPr>
        <w:t xml:space="preserve">, 291 Ga. at 406, 730 S.E.2d 413.  </w:t>
      </w:r>
    </w:p>
    <w:p w:rsidR="009053EE" w:rsidRPr="00A07AFF" w:rsidRDefault="009053EE" w:rsidP="00184A52">
      <w:pPr>
        <w:pStyle w:val="BodyText05"/>
        <w:tabs>
          <w:tab w:val="left" w:pos="0"/>
        </w:tabs>
        <w:spacing w:before="0" w:afterLines="120" w:after="288"/>
        <w:ind w:firstLine="0"/>
        <w:jc w:val="both"/>
        <w:outlineLvl w:val="0"/>
        <w:rPr>
          <w:rFonts w:ascii="Century Schoolbook" w:hAnsi="Century Schoolbook"/>
          <w:sz w:val="20"/>
          <w:szCs w:val="20"/>
        </w:rPr>
      </w:pPr>
      <w:r w:rsidRPr="00A07AFF">
        <w:rPr>
          <w:rFonts w:ascii="Century Schoolbook" w:hAnsi="Century Schoolbook"/>
          <w:sz w:val="20"/>
          <w:szCs w:val="20"/>
        </w:rPr>
        <w:t xml:space="preserve">In </w:t>
      </w:r>
      <w:r w:rsidRPr="00A07AFF">
        <w:rPr>
          <w:rFonts w:ascii="Century Schoolbook" w:hAnsi="Century Schoolbook"/>
          <w:i/>
          <w:sz w:val="20"/>
          <w:szCs w:val="20"/>
        </w:rPr>
        <w:t>Facility Investments, L.P.</w:t>
      </w:r>
      <w:r w:rsidRPr="00A07AFF">
        <w:rPr>
          <w:rFonts w:ascii="Century Schoolbook" w:hAnsi="Century Schoolbook"/>
          <w:sz w:val="20"/>
          <w:szCs w:val="20"/>
        </w:rPr>
        <w:t xml:space="preserve">, No. A12A2377, 2013 WL 1277797, Homeland Insurance Company of New York (“Homeland”) issued a professional and general liability insurance policy to Facility Investments, LP.  </w:t>
      </w:r>
      <w:r w:rsidRPr="00A07AFF">
        <w:rPr>
          <w:rFonts w:ascii="Century Schoolbook" w:hAnsi="Century Schoolbook"/>
          <w:sz w:val="20"/>
          <w:szCs w:val="20"/>
          <w:u w:val="single"/>
        </w:rPr>
        <w:t>Id</w:t>
      </w:r>
      <w:r w:rsidRPr="00A07AFF">
        <w:rPr>
          <w:rFonts w:ascii="Century Schoolbook" w:hAnsi="Century Schoolbook"/>
          <w:sz w:val="20"/>
          <w:szCs w:val="20"/>
        </w:rPr>
        <w:t xml:space="preserve">. at *1.  Homeland agreed to defend Facility Investments in a lawsuit filed against it for professional negligence arising out of the care of a patient in Facility Investment’s nursing home.  </w:t>
      </w:r>
      <w:r w:rsidRPr="00A07AFF">
        <w:rPr>
          <w:rFonts w:ascii="Century Schoolbook" w:hAnsi="Century Schoolbook"/>
          <w:i/>
          <w:sz w:val="20"/>
          <w:szCs w:val="20"/>
        </w:rPr>
        <w:t>Id</w:t>
      </w:r>
      <w:r w:rsidRPr="00A07AFF">
        <w:rPr>
          <w:rFonts w:ascii="Century Schoolbook" w:hAnsi="Century Schoolbook"/>
          <w:sz w:val="20"/>
          <w:szCs w:val="20"/>
        </w:rPr>
        <w:t xml:space="preserve">.  Homeland agreed to provide Facility Investment’s defense pursuant to a reservation of rights wherein Homeland expressly reserved the right to deny coverage for allegations of fraud, malice, or violations of state and federal regulations.  This reservation of rights, however, did not reserve Homeland’s right to pursue claims for breach of contract, recoupment, allocation, or contribution against Facility Investments.  </w:t>
      </w:r>
      <w:r w:rsidRPr="00A07AFF">
        <w:rPr>
          <w:rFonts w:ascii="Century Schoolbook" w:hAnsi="Century Schoolbook"/>
          <w:i/>
          <w:sz w:val="20"/>
          <w:szCs w:val="20"/>
        </w:rPr>
        <w:t>Id</w:t>
      </w:r>
      <w:r w:rsidRPr="00A07AFF">
        <w:rPr>
          <w:rFonts w:ascii="Century Schoolbook" w:hAnsi="Century Schoolbook"/>
          <w:sz w:val="20"/>
          <w:szCs w:val="20"/>
        </w:rPr>
        <w:t>.</w:t>
      </w:r>
    </w:p>
    <w:p w:rsidR="009053EE" w:rsidRPr="00A07AFF" w:rsidRDefault="009053EE" w:rsidP="00184A52">
      <w:pPr>
        <w:pStyle w:val="BodyText05"/>
        <w:tabs>
          <w:tab w:val="left" w:pos="0"/>
        </w:tabs>
        <w:spacing w:before="0" w:afterLines="120" w:after="288"/>
        <w:ind w:firstLine="0"/>
        <w:jc w:val="both"/>
        <w:outlineLvl w:val="0"/>
        <w:rPr>
          <w:rFonts w:ascii="Century Schoolbook" w:hAnsi="Century Schoolbook"/>
          <w:sz w:val="20"/>
          <w:szCs w:val="20"/>
        </w:rPr>
      </w:pPr>
      <w:r w:rsidRPr="00A07AFF">
        <w:rPr>
          <w:rFonts w:ascii="Century Schoolbook" w:hAnsi="Century Schoolbook"/>
          <w:sz w:val="20"/>
          <w:szCs w:val="20"/>
        </w:rPr>
        <w:t xml:space="preserve">Relying in part on </w:t>
      </w:r>
      <w:r w:rsidRPr="00A07AFF">
        <w:rPr>
          <w:rFonts w:ascii="Century Schoolbook" w:hAnsi="Century Schoolbook"/>
          <w:i/>
          <w:sz w:val="20"/>
          <w:szCs w:val="20"/>
        </w:rPr>
        <w:t>Hoover</w:t>
      </w:r>
      <w:r w:rsidRPr="00A07AFF">
        <w:rPr>
          <w:rFonts w:ascii="Century Schoolbook" w:hAnsi="Century Schoolbook"/>
          <w:sz w:val="20"/>
          <w:szCs w:val="20"/>
        </w:rPr>
        <w:t xml:space="preserve">, the court held that Homeland had waived its right to pursue the remedies of breach of contract, recoupment, allocation, and contribution because it undertook Facility Investments’ defense with the knowledge of uncovered claims but failed to properly reserve its right to deny coverage for those claims.  </w:t>
      </w:r>
      <w:r w:rsidRPr="00A07AFF">
        <w:rPr>
          <w:rFonts w:ascii="Century Schoolbook" w:hAnsi="Century Schoolbook"/>
          <w:sz w:val="20"/>
          <w:szCs w:val="20"/>
          <w:u w:val="single"/>
        </w:rPr>
        <w:t>Id.</w:t>
      </w:r>
      <w:r w:rsidRPr="00A07AFF">
        <w:rPr>
          <w:rFonts w:ascii="Century Schoolbook" w:hAnsi="Century Schoolbook"/>
          <w:sz w:val="20"/>
          <w:szCs w:val="20"/>
        </w:rPr>
        <w:t xml:space="preserve"> at *4.  The court noted </w:t>
      </w:r>
      <w:r w:rsidRPr="00A07AFF">
        <w:rPr>
          <w:rFonts w:ascii="Century Schoolbook" w:hAnsi="Century Schoolbook"/>
          <w:i/>
          <w:sz w:val="20"/>
          <w:szCs w:val="20"/>
        </w:rPr>
        <w:t>Hoover’s</w:t>
      </w:r>
      <w:r w:rsidRPr="00A07AFF">
        <w:rPr>
          <w:rFonts w:ascii="Century Schoolbook" w:hAnsi="Century Schoolbook"/>
          <w:sz w:val="20"/>
          <w:szCs w:val="20"/>
        </w:rPr>
        <w:t xml:space="preserve"> holding that a reservation of rights is available to an insurer undertaking an insurer’s defense</w:t>
      </w:r>
      <w:r w:rsidRPr="00A07AFF">
        <w:rPr>
          <w:rFonts w:ascii="Century Schoolbook" w:hAnsi="Century Schoolbook"/>
          <w:i/>
          <w:sz w:val="20"/>
          <w:szCs w:val="20"/>
        </w:rPr>
        <w:t xml:space="preserve"> </w:t>
      </w:r>
      <w:r w:rsidRPr="00A07AFF">
        <w:rPr>
          <w:rFonts w:ascii="Century Schoolbook" w:hAnsi="Century Schoolbook"/>
          <w:sz w:val="20"/>
          <w:szCs w:val="20"/>
        </w:rPr>
        <w:t xml:space="preserve">only </w:t>
      </w:r>
      <w:r w:rsidRPr="00A07AFF">
        <w:rPr>
          <w:rFonts w:ascii="Century Schoolbook" w:hAnsi="Century Schoolbook"/>
          <w:sz w:val="20"/>
          <w:szCs w:val="20"/>
          <w:u w:val="single"/>
        </w:rPr>
        <w:t>while</w:t>
      </w:r>
      <w:r w:rsidRPr="00A07AFF">
        <w:rPr>
          <w:rFonts w:ascii="Century Schoolbook" w:hAnsi="Century Schoolbook"/>
          <w:i/>
          <w:sz w:val="20"/>
          <w:szCs w:val="20"/>
        </w:rPr>
        <w:t xml:space="preserve"> </w:t>
      </w:r>
      <w:r w:rsidRPr="00A07AFF">
        <w:rPr>
          <w:rFonts w:ascii="Century Schoolbook" w:hAnsi="Century Schoolbook"/>
          <w:sz w:val="20"/>
          <w:szCs w:val="20"/>
          <w:u w:val="single"/>
        </w:rPr>
        <w:t>questions</w:t>
      </w:r>
      <w:r w:rsidRPr="00A07AFF">
        <w:rPr>
          <w:rFonts w:ascii="Century Schoolbook" w:hAnsi="Century Schoolbook"/>
          <w:i/>
          <w:sz w:val="20"/>
          <w:szCs w:val="20"/>
        </w:rPr>
        <w:t xml:space="preserve"> </w:t>
      </w:r>
      <w:r w:rsidRPr="00A07AFF">
        <w:rPr>
          <w:rFonts w:ascii="Century Schoolbook" w:hAnsi="Century Schoolbook"/>
          <w:sz w:val="20"/>
          <w:szCs w:val="20"/>
        </w:rPr>
        <w:t xml:space="preserve">remain about coverage under the policy.  </w:t>
      </w:r>
      <w:r w:rsidRPr="00A07AFF">
        <w:rPr>
          <w:rFonts w:ascii="Century Schoolbook" w:hAnsi="Century Schoolbook"/>
          <w:i/>
          <w:sz w:val="20"/>
          <w:szCs w:val="20"/>
        </w:rPr>
        <w:t>Id</w:t>
      </w:r>
      <w:r w:rsidRPr="00A07AFF">
        <w:rPr>
          <w:rFonts w:ascii="Century Schoolbook" w:hAnsi="Century Schoolbook"/>
          <w:sz w:val="20"/>
          <w:szCs w:val="20"/>
          <w:u w:val="single"/>
        </w:rPr>
        <w:t>.</w:t>
      </w:r>
      <w:r w:rsidRPr="00A07AFF">
        <w:rPr>
          <w:rFonts w:ascii="Century Schoolbook" w:hAnsi="Century Schoolbook"/>
          <w:sz w:val="20"/>
          <w:szCs w:val="20"/>
        </w:rPr>
        <w:t xml:space="preserve"> (citing</w:t>
      </w:r>
      <w:r w:rsidRPr="00A07AFF">
        <w:rPr>
          <w:rFonts w:ascii="Century Schoolbook" w:hAnsi="Century Schoolbook"/>
          <w:i/>
          <w:sz w:val="20"/>
          <w:szCs w:val="20"/>
        </w:rPr>
        <w:t xml:space="preserve"> Hoover</w:t>
      </w:r>
      <w:r w:rsidRPr="00A07AFF">
        <w:rPr>
          <w:rFonts w:ascii="Century Schoolbook" w:hAnsi="Century Schoolbook"/>
          <w:sz w:val="20"/>
          <w:szCs w:val="20"/>
        </w:rPr>
        <w:t xml:space="preserve">, 291 Ga. at 404-05, 730 S.E.2d 413).  The court further noted that “where an insurer does not unambiguously reserve it[s] rights, uncovered claims may be subject to the doctrine of waiver or estoppel if the insurer assumes the defense of an action or continues such defense with knowledge that a claim is not covered.”  </w:t>
      </w:r>
      <w:r w:rsidRPr="00A07AFF">
        <w:rPr>
          <w:rFonts w:ascii="Century Schoolbook" w:hAnsi="Century Schoolbook"/>
          <w:i/>
          <w:sz w:val="20"/>
          <w:szCs w:val="20"/>
        </w:rPr>
        <w:t>Facility Investments, L.P.</w:t>
      </w:r>
      <w:r w:rsidRPr="00A07AFF">
        <w:rPr>
          <w:rFonts w:ascii="Century Schoolbook" w:hAnsi="Century Schoolbook"/>
          <w:sz w:val="20"/>
          <w:szCs w:val="20"/>
        </w:rPr>
        <w:t xml:space="preserve">, 2013 WL 1277797 (citing </w:t>
      </w:r>
      <w:r w:rsidRPr="00A07AFF">
        <w:rPr>
          <w:rFonts w:ascii="Century Schoolbook" w:hAnsi="Century Schoolbook"/>
          <w:i/>
          <w:sz w:val="20"/>
          <w:szCs w:val="20"/>
        </w:rPr>
        <w:t>World Harvest Church, Inc. v. GuideOne Mut. Ins. Co.</w:t>
      </w:r>
      <w:r w:rsidRPr="00A07AFF">
        <w:rPr>
          <w:rFonts w:ascii="Century Schoolbook" w:hAnsi="Century Schoolbook"/>
          <w:sz w:val="20"/>
          <w:szCs w:val="20"/>
        </w:rPr>
        <w:t xml:space="preserve">, 287 Ga. 149, 153, 695 S.E.2d 6 (2010) and </w:t>
      </w:r>
      <w:r w:rsidRPr="00A07AFF">
        <w:rPr>
          <w:rFonts w:ascii="Century Schoolbook" w:hAnsi="Century Schoolbook"/>
          <w:i/>
          <w:sz w:val="20"/>
          <w:szCs w:val="20"/>
        </w:rPr>
        <w:t>Prescott’s</w:t>
      </w:r>
      <w:r w:rsidRPr="00A07AFF">
        <w:rPr>
          <w:rFonts w:ascii="Century Schoolbook" w:hAnsi="Century Schoolbook"/>
          <w:sz w:val="20"/>
          <w:szCs w:val="20"/>
          <w:u w:val="single"/>
        </w:rPr>
        <w:t xml:space="preserve"> </w:t>
      </w:r>
      <w:r w:rsidRPr="00A07AFF">
        <w:rPr>
          <w:rFonts w:ascii="Century Schoolbook" w:hAnsi="Century Schoolbook"/>
          <w:i/>
          <w:sz w:val="20"/>
          <w:szCs w:val="20"/>
        </w:rPr>
        <w:t>Altama Datsun, Inc. v. Monarch Ins. Co.</w:t>
      </w:r>
      <w:r w:rsidRPr="00A07AFF">
        <w:rPr>
          <w:rFonts w:ascii="Century Schoolbook" w:hAnsi="Century Schoolbook"/>
          <w:sz w:val="20"/>
          <w:szCs w:val="20"/>
        </w:rPr>
        <w:t xml:space="preserve">, 253 Ga. 317, 318, 319 S.E.2d 445 (1985)).  </w:t>
      </w:r>
    </w:p>
  </w:endnote>
  <w:endnote w:id="139">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See Sayah v. Metro. Prop. &amp; Cas. Ins. Co.</w:t>
      </w:r>
      <w:r w:rsidRPr="00A07AFF">
        <w:rPr>
          <w:rFonts w:ascii="Century Schoolbook" w:hAnsi="Century Schoolbook"/>
        </w:rPr>
        <w:t xml:space="preserve">, 273 Neb. 744, 733 N.W.2d 192 (2007) (holding that an insurer was not estopped from asserting defenses not contained within its declination of coverage letter where the insurer reserved the right to deny coverage for the claim on other grounds and the insured did not suffer detrimental reliance from asserting such additional defenses); </w:t>
      </w:r>
      <w:r w:rsidRPr="00A07AFF">
        <w:rPr>
          <w:rFonts w:ascii="Century Schoolbook" w:hAnsi="Century Schoolbook"/>
          <w:i/>
        </w:rPr>
        <w:t>RLI Ins. Co. v. Santos</w:t>
      </w:r>
      <w:r w:rsidRPr="00A07AFF">
        <w:rPr>
          <w:rFonts w:ascii="Century Schoolbook" w:hAnsi="Century Schoolbook"/>
        </w:rPr>
        <w:t xml:space="preserve">, 746 F. Supp. 2d 255 (D. Mass. 2010) (an insurer is not estopped from raising defenses to coverage not contained within its declination of coverage where the additional grounds for denying coverage were reasonable, the insurer explicitly reserved the right to raise additional ground for denying coverage, and the insured was not prejudiced by the insurer’s failure to raise all coverage defenses in the declination); </w:t>
      </w:r>
      <w:r w:rsidRPr="00A07AFF">
        <w:rPr>
          <w:rFonts w:ascii="Century Schoolbook" w:hAnsi="Century Schoolbook"/>
          <w:i/>
        </w:rPr>
        <w:t>Ryerson, Inc. v. Fed. Ins. Co.</w:t>
      </w:r>
      <w:r w:rsidRPr="00A07AFF">
        <w:rPr>
          <w:rFonts w:ascii="Century Schoolbook" w:hAnsi="Century Schoolbook"/>
        </w:rPr>
        <w:t xml:space="preserve">, 676 F.3d 610 (7th Cir. 2012) (applying Illinois law and holding that, during a coverage lawsuit, an insurer could assert additional grounds for non-coverage that were not contained within its pre-suit declination of coverage where, in the declination of coverage, it reserved the right to rely on other coverage defenses, and the insured suffered no prejudice from the insurer raising the additional defenses); </w:t>
      </w:r>
      <w:r w:rsidRPr="00A07AFF">
        <w:rPr>
          <w:rFonts w:ascii="Century Schoolbook" w:hAnsi="Century Schoolbook"/>
          <w:i/>
        </w:rPr>
        <w:t>Pereira v. Gulf Ins. Co.</w:t>
      </w:r>
      <w:r w:rsidRPr="00A07AFF">
        <w:rPr>
          <w:rFonts w:ascii="Century Schoolbook" w:hAnsi="Century Schoolbook"/>
        </w:rPr>
        <w:t xml:space="preserve">, 330 Fed. Appx. 5 (2nd Cir. 2009) (holding that no estoppel resulted where the insurer failed to raise all coverage defenses in its declination of coverage letter, where the insurer reserved the right to rely on other coverage defenses, and the insurer took no action inconsistent with a declination of coverage); </w:t>
      </w:r>
      <w:r w:rsidRPr="00A07AFF">
        <w:rPr>
          <w:rFonts w:ascii="Century Schoolbook" w:hAnsi="Century Schoolbook"/>
          <w:i/>
        </w:rPr>
        <w:t>Gary G. Day Constr. Co.</w:t>
      </w:r>
      <w:r w:rsidRPr="00A07AFF">
        <w:rPr>
          <w:rFonts w:ascii="Century Schoolbook" w:hAnsi="Century Schoolbook"/>
        </w:rPr>
        <w:t xml:space="preserve">, 459 F. Supp. 2d 1039 (holding that no waiver or estoppel resulted from insurer’s failure to list all coverage defenses within its declination of coverage); </w:t>
      </w:r>
      <w:r w:rsidRPr="00A07AFF">
        <w:rPr>
          <w:rFonts w:ascii="Century Schoolbook" w:hAnsi="Century Schoolbook"/>
          <w:i/>
        </w:rPr>
        <w:t>Smith v. Shelby Ins. Co.</w:t>
      </w:r>
      <w:r w:rsidRPr="00A07AFF">
        <w:rPr>
          <w:rFonts w:ascii="Century Schoolbook" w:hAnsi="Century Schoolbook"/>
        </w:rPr>
        <w:t xml:space="preserve">, 936 S.W.2d 261 (Tenn. Ct. App. 1996) (holding that no waiver or estoppel resulted where the insurer initially reserved its right to deny coverage and subsequently denied coverage, and where the declination of coverage did not assert all grounds of non-coverage, but where the insurer reserved the right to raise other coverage defenses; estoppel did not result, because the insured could not prove detrimental reliance).  </w:t>
      </w:r>
    </w:p>
  </w:endnote>
  <w:endnote w:id="140">
    <w:p w:rsidR="009053EE" w:rsidRPr="00A07AFF" w:rsidRDefault="009053EE" w:rsidP="00184A52">
      <w:pPr>
        <w:spacing w:afterLines="120" w:after="288"/>
        <w:jc w:val="both"/>
        <w:rPr>
          <w:rFonts w:ascii="Century Schoolbook" w:hAnsi="Century Schoolbook"/>
          <w:sz w:val="20"/>
          <w:szCs w:val="20"/>
        </w:rPr>
      </w:pPr>
      <w:r w:rsidRPr="00A07AFF">
        <w:rPr>
          <w:rStyle w:val="EndnoteReference"/>
          <w:rFonts w:ascii="Century Schoolbook" w:hAnsi="Century Schoolbook"/>
          <w:sz w:val="20"/>
          <w:szCs w:val="20"/>
        </w:rPr>
        <w:endnoteRef/>
      </w:r>
      <w:r w:rsidRPr="00A07AFF">
        <w:rPr>
          <w:rFonts w:ascii="Century Schoolbook" w:hAnsi="Century Schoolbook"/>
          <w:sz w:val="20"/>
          <w:szCs w:val="20"/>
        </w:rPr>
        <w:t xml:space="preserve">  </w:t>
      </w:r>
      <w:r w:rsidRPr="00A07AFF">
        <w:rPr>
          <w:rFonts w:ascii="Century Schoolbook" w:hAnsi="Century Schoolbook"/>
          <w:i/>
          <w:sz w:val="20"/>
          <w:szCs w:val="20"/>
        </w:rPr>
        <w:t>Gary G. Day Constr. Co.</w:t>
      </w:r>
      <w:r w:rsidRPr="00A07AFF">
        <w:rPr>
          <w:rFonts w:ascii="Century Schoolbook" w:hAnsi="Century Schoolbook"/>
          <w:sz w:val="20"/>
          <w:szCs w:val="20"/>
        </w:rPr>
        <w:t>, 459 F. Supp. 2d 1039.</w:t>
      </w:r>
    </w:p>
  </w:endnote>
  <w:endnote w:id="141">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at 1050.</w:t>
      </w:r>
    </w:p>
  </w:endnote>
  <w:endnote w:id="142">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4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Bristol W. Ins. Co. v. Whitt</w:t>
      </w:r>
      <w:r w:rsidRPr="00A07AFF">
        <w:rPr>
          <w:rFonts w:ascii="Century Schoolbook" w:hAnsi="Century Schoolbook"/>
        </w:rPr>
        <w:t xml:space="preserve">, 406 F. Supp. 2d 771 (W.D. Mich. 2005).  </w:t>
      </w:r>
    </w:p>
  </w:endnote>
  <w:endnote w:id="144">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at 781 (quoting </w:t>
      </w:r>
      <w:r w:rsidRPr="00A07AFF">
        <w:rPr>
          <w:rFonts w:ascii="Century Schoolbook" w:hAnsi="Century Schoolbook"/>
          <w:u w:val="single"/>
        </w:rPr>
        <w:t xml:space="preserve"> </w:t>
      </w:r>
      <w:r w:rsidRPr="00A07AFF">
        <w:rPr>
          <w:rFonts w:ascii="Century Schoolbook" w:hAnsi="Century Schoolbook"/>
          <w:i/>
        </w:rPr>
        <w:t>Lee v. Evergreen Regency Coop. &amp; Mgmt. Sys, Inc.</w:t>
      </w:r>
      <w:r w:rsidRPr="00A07AFF">
        <w:rPr>
          <w:rFonts w:ascii="Century Schoolbook" w:hAnsi="Century Schoolbook"/>
        </w:rPr>
        <w:t xml:space="preserve">, 151 Mich. App. 281, 284, 390 N.W.2d 183, 185 (1986)).  </w:t>
      </w:r>
    </w:p>
  </w:endnote>
  <w:endnote w:id="145">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46">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Armstrong v. Hanover Ins. Co.,</w:t>
      </w:r>
      <w:r w:rsidRPr="00A07AFF">
        <w:rPr>
          <w:rFonts w:ascii="Century Schoolbook" w:hAnsi="Century Schoolbook"/>
        </w:rPr>
        <w:t xml:space="preserve"> 130 Vt. 182, 187-88, 289 A.2d 669, 672-73 (1972).</w:t>
      </w:r>
    </w:p>
  </w:endnote>
  <w:endnote w:id="147">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4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Cummings v. Conn. Gen. Life Ins. Co.</w:t>
      </w:r>
      <w:r w:rsidRPr="00A07AFF">
        <w:rPr>
          <w:rFonts w:ascii="Century Schoolbook" w:hAnsi="Century Schoolbook"/>
        </w:rPr>
        <w:t>, 102 Vt. 351, 360-62, 148 A. 484, 486-87 (1930).</w:t>
      </w:r>
    </w:p>
  </w:endnote>
  <w:endnote w:id="149">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See</w:t>
      </w:r>
      <w:r w:rsidRPr="00A07AFF">
        <w:rPr>
          <w:rFonts w:ascii="Century Schoolbook" w:hAnsi="Century Schoolbook"/>
        </w:rPr>
        <w:t xml:space="preserve"> </w:t>
      </w:r>
      <w:r w:rsidRPr="00A07AFF">
        <w:rPr>
          <w:rFonts w:ascii="Century Schoolbook" w:hAnsi="Century Schoolbook"/>
          <w:i/>
        </w:rPr>
        <w:t>Armstrong</w:t>
      </w:r>
      <w:r w:rsidRPr="00A07AFF">
        <w:rPr>
          <w:rFonts w:ascii="Century Schoolbook" w:hAnsi="Century Schoolbook"/>
        </w:rPr>
        <w:t xml:space="preserve">, 130 Vt. at 187-88, 289 A.2d at 672-73; </w:t>
      </w:r>
      <w:r w:rsidRPr="00A07AFF">
        <w:rPr>
          <w:rFonts w:ascii="Century Schoolbook" w:hAnsi="Century Schoolbook"/>
          <w:i/>
        </w:rPr>
        <w:t>Cummings</w:t>
      </w:r>
      <w:r w:rsidRPr="00A07AFF">
        <w:rPr>
          <w:rFonts w:ascii="Century Schoolbook" w:hAnsi="Century Schoolbook"/>
        </w:rPr>
        <w:t>, 102 Vt. 351, 148 A. at 487 (noting that “some of the cases say in effect that the waiver estops the insurer. But, . . . the terms ‘waiver’ and ‘estoppel’ are often used as meaning the same thing.  In some cases cited, the word ‘estops’ is so used, and is not to be given its technical meaning.  In others, the court finds the element of prejudice to the insured in the fact that he has brought suit relying upon the expressed or indicated attitude of the company toward his claim.”).</w:t>
      </w:r>
    </w:p>
  </w:endnote>
  <w:endnote w:id="150">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Gen. Acc. Ins. Grp. v. Cirucci</w:t>
      </w:r>
      <w:r w:rsidRPr="00A07AFF">
        <w:rPr>
          <w:rFonts w:ascii="Century Schoolbook" w:hAnsi="Century Schoolbook"/>
        </w:rPr>
        <w:t xml:space="preserve">, 46 N.Y.2d 862, 864, 387 N.E.2d 223 (N.Y. Ct. App. 1979); </w:t>
      </w:r>
      <w:r w:rsidRPr="00A07AFF">
        <w:rPr>
          <w:rFonts w:ascii="Century Schoolbook" w:hAnsi="Century Schoolbook"/>
          <w:i/>
        </w:rPr>
        <w:t>QBE Ins. Corp. v. Adjo Contr. Group</w:t>
      </w:r>
      <w:r w:rsidRPr="00A07AFF">
        <w:rPr>
          <w:rFonts w:ascii="Century Schoolbook" w:hAnsi="Century Schoolbook"/>
        </w:rPr>
        <w:t xml:space="preserve">, 32 Misc.3d 1231, 934 N.Y.S.2d 35 (N.Y. Ct. App. 2011).  </w:t>
      </w:r>
    </w:p>
  </w:endnote>
  <w:endnote w:id="151">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Gen. Acc. Ins. Grp.</w:t>
      </w:r>
      <w:r w:rsidRPr="00A07AFF">
        <w:rPr>
          <w:rFonts w:ascii="Century Schoolbook" w:hAnsi="Century Schoolbook"/>
        </w:rPr>
        <w:t xml:space="preserve">, 46 N.Y.2d 862, 864, 387 N.E.2d 223; </w:t>
      </w:r>
      <w:r w:rsidRPr="00A07AFF">
        <w:rPr>
          <w:rFonts w:ascii="Century Schoolbook" w:hAnsi="Century Schoolbook"/>
          <w:i/>
        </w:rPr>
        <w:t>QBE Ins. Corp.</w:t>
      </w:r>
      <w:r w:rsidRPr="00A07AFF">
        <w:rPr>
          <w:rFonts w:ascii="Century Schoolbook" w:hAnsi="Century Schoolbook"/>
        </w:rPr>
        <w:t xml:space="preserve">, 32 Misc. 3d 1231, 934 N.Y.S.2d 35.  </w:t>
      </w:r>
    </w:p>
  </w:endnote>
  <w:endnote w:id="152">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Guyan Int’l, Inc. v. Travelers Cas. &amp; Surety Co.</w:t>
      </w:r>
      <w:r w:rsidRPr="00A07AFF">
        <w:rPr>
          <w:rFonts w:ascii="Century Schoolbook" w:hAnsi="Century Schoolbook"/>
        </w:rPr>
        <w:t xml:space="preserve">, No. 3:10-1244, 2011 WL 6225398 (S.D. W. Va. 2011); </w:t>
      </w:r>
      <w:r w:rsidRPr="00A07AFF">
        <w:rPr>
          <w:rFonts w:ascii="Century Schoolbook" w:hAnsi="Century Schoolbook"/>
          <w:i/>
        </w:rPr>
        <w:t>Potesta v. U.S. Fid. &amp; Guar. Co.</w:t>
      </w:r>
      <w:r w:rsidRPr="00A07AFF">
        <w:rPr>
          <w:rFonts w:ascii="Century Schoolbook" w:hAnsi="Century Schoolbook"/>
        </w:rPr>
        <w:t>, 202 W. Va. 308, 504 S.E.2d 125 (1998).</w:t>
      </w:r>
    </w:p>
  </w:endnote>
  <w:endnote w:id="153">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Potesta</w:t>
      </w:r>
      <w:r w:rsidRPr="00A07AFF">
        <w:rPr>
          <w:rFonts w:ascii="Century Schoolbook" w:hAnsi="Century Schoolbook"/>
        </w:rPr>
        <w:t>, 202 W. Va. at 317, 504 S.E.2d at 144.</w:t>
      </w:r>
    </w:p>
  </w:endnote>
  <w:endnote w:id="154">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Waller v. Truck Ins. Exch., Inc.</w:t>
      </w:r>
      <w:r w:rsidRPr="00A07AFF">
        <w:rPr>
          <w:rFonts w:ascii="Century Schoolbook" w:hAnsi="Century Schoolbook"/>
        </w:rPr>
        <w:t>, 11 Cal. 4th 1, 31, 900 P.2d 619 (1995).</w:t>
      </w:r>
    </w:p>
  </w:endnote>
  <w:endnote w:id="155">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w:t>
      </w:r>
    </w:p>
  </w:endnote>
  <w:endnote w:id="156">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Black’s Law Dictionary</w:t>
      </w:r>
      <w:r w:rsidRPr="00A07AFF">
        <w:rPr>
          <w:rFonts w:ascii="Century Schoolbook" w:hAnsi="Century Schoolbook"/>
        </w:rPr>
        <w:t xml:space="preserve"> (9th Ed.).</w:t>
      </w:r>
    </w:p>
  </w:endnote>
  <w:endnote w:id="157">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Black’s Law Dictionary</w:t>
      </w:r>
      <w:r w:rsidRPr="00A07AFF">
        <w:rPr>
          <w:rFonts w:ascii="Century Schoolbook" w:hAnsi="Century Schoolbook"/>
        </w:rPr>
        <w:t xml:space="preserve"> (9th Ed.).</w:t>
      </w:r>
    </w:p>
  </w:endnote>
  <w:endnote w:id="158">
    <w:p w:rsidR="009053EE" w:rsidRPr="00A07AFF" w:rsidRDefault="009053EE" w:rsidP="00184A52">
      <w:pPr>
        <w:pStyle w:val="EndnoteText"/>
        <w:spacing w:afterLines="120" w:after="288"/>
        <w:jc w:val="both"/>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Greater Ga. Life Ins. Co., Inc. v. Eason</w:t>
      </w:r>
      <w:r w:rsidRPr="00A07AFF">
        <w:rPr>
          <w:rFonts w:ascii="Century Schoolbook" w:hAnsi="Century Schoolbook"/>
        </w:rPr>
        <w:t xml:space="preserve">, 292 Ga. App. 682, 687, 665 S.E.2d 725, 729-30 (2008) </w:t>
      </w:r>
      <w:r w:rsidRPr="00A07AFF">
        <w:rPr>
          <w:rFonts w:ascii="Century Schoolbook" w:hAnsi="Century Schoolbook"/>
          <w:i/>
        </w:rPr>
        <w:t>quoting</w:t>
      </w:r>
      <w:r w:rsidRPr="00A07AFF">
        <w:rPr>
          <w:rFonts w:ascii="Century Schoolbook" w:hAnsi="Century Schoolbook"/>
        </w:rPr>
        <w:t xml:space="preserve"> </w:t>
      </w:r>
      <w:r w:rsidRPr="00A07AFF">
        <w:rPr>
          <w:rFonts w:ascii="Century Schoolbook" w:hAnsi="Century Schoolbook"/>
          <w:i/>
        </w:rPr>
        <w:t>Bollea v. World Championship Wrestling</w:t>
      </w:r>
      <w:r w:rsidRPr="00A07AFF">
        <w:rPr>
          <w:rFonts w:ascii="Century Schoolbook" w:hAnsi="Century Schoolbook"/>
        </w:rPr>
        <w:t>, 271 Ga. App. 555, 562, 610 S.E.2d 92 (2005).</w:t>
      </w:r>
    </w:p>
  </w:endnote>
  <w:endnote w:id="159">
    <w:p w:rsidR="009053EE" w:rsidRPr="00A07AFF" w:rsidRDefault="009053EE" w:rsidP="00184A52">
      <w:pPr>
        <w:pStyle w:val="EndnoteText"/>
        <w:spacing w:afterLines="120" w:after="288"/>
        <w:rPr>
          <w:rFonts w:ascii="Century Schoolbook" w:hAnsi="Century Schoolbook"/>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Id</w:t>
      </w:r>
      <w:r w:rsidRPr="00A07AFF">
        <w:rPr>
          <w:rFonts w:ascii="Century Schoolbook" w:hAnsi="Century Schoolbook"/>
        </w:rPr>
        <w:t xml:space="preserve">. </w:t>
      </w:r>
    </w:p>
  </w:endnote>
  <w:endnote w:id="160">
    <w:p w:rsidR="009053EE" w:rsidRPr="001B3EA0" w:rsidRDefault="009053EE" w:rsidP="00184A52">
      <w:pPr>
        <w:pStyle w:val="EndnoteText"/>
        <w:spacing w:afterLines="120" w:after="288"/>
        <w:rPr>
          <w:sz w:val="24"/>
          <w:szCs w:val="24"/>
        </w:rPr>
      </w:pPr>
      <w:r w:rsidRPr="00A07AFF">
        <w:rPr>
          <w:rStyle w:val="EndnoteReference"/>
          <w:rFonts w:ascii="Century Schoolbook" w:hAnsi="Century Schoolbook"/>
        </w:rPr>
        <w:endnoteRef/>
      </w:r>
      <w:r w:rsidRPr="00A07AFF">
        <w:rPr>
          <w:rFonts w:ascii="Century Schoolbook" w:hAnsi="Century Schoolbook"/>
        </w:rPr>
        <w:t xml:space="preserve">  </w:t>
      </w:r>
      <w:r w:rsidRPr="00A07AFF">
        <w:rPr>
          <w:rFonts w:ascii="Century Schoolbook" w:hAnsi="Century Schoolbook"/>
          <w:i/>
        </w:rPr>
        <w:t>Clark v. Byrd</w:t>
      </w:r>
      <w:r w:rsidRPr="00A07AFF">
        <w:rPr>
          <w:rFonts w:ascii="Century Schoolbook" w:hAnsi="Century Schoolbook"/>
        </w:rPr>
        <w:t>, 254 Ga. App. 826, 828, 564 S.E.2d 742, 745 (2002).</w:t>
      </w:r>
    </w:p>
  </w:endnote>
  <w:endnote w:id="161">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Fed. R. Civ. P. 26(a)(2)(B).</w:t>
      </w:r>
    </w:p>
  </w:endnote>
  <w:endnote w:id="162">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Fed. R. Civ. P. 26(a)(2)(C).</w:t>
      </w:r>
    </w:p>
  </w:endnote>
  <w:endnote w:id="163">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2010 Committee Notes from Fed. R. Civ. P. 26.</w:t>
      </w:r>
    </w:p>
  </w:endnote>
  <w:endnote w:id="164">
    <w:p w:rsidR="009053EE" w:rsidRPr="004B1B48" w:rsidRDefault="009053EE" w:rsidP="008A0A9A">
      <w:pPr>
        <w:pStyle w:val="EndnoteText"/>
        <w:spacing w:afterLines="120" w:after="288"/>
        <w:jc w:val="both"/>
        <w:rPr>
          <w:rFonts w:ascii="Century Schoolbook" w:hAnsi="Century Schoolbook"/>
          <w:i/>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165">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bCs/>
          <w:i/>
          <w:iCs/>
        </w:rPr>
        <w:t>Goodman v. Staples The Office Superstore</w:t>
      </w:r>
      <w:r w:rsidRPr="004B1B48">
        <w:rPr>
          <w:rFonts w:ascii="Century Schoolbook" w:hAnsi="Century Schoolbook"/>
        </w:rPr>
        <w:t xml:space="preserve">, </w:t>
      </w:r>
      <w:r w:rsidRPr="004B1B48">
        <w:rPr>
          <w:rFonts w:ascii="Century Schoolbook" w:hAnsi="Century Schoolbook"/>
          <w:i/>
        </w:rPr>
        <w:t>LLC</w:t>
      </w:r>
      <w:r w:rsidRPr="004B1B48">
        <w:rPr>
          <w:rFonts w:ascii="Century Schoolbook" w:hAnsi="Century Schoolbook"/>
        </w:rPr>
        <w:t xml:space="preserve">, 644 F.3d 817, 819 (9th Cir. 2011). </w:t>
      </w:r>
      <w:r w:rsidRPr="004B1B48">
        <w:rPr>
          <w:rFonts w:ascii="Century Schoolbook" w:hAnsi="Century Schoolbook"/>
          <w:i/>
        </w:rPr>
        <w:t>See also</w:t>
      </w:r>
      <w:r w:rsidRPr="004B1B48">
        <w:rPr>
          <w:rFonts w:ascii="Century Schoolbook" w:hAnsi="Century Schoolbook"/>
        </w:rPr>
        <w:t xml:space="preserve"> </w:t>
      </w:r>
      <w:r w:rsidRPr="004B1B48">
        <w:rPr>
          <w:rFonts w:ascii="Century Schoolbook" w:hAnsi="Century Schoolbook"/>
          <w:i/>
        </w:rPr>
        <w:t>In re Denture Cream Prods. Liab. Litig.</w:t>
      </w:r>
      <w:r w:rsidRPr="004B1B48">
        <w:rPr>
          <w:rFonts w:ascii="Century Schoolbook" w:hAnsi="Century Schoolbook"/>
        </w:rPr>
        <w:t>, 2012 U.S. Dist LEXIS 152277, at *27 (S.D. Fla. 2012).</w:t>
      </w:r>
    </w:p>
  </w:endnote>
  <w:endnote w:id="166">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bCs/>
          <w:i/>
          <w:iCs/>
        </w:rPr>
        <w:t>Goodman</w:t>
      </w:r>
      <w:r w:rsidRPr="004B1B48">
        <w:rPr>
          <w:rFonts w:ascii="Century Schoolbook" w:hAnsi="Century Schoolbook"/>
        </w:rPr>
        <w:t>, 644 F.3d at 819.</w:t>
      </w:r>
    </w:p>
  </w:endnote>
  <w:endnote w:id="167">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In these scenarios, the enhanced standards of Fed. R. Civ. P. 26(a)(2)(B) permit the parties to properly vet experts and ensure that they qualify under the standards set by the </w:t>
      </w:r>
      <w:r w:rsidRPr="004B1B48">
        <w:rPr>
          <w:rStyle w:val="ssun"/>
          <w:rFonts w:ascii="Century Schoolbook" w:hAnsi="Century Schoolbook"/>
          <w:i/>
        </w:rPr>
        <w:t>Daubert v. Merrell Dow Pharmaceuticals, Inc</w:t>
      </w:r>
      <w:r w:rsidRPr="004B1B48">
        <w:rPr>
          <w:rStyle w:val="ssrfcpassagedeactivated"/>
          <w:rFonts w:ascii="Century Schoolbook" w:hAnsi="Century Schoolbook"/>
        </w:rPr>
        <w:t>., 509 U.S. 579 (1993) line of cases</w:t>
      </w:r>
      <w:r w:rsidRPr="004B1B48">
        <w:rPr>
          <w:rFonts w:ascii="Century Schoolbook" w:hAnsi="Century Schoolbook"/>
        </w:rPr>
        <w:t>.</w:t>
      </w:r>
    </w:p>
  </w:endnote>
  <w:endnote w:id="168">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bCs/>
          <w:i/>
          <w:iCs/>
        </w:rPr>
        <w:t>Goodman</w:t>
      </w:r>
      <w:r w:rsidRPr="004B1B48">
        <w:rPr>
          <w:rFonts w:ascii="Century Schoolbook" w:hAnsi="Century Schoolbook"/>
        </w:rPr>
        <w:t>, 644 F.3d at 819-20.</w:t>
      </w:r>
    </w:p>
  </w:endnote>
  <w:endnote w:id="169">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Style w:val="ssun"/>
          <w:rFonts w:ascii="Century Schoolbook" w:hAnsi="Century Schoolbook"/>
          <w:i/>
        </w:rPr>
        <w:t xml:space="preserve">Daubert, </w:t>
      </w:r>
      <w:r w:rsidRPr="004B1B48">
        <w:rPr>
          <w:rStyle w:val="ssrfcpassagedeactivated"/>
          <w:rFonts w:ascii="Century Schoolbook" w:hAnsi="Century Schoolbook"/>
        </w:rPr>
        <w:t>509 U.S. at 593-95.</w:t>
      </w:r>
    </w:p>
  </w:endnote>
  <w:endnote w:id="170">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644 F.3d 1312, 1316 (11th Cir. 2011).  </w:t>
      </w:r>
    </w:p>
  </w:endnote>
  <w:endnote w:id="171">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iCs/>
        </w:rPr>
        <w:t xml:space="preserve">Id., </w:t>
      </w:r>
      <w:r w:rsidRPr="004B1B48">
        <w:rPr>
          <w:rFonts w:ascii="Century Schoolbook" w:hAnsi="Century Schoolbook"/>
        </w:rPr>
        <w:t>644 F.3d</w:t>
      </w:r>
      <w:r w:rsidRPr="004B1B48">
        <w:rPr>
          <w:rFonts w:ascii="Century Schoolbook" w:hAnsi="Century Schoolbook"/>
          <w:iCs/>
        </w:rPr>
        <w:t xml:space="preserve"> at</w:t>
      </w:r>
      <w:r w:rsidRPr="004B1B48">
        <w:rPr>
          <w:rFonts w:ascii="Century Schoolbook" w:hAnsi="Century Schoolbook"/>
          <w:i/>
          <w:iCs/>
        </w:rPr>
        <w:t xml:space="preserve"> </w:t>
      </w:r>
      <w:r w:rsidRPr="004B1B48">
        <w:rPr>
          <w:rFonts w:ascii="Century Schoolbook" w:hAnsi="Century Schoolbook"/>
        </w:rPr>
        <w:t>1316-17.</w:t>
      </w:r>
    </w:p>
  </w:endnote>
  <w:endnote w:id="172">
    <w:p w:rsidR="009053EE" w:rsidRPr="004B1B48" w:rsidRDefault="009053EE" w:rsidP="008A0A9A">
      <w:pPr>
        <w:spacing w:afterLines="120" w:after="288"/>
        <w:jc w:val="both"/>
        <w:rPr>
          <w:rFonts w:ascii="Century Schoolbook" w:hAnsi="Century Schoolbook"/>
          <w:sz w:val="20"/>
          <w:szCs w:val="20"/>
        </w:rPr>
      </w:pPr>
      <w:r w:rsidRPr="004B1B48">
        <w:rPr>
          <w:rStyle w:val="EndnoteReference"/>
          <w:rFonts w:ascii="Century Schoolbook" w:hAnsi="Century Schoolbook"/>
          <w:sz w:val="20"/>
          <w:szCs w:val="20"/>
        </w:rPr>
        <w:endnoteRef/>
      </w:r>
      <w:r w:rsidRPr="004B1B48">
        <w:rPr>
          <w:rFonts w:ascii="Century Schoolbook" w:hAnsi="Century Schoolbook"/>
          <w:sz w:val="20"/>
          <w:szCs w:val="20"/>
        </w:rPr>
        <w:t xml:space="preserve"> </w:t>
      </w:r>
      <w:r w:rsidRPr="004B1B48">
        <w:rPr>
          <w:rFonts w:ascii="Century Schoolbook" w:hAnsi="Century Schoolbook"/>
          <w:i/>
          <w:iCs/>
          <w:sz w:val="20"/>
          <w:szCs w:val="20"/>
        </w:rPr>
        <w:t>United States v. Henderson</w:t>
      </w:r>
      <w:r w:rsidRPr="004B1B48">
        <w:rPr>
          <w:rFonts w:ascii="Century Schoolbook" w:hAnsi="Century Schoolbook"/>
          <w:sz w:val="20"/>
          <w:szCs w:val="20"/>
        </w:rPr>
        <w:t>, 409 F.3d 1293, 1300 (11th Cir. 2005).</w:t>
      </w:r>
    </w:p>
  </w:endnote>
  <w:endnote w:id="173">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644 F.3d at 826.</w:t>
      </w:r>
    </w:p>
  </w:endnote>
  <w:endnote w:id="174">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825 (citing </w:t>
      </w:r>
      <w:r w:rsidRPr="004B1B48">
        <w:rPr>
          <w:rStyle w:val="ssit"/>
          <w:rFonts w:ascii="Century Schoolbook" w:hAnsi="Century Schoolbook"/>
          <w:i/>
        </w:rPr>
        <w:t>Mohney v. USA Hockey, Inc</w:t>
      </w:r>
      <w:r w:rsidRPr="004B1B48">
        <w:rPr>
          <w:rStyle w:val="ssrfcpassagedeactivated"/>
          <w:rFonts w:ascii="Century Schoolbook" w:hAnsi="Century Schoolbook"/>
          <w:i/>
        </w:rPr>
        <w:t>.</w:t>
      </w:r>
      <w:r w:rsidRPr="004B1B48">
        <w:rPr>
          <w:rStyle w:val="ssrfcpassagedeactivated"/>
          <w:rFonts w:ascii="Century Schoolbook" w:hAnsi="Century Schoolbook"/>
        </w:rPr>
        <w:t>, 138 F. App'x 804, 811 (6th Cir. 2005);</w:t>
      </w:r>
      <w:r w:rsidRPr="004B1B48">
        <w:rPr>
          <w:rFonts w:ascii="Century Schoolbook" w:hAnsi="Century Schoolbook"/>
        </w:rPr>
        <w:t xml:space="preserve"> </w:t>
      </w:r>
      <w:r w:rsidRPr="004B1B48">
        <w:rPr>
          <w:rStyle w:val="ssit"/>
          <w:rFonts w:ascii="Century Schoolbook" w:hAnsi="Century Schoolbook"/>
          <w:i/>
        </w:rPr>
        <w:t>Meyers v. Nat'l R.R. Passenger Corp</w:t>
      </w:r>
      <w:r w:rsidRPr="004B1B48">
        <w:rPr>
          <w:rStyle w:val="ssrfcpassagedeactivated"/>
          <w:rFonts w:ascii="Century Schoolbook" w:hAnsi="Century Schoolbook"/>
          <w:i/>
        </w:rPr>
        <w:t>.</w:t>
      </w:r>
      <w:r w:rsidRPr="004B1B48">
        <w:rPr>
          <w:rStyle w:val="ssrfcpassagedeactivated"/>
          <w:rFonts w:ascii="Century Schoolbook" w:hAnsi="Century Schoolbook"/>
        </w:rPr>
        <w:t>, 619 F.3d 729, 734-35 (7th Cir. 2010)</w:t>
      </w:r>
      <w:r w:rsidRPr="004B1B48">
        <w:rPr>
          <w:rFonts w:ascii="Century Schoolbook" w:hAnsi="Century Schoolbook"/>
        </w:rPr>
        <w:t xml:space="preserve">; </w:t>
      </w:r>
      <w:r w:rsidRPr="004B1B48">
        <w:rPr>
          <w:rStyle w:val="ssit"/>
          <w:rFonts w:ascii="Century Schoolbook" w:hAnsi="Century Schoolbook"/>
          <w:i/>
        </w:rPr>
        <w:t>Brooks v. Union Pac. R.R. Co</w:t>
      </w:r>
      <w:r w:rsidRPr="004B1B48">
        <w:rPr>
          <w:rStyle w:val="ssrfcpassagedeactivated"/>
          <w:rFonts w:ascii="Century Schoolbook" w:hAnsi="Century Schoolbook"/>
          <w:i/>
        </w:rPr>
        <w:t>.</w:t>
      </w:r>
      <w:r w:rsidRPr="004B1B48">
        <w:rPr>
          <w:rStyle w:val="ssrfcpassagedeactivated"/>
          <w:rFonts w:ascii="Century Schoolbook" w:hAnsi="Century Schoolbook"/>
        </w:rPr>
        <w:t>, 620 F.3d 896, 900 (8th Cir. 2010)).</w:t>
      </w:r>
    </w:p>
  </w:endnote>
  <w:endnote w:id="175">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2011 U.S. Dist. LEXIS 125329, at *23-28 (D.Ct. Nev. Oct. 28, 2011).</w:t>
      </w:r>
    </w:p>
  </w:endnote>
  <w:endnote w:id="176">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Bruce v. Classic Carrier, Inc.</w:t>
      </w:r>
      <w:r w:rsidRPr="004B1B48">
        <w:rPr>
          <w:rFonts w:ascii="Century Schoolbook" w:hAnsi="Century Schoolbook"/>
        </w:rPr>
        <w:t xml:space="preserve">, No. 1:11-cv-01472-JEC-JCF, 2012 U.S. Dist. Lexis _____ at *11-12 (N.D. Ga. Oct. 31, 2012).  </w:t>
      </w:r>
    </w:p>
  </w:endnote>
  <w:endnote w:id="177">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*12 (citing </w:t>
      </w:r>
      <w:r w:rsidRPr="004B1B48">
        <w:rPr>
          <w:rFonts w:ascii="Century Schoolbook" w:hAnsi="Century Schoolbook"/>
          <w:i/>
        </w:rPr>
        <w:t>Sullivan v. Glock, Inc.</w:t>
      </w:r>
      <w:r w:rsidRPr="004B1B48">
        <w:rPr>
          <w:rFonts w:ascii="Century Schoolbook" w:hAnsi="Century Schoolbook"/>
        </w:rPr>
        <w:t>, 175 F.R.D. 497 (D. Md. 1997) (holding no report needed where facts supporting opinions drawn solely from treatment)).</w:t>
      </w:r>
    </w:p>
  </w:endnote>
  <w:endnote w:id="178">
    <w:p w:rsidR="009053EE" w:rsidRPr="004B1B48" w:rsidRDefault="009053EE" w:rsidP="008A0A9A">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In re Denture Cream, </w:t>
      </w:r>
      <w:r w:rsidRPr="004B1B48">
        <w:rPr>
          <w:rFonts w:ascii="Century Schoolbook" w:hAnsi="Century Schoolbook"/>
        </w:rPr>
        <w:t xml:space="preserve">2012 U.S. Dist. LEXIS 152277, at *34-35 (citing </w:t>
      </w:r>
      <w:r w:rsidRPr="004B1B48">
        <w:rPr>
          <w:rFonts w:ascii="Century Schoolbook" w:hAnsi="Century Schoolbook"/>
          <w:i/>
        </w:rPr>
        <w:t>Sullivan v. Glock, Inc.</w:t>
      </w:r>
      <w:r w:rsidRPr="004B1B48">
        <w:rPr>
          <w:rFonts w:ascii="Century Schoolbook" w:hAnsi="Century Schoolbook"/>
        </w:rPr>
        <w:t>, 175 F.R.D. 497, 500 (D.Md. 1997)).</w:t>
      </w:r>
    </w:p>
    <w:p w:rsidR="009053EE" w:rsidRDefault="009053EE" w:rsidP="00092694">
      <w:pPr>
        <w:pStyle w:val="EndnoteText"/>
      </w:pPr>
    </w:p>
  </w:endnote>
  <w:endnote w:id="179">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Attorneys practicing labor and employment law have a multitude of reference sources for recent developments in federal legislation and case law. </w:t>
      </w:r>
      <w:r w:rsidRPr="004B1B48">
        <w:rPr>
          <w:rFonts w:ascii="Century Schoolbook" w:hAnsi="Century Schoolbook"/>
          <w:i/>
        </w:rPr>
        <w:t>See generally</w:t>
      </w:r>
      <w:r w:rsidRPr="004B1B48">
        <w:rPr>
          <w:rFonts w:ascii="Century Schoolbook" w:hAnsi="Century Schoolbook"/>
        </w:rPr>
        <w:t xml:space="preserve"> </w:t>
      </w:r>
      <w:r w:rsidRPr="004B1B48">
        <w:rPr>
          <w:rFonts w:ascii="Century Schoolbook" w:hAnsi="Century Schoolbook"/>
          <w:i/>
        </w:rPr>
        <w:t>The Developing Labor Law</w:t>
      </w:r>
      <w:r w:rsidRPr="004B1B48">
        <w:rPr>
          <w:rFonts w:ascii="Century Schoolbook" w:hAnsi="Century Schoolbook"/>
        </w:rPr>
        <w:t xml:space="preserve"> (John E. Higgins Jr. et al. eds., 5th ed. 2006 &amp; Supp. </w:t>
      </w:r>
      <w:r w:rsidRPr="004B1B48">
        <w:rPr>
          <w:rFonts w:ascii="Century Schoolbook" w:hAnsi="Century Schoolbook"/>
          <w:i/>
        </w:rPr>
        <w:t xml:space="preserve">2009); </w:t>
      </w:r>
      <w:r w:rsidRPr="004B1B48">
        <w:rPr>
          <w:rFonts w:ascii="Century Schoolbook" w:hAnsi="Century Schoolbook"/>
        </w:rPr>
        <w:t xml:space="preserve">Barbara T. Lindeman &amp; Paul Grossman, </w:t>
      </w:r>
      <w:r w:rsidRPr="004B1B48">
        <w:rPr>
          <w:rFonts w:ascii="Century Schoolbook" w:hAnsi="Century Schoolbook"/>
          <w:i/>
        </w:rPr>
        <w:t>Employment Discrimination Law</w:t>
      </w:r>
      <w:r w:rsidRPr="004B1B48">
        <w:rPr>
          <w:rFonts w:ascii="Century Schoolbook" w:hAnsi="Century Schoolbook"/>
        </w:rPr>
        <w:t xml:space="preserve"> (C. Geoffrey Weirich et al. eds., 4</w:t>
      </w:r>
      <w:r w:rsidRPr="004B1B48">
        <w:rPr>
          <w:rFonts w:ascii="Century Schoolbook" w:hAnsi="Century Schoolbook"/>
          <w:vertAlign w:val="superscript"/>
        </w:rPr>
        <w:t>th</w:t>
      </w:r>
      <w:r w:rsidRPr="004B1B48">
        <w:rPr>
          <w:rFonts w:ascii="Century Schoolbook" w:hAnsi="Century Schoolbook"/>
        </w:rPr>
        <w:t xml:space="preserve"> ed. 2007 &amp; Supp. 2009); W. Christopher Arbrey et al., </w:t>
      </w:r>
      <w:r w:rsidRPr="004B1B48">
        <w:rPr>
          <w:rFonts w:ascii="Century Schoolbook" w:hAnsi="Century Schoolbook"/>
          <w:i/>
        </w:rPr>
        <w:t>Labor and Employment, 2008 Eleventh Circuit Survey</w:t>
      </w:r>
      <w:r w:rsidRPr="004B1B48">
        <w:rPr>
          <w:rFonts w:ascii="Century Schoolbook" w:hAnsi="Century Schoolbook"/>
        </w:rPr>
        <w:t xml:space="preserve">, 60 Mercer L. Rev. 1281 (2009); Bureau of Nat’l Affairs, </w:t>
      </w:r>
      <w:r w:rsidRPr="004B1B48">
        <w:rPr>
          <w:rFonts w:ascii="Century Schoolbook" w:hAnsi="Century Schoolbook"/>
          <w:i/>
        </w:rPr>
        <w:t>Daily Labor Report</w:t>
      </w:r>
      <w:r w:rsidRPr="004B1B48">
        <w:rPr>
          <w:rFonts w:ascii="Century Schoolbook" w:hAnsi="Century Schoolbook"/>
        </w:rPr>
        <w:t xml:space="preserve">, BNA.com, http://www.bna.com/labor-employment-law-t5956. Accordingly, this article is not intended to cover the latest developments in federal labor and employment law; rather, this article covers only legislative and judicial developments arising under Georgia state law during the survey period. </w:t>
      </w:r>
    </w:p>
  </w:endnote>
  <w:endnote w:id="18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For analysis of Georgia labor and employment law during the prior survey period, see W. Melvin Haas III et al., </w:t>
      </w:r>
      <w:r w:rsidRPr="004B1B48">
        <w:rPr>
          <w:rFonts w:ascii="Century Schoolbook" w:hAnsi="Century Schoolbook"/>
          <w:i/>
        </w:rPr>
        <w:t>Labor and Employment Law, Annual Survey of Georgia Law</w:t>
      </w:r>
      <w:r w:rsidRPr="004B1B48">
        <w:rPr>
          <w:rFonts w:ascii="Century Schoolbook" w:hAnsi="Century Schoolbook"/>
        </w:rPr>
        <w:t>, 63 Mercer L. Rev. 181 (2011).</w:t>
      </w:r>
    </w:p>
  </w:endnote>
  <w:endnote w:id="18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36-60-6 (2012).</w:t>
      </w:r>
    </w:p>
  </w:endnote>
  <w:endnote w:id="18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13-10-90 (2012).</w:t>
      </w:r>
    </w:p>
  </w:endnote>
  <w:endnote w:id="18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36-60-6 (2012).</w:t>
      </w:r>
    </w:p>
  </w:endnote>
  <w:endnote w:id="18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Ga. H.R. Bill 87, Reg. Sess. (codified in relevant part at O.C.G.A. §§ 13-10-90, 36-60-6 (2012)).</w:t>
      </w:r>
    </w:p>
  </w:endnote>
  <w:endnote w:id="18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36-60-6 (2012).</w:t>
      </w:r>
    </w:p>
  </w:endnote>
  <w:endnote w:id="18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Ga. H.R. Bill 697, Reg. Sess. 2012 (unenacted).</w:t>
      </w:r>
    </w:p>
  </w:endnote>
  <w:endnote w:id="18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18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18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19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Black’s Law Dictionary</w:t>
      </w:r>
      <w:r w:rsidRPr="004B1B48">
        <w:rPr>
          <w:rFonts w:ascii="Century Schoolbook" w:hAnsi="Century Schoolbook"/>
        </w:rPr>
        <w:t xml:space="preserve"> (9th  ed. 2009).</w:t>
      </w:r>
    </w:p>
  </w:endnote>
  <w:endnote w:id="191">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Haas, </w:t>
      </w:r>
      <w:r w:rsidRPr="004B1B48">
        <w:rPr>
          <w:rFonts w:ascii="Century Schoolbook" w:hAnsi="Century Schoolbook"/>
          <w:i/>
        </w:rPr>
        <w:t xml:space="preserve">supra  </w:t>
      </w:r>
      <w:r w:rsidRPr="004B1B48">
        <w:rPr>
          <w:rFonts w:ascii="Century Schoolbook" w:hAnsi="Century Schoolbook"/>
        </w:rPr>
        <w:t>note 2, at 206 &amp; n.14 (“[T]he employment-at-will doctrine is weakening in many jurisdictions.”).</w:t>
      </w:r>
    </w:p>
  </w:endnote>
  <w:endnote w:id="192">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See, e.g.</w:t>
      </w:r>
      <w:r w:rsidRPr="004B1B48">
        <w:rPr>
          <w:rFonts w:ascii="Century Schoolbook" w:hAnsi="Century Schoolbook"/>
        </w:rPr>
        <w:t xml:space="preserve">, </w:t>
      </w:r>
      <w:r w:rsidRPr="004B1B48">
        <w:rPr>
          <w:rFonts w:ascii="Century Schoolbook" w:hAnsi="Century Schoolbook"/>
          <w:i/>
        </w:rPr>
        <w:t>Wilson v. City of Sardis</w:t>
      </w:r>
      <w:r w:rsidRPr="004B1B48">
        <w:rPr>
          <w:rFonts w:ascii="Century Schoolbook" w:hAnsi="Century Schoolbook"/>
        </w:rPr>
        <w:t>, 264 Ga. App. 178, 179, 590 S.E.2d 383, 385 (2003)(“‘In the absence of a contractual or statutory “for cause” requirement,…the employee serves “at will” and may be discharged at any time for any reason or no reason . . . .’” ).</w:t>
      </w:r>
    </w:p>
  </w:endnote>
  <w:endnote w:id="193">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Reid v. City of Albany</w:t>
      </w:r>
      <w:r w:rsidRPr="004B1B48">
        <w:rPr>
          <w:rFonts w:ascii="Century Schoolbook" w:hAnsi="Century Schoolbook"/>
        </w:rPr>
        <w:t xml:space="preserve">, 276 Ga. App. 171, 172, 622 S.E.2d 875, 877 (2005)(quoting </w:t>
      </w:r>
      <w:r w:rsidRPr="004B1B48">
        <w:rPr>
          <w:rFonts w:ascii="Century Schoolbook" w:hAnsi="Century Schoolbook"/>
          <w:i/>
        </w:rPr>
        <w:t>Reilly v. Alcan Aluminum Corp.</w:t>
      </w:r>
      <w:r w:rsidRPr="004B1B48">
        <w:rPr>
          <w:rFonts w:ascii="Century Schoolbook" w:hAnsi="Century Schoolbook"/>
        </w:rPr>
        <w:t>, 272 Ga. 279, 280, 528 S.E.2d 238, 240 (2000)).</w:t>
      </w:r>
    </w:p>
  </w:endnote>
  <w:endnote w:id="194">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34-7-1 (2012).</w:t>
      </w:r>
    </w:p>
  </w:endnote>
  <w:endnote w:id="195">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196">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Ga. Power Co. v. Busbin</w:t>
      </w:r>
      <w:r w:rsidRPr="004B1B48">
        <w:rPr>
          <w:rFonts w:ascii="Century Schoolbook" w:hAnsi="Century Schoolbook"/>
        </w:rPr>
        <w:t>, 242 Ga. 612, 613, 250 S.E.2d 442, 443-44 (1978).</w:t>
      </w:r>
    </w:p>
  </w:endnote>
  <w:endnote w:id="197">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Ikemiya v. Shibamoto Am.., Inc.</w:t>
      </w:r>
      <w:r w:rsidRPr="004B1B48">
        <w:rPr>
          <w:rFonts w:ascii="Century Schoolbook" w:hAnsi="Century Schoolbook"/>
        </w:rPr>
        <w:t xml:space="preserve">, 213 Ga. App. 271, 273, 444 S.E.2d 351, 353 (1994)(quoting </w:t>
      </w:r>
      <w:r w:rsidRPr="004B1B48">
        <w:rPr>
          <w:rFonts w:ascii="Century Schoolbook" w:hAnsi="Century Schoolbook"/>
          <w:i/>
        </w:rPr>
        <w:t>Gatins v. NCR Corp.</w:t>
      </w:r>
      <w:r w:rsidRPr="004B1B48">
        <w:rPr>
          <w:rFonts w:ascii="Century Schoolbook" w:hAnsi="Century Schoolbook"/>
        </w:rPr>
        <w:t>, 180 Ga. App. 595, 597, 349 S.E.2d 818, 820 (1986)).</w:t>
      </w:r>
    </w:p>
  </w:endnote>
  <w:endnote w:id="198">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Schuck v. Blue Cross &amp; Blue Shield, Inc.</w:t>
      </w:r>
      <w:r w:rsidRPr="004B1B48">
        <w:rPr>
          <w:rFonts w:ascii="Century Schoolbook" w:hAnsi="Century Schoolbook"/>
        </w:rPr>
        <w:t>, 244 Ga. App. 147, 148, 534 S.E.2d 533, 534 (2000).</w:t>
      </w:r>
    </w:p>
  </w:endnote>
  <w:endnote w:id="199">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H&amp;R Block E. Enters., Inc. v. Morris</w:t>
      </w:r>
      <w:r w:rsidRPr="004B1B48">
        <w:rPr>
          <w:rFonts w:ascii="Century Schoolbook" w:hAnsi="Century Schoolbook"/>
        </w:rPr>
        <w:t xml:space="preserve">, 606 F.3d 1285, 1294 (11th Cir. 2010) (quoting </w:t>
      </w:r>
      <w:r w:rsidRPr="004B1B48">
        <w:rPr>
          <w:rFonts w:ascii="Century Schoolbook" w:hAnsi="Century Schoolbook"/>
          <w:i/>
        </w:rPr>
        <w:t>Nida v. Echols</w:t>
      </w:r>
      <w:r w:rsidRPr="004B1B48">
        <w:rPr>
          <w:rFonts w:ascii="Century Schoolbook" w:hAnsi="Century Schoolbook"/>
        </w:rPr>
        <w:t xml:space="preserve">, 31 F. Supp. 2d 1358, 1376 (N.D. Ga. 1998)); </w:t>
      </w:r>
      <w:r w:rsidRPr="004B1B48">
        <w:rPr>
          <w:rFonts w:ascii="Century Schoolbook" w:hAnsi="Century Schoolbook"/>
          <w:i/>
        </w:rPr>
        <w:t>Fink v. Dodd</w:t>
      </w:r>
      <w:r w:rsidRPr="004B1B48">
        <w:rPr>
          <w:rFonts w:ascii="Century Schoolbook" w:hAnsi="Century Schoolbook"/>
        </w:rPr>
        <w:t>, 286 Ga. App. 363, 365, 649 S.E.2d 359, 262 (2007) (“The employer[] with or without cause and regardless of its motives may discharge the employee without liability.”) (alteration in original).</w:t>
      </w:r>
    </w:p>
  </w:endnote>
  <w:endnote w:id="20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Balmer v. Elan Corp.</w:t>
      </w:r>
      <w:r w:rsidRPr="004B1B48">
        <w:rPr>
          <w:rFonts w:ascii="Century Schoolbook" w:hAnsi="Century Schoolbook"/>
        </w:rPr>
        <w:t>, 278 Ga. 227, 228-29, 599 S.E.2d 158, 161 (2004).</w:t>
      </w:r>
    </w:p>
  </w:endnote>
  <w:endnote w:id="20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2011 WL 3568144 (M.D. Ga. 2011).</w:t>
      </w:r>
    </w:p>
  </w:endnote>
  <w:endnote w:id="20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*5.</w:t>
      </w:r>
    </w:p>
  </w:endnote>
  <w:endnote w:id="20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*1.</w:t>
      </w:r>
    </w:p>
  </w:endnote>
  <w:endnote w:id="20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*5.</w:t>
      </w:r>
    </w:p>
  </w:endnote>
  <w:endnote w:id="20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(quoting O.C.G.A. § 34-7-1). </w:t>
      </w:r>
    </w:p>
  </w:endnote>
  <w:endnote w:id="20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0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08">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James W. Wimberly Jr., </w:t>
      </w:r>
      <w:r w:rsidRPr="004B1B48">
        <w:rPr>
          <w:rFonts w:ascii="Century Schoolbook" w:hAnsi="Century Schoolbook"/>
          <w:i/>
        </w:rPr>
        <w:t>Georgia Employment Law</w:t>
      </w:r>
      <w:r w:rsidRPr="004B1B48">
        <w:rPr>
          <w:rFonts w:ascii="Century Schoolbook" w:hAnsi="Century Schoolbook"/>
        </w:rPr>
        <w:t xml:space="preserve"> § 2:1 (4</w:t>
      </w:r>
      <w:r w:rsidRPr="004B1B48">
        <w:rPr>
          <w:rFonts w:ascii="Century Schoolbook" w:hAnsi="Century Schoolbook"/>
          <w:vertAlign w:val="superscript"/>
        </w:rPr>
        <w:t>th</w:t>
      </w:r>
      <w:r w:rsidRPr="004B1B48">
        <w:rPr>
          <w:rFonts w:ascii="Century Schoolbook" w:hAnsi="Century Schoolbook"/>
        </w:rPr>
        <w:t xml:space="preserve"> ed. 2012).</w:t>
      </w:r>
    </w:p>
  </w:endnote>
  <w:endnote w:id="209">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For a discussion of elements of employer-employee contracts, see </w:t>
      </w:r>
      <w:r w:rsidRPr="004B1B48">
        <w:rPr>
          <w:rFonts w:ascii="Century Schoolbook" w:hAnsi="Century Schoolbook"/>
          <w:i/>
        </w:rPr>
        <w:t>infra</w:t>
      </w:r>
      <w:r w:rsidRPr="004B1B48">
        <w:rPr>
          <w:rFonts w:ascii="Century Schoolbook" w:hAnsi="Century Schoolbook"/>
        </w:rPr>
        <w:t xml:space="preserve"> Part IV.A. of this Article.</w:t>
      </w:r>
    </w:p>
  </w:endnote>
  <w:endnote w:id="21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Wimberly, </w:t>
      </w:r>
      <w:r w:rsidRPr="004B1B48">
        <w:rPr>
          <w:rFonts w:ascii="Century Schoolbook" w:hAnsi="Century Schoolbook"/>
          <w:i/>
        </w:rPr>
        <w:t>infra</w:t>
      </w:r>
      <w:r w:rsidRPr="004B1B48">
        <w:rPr>
          <w:rFonts w:ascii="Century Schoolbook" w:hAnsi="Century Schoolbook"/>
        </w:rPr>
        <w:t xml:space="preserve"> note 30.</w:t>
      </w:r>
    </w:p>
  </w:endnote>
  <w:endnote w:id="21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313 Ga. App. 335, 721 S.E.2d 577 (2011).</w:t>
      </w:r>
    </w:p>
  </w:endnote>
  <w:endnote w:id="21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i/>
        </w:rPr>
        <w:t xml:space="preserve"> Id</w:t>
      </w:r>
      <w:r w:rsidRPr="004B1B48">
        <w:rPr>
          <w:rFonts w:ascii="Century Schoolbook" w:hAnsi="Century Schoolbook"/>
        </w:rPr>
        <w:t xml:space="preserve">., 313 Ga. App. at 336-39, 721 S.E.2d 579-581 (2011). </w:t>
      </w:r>
    </w:p>
  </w:endnote>
  <w:endnote w:id="21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r w:rsidRPr="004B1B48">
        <w:rPr>
          <w:rFonts w:ascii="Century Schoolbook" w:hAnsi="Century Schoolbook"/>
        </w:rPr>
        <w:t>313 Ga. App.</w:t>
      </w:r>
      <w:r w:rsidRPr="004B1B48">
        <w:rPr>
          <w:rFonts w:ascii="Century Schoolbook" w:hAnsi="Century Schoolbook"/>
          <w:i/>
        </w:rPr>
        <w:t>.</w:t>
      </w:r>
      <w:r w:rsidRPr="004B1B48">
        <w:rPr>
          <w:rFonts w:ascii="Century Schoolbook" w:hAnsi="Century Schoolbook"/>
        </w:rPr>
        <w:t xml:space="preserve"> at 343, 721 S.E.2d at 583. </w:t>
      </w:r>
    </w:p>
  </w:endnote>
  <w:endnote w:id="21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313 Ga. App.</w:t>
      </w:r>
      <w:r w:rsidRPr="004B1B48">
        <w:rPr>
          <w:rFonts w:ascii="Century Schoolbook" w:hAnsi="Century Schoolbook"/>
          <w:i/>
        </w:rPr>
        <w:t xml:space="preserve"> </w:t>
      </w:r>
      <w:r w:rsidRPr="004B1B48">
        <w:rPr>
          <w:rFonts w:ascii="Century Schoolbook" w:hAnsi="Century Schoolbook"/>
        </w:rPr>
        <w:t>at 342, 721 S.E.2d at 582 (citing O.C.G.A. § 13-5-30(5) (2012)).</w:t>
      </w:r>
    </w:p>
  </w:endnote>
  <w:endnote w:id="21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Bithoney</w:t>
      </w:r>
      <w:r w:rsidRPr="004B1B48">
        <w:rPr>
          <w:rFonts w:ascii="Century Schoolbook" w:hAnsi="Century Schoolbook"/>
        </w:rPr>
        <w:t>, 313 Ga. App.</w:t>
      </w:r>
      <w:r w:rsidRPr="004B1B48">
        <w:rPr>
          <w:rFonts w:ascii="Century Schoolbook" w:hAnsi="Century Schoolbook"/>
          <w:i/>
        </w:rPr>
        <w:t xml:space="preserve"> </w:t>
      </w:r>
      <w:r w:rsidRPr="004B1B48">
        <w:rPr>
          <w:rFonts w:ascii="Century Schoolbook" w:hAnsi="Century Schoolbook"/>
        </w:rPr>
        <w:t xml:space="preserve">at 342, 721 S.E.2d at 582 (citing </w:t>
      </w:r>
      <w:r w:rsidRPr="004B1B48">
        <w:rPr>
          <w:rFonts w:ascii="Century Schoolbook" w:hAnsi="Century Schoolbook"/>
          <w:i/>
        </w:rPr>
        <w:t>Parker v. Crider Poultry, Inc.</w:t>
      </w:r>
      <w:r w:rsidRPr="004B1B48">
        <w:rPr>
          <w:rFonts w:ascii="Century Schoolbook" w:hAnsi="Century Schoolbook"/>
        </w:rPr>
        <w:t>, 275 Ga. 361, 362(1), 565 S.E.2d 797 (2002)).</w:t>
      </w:r>
    </w:p>
  </w:endnote>
  <w:endnote w:id="21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Bithoney</w:t>
      </w:r>
      <w:r w:rsidRPr="004B1B48">
        <w:rPr>
          <w:rFonts w:ascii="Century Schoolbook" w:hAnsi="Century Schoolbook"/>
        </w:rPr>
        <w:t>, 313 Ga. App. at 342-43, 721 S.E.2d at 582-83.</w:t>
      </w:r>
    </w:p>
  </w:endnote>
  <w:endnote w:id="21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45-1-4(d)(2) (2012). </w:t>
      </w:r>
    </w:p>
  </w:endnote>
  <w:endnote w:id="21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1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311 Ga. App. 155, 715 S.E.2d 487 (2011).</w:t>
      </w:r>
    </w:p>
  </w:endnote>
  <w:endnote w:id="22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159. </w:t>
      </w:r>
    </w:p>
  </w:endnote>
  <w:endnote w:id="22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i/>
        </w:rPr>
        <w:t xml:space="preserve"> Id</w:t>
      </w:r>
      <w:r w:rsidRPr="004B1B48">
        <w:rPr>
          <w:rFonts w:ascii="Century Schoolbook" w:hAnsi="Century Schoolbook"/>
        </w:rPr>
        <w:t xml:space="preserve">., 311 Ga. App. at 156.  </w:t>
      </w:r>
    </w:p>
  </w:endnote>
  <w:endnote w:id="22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i/>
        </w:rPr>
        <w:t xml:space="preserve"> Id</w:t>
      </w:r>
      <w:r w:rsidRPr="004B1B48">
        <w:rPr>
          <w:rFonts w:ascii="Century Schoolbook" w:hAnsi="Century Schoolbook"/>
        </w:rPr>
        <w:t xml:space="preserve">.  </w:t>
      </w:r>
    </w:p>
  </w:endnote>
  <w:endnote w:id="22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160.</w:t>
      </w:r>
    </w:p>
  </w:endnote>
  <w:endnote w:id="22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2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2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r w:rsidRPr="004B1B48">
        <w:rPr>
          <w:rFonts w:ascii="Century Schoolbook" w:hAnsi="Century Schoolbook"/>
          <w:i/>
        </w:rPr>
        <w:t>See, e.g</w:t>
      </w:r>
      <w:r w:rsidRPr="004B1B48">
        <w:rPr>
          <w:rFonts w:ascii="Century Schoolbook" w:hAnsi="Century Schoolbook"/>
        </w:rPr>
        <w:t xml:space="preserve">. </w:t>
      </w:r>
      <w:r w:rsidRPr="004B1B48">
        <w:rPr>
          <w:rFonts w:ascii="Century Schoolbook" w:hAnsi="Century Schoolbook"/>
          <w:i/>
        </w:rPr>
        <w:t>McNorton v. Ga. DOT</w:t>
      </w:r>
      <w:r w:rsidRPr="004B1B48">
        <w:rPr>
          <w:rFonts w:ascii="Century Schoolbook" w:hAnsi="Century Schoolbook"/>
        </w:rPr>
        <w:t>, 619 F. Supp. 2d 1360, 1377 (N.D. Ga. 2007).</w:t>
      </w:r>
    </w:p>
  </w:endnote>
  <w:endnote w:id="227">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34-7-20 (2012).</w:t>
      </w:r>
    </w:p>
  </w:endnote>
  <w:endnote w:id="228">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29">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Tecumseh Prods. Co. v. Rigdon</w:t>
      </w:r>
      <w:r w:rsidRPr="004B1B48">
        <w:rPr>
          <w:rFonts w:ascii="Century Schoolbook" w:hAnsi="Century Schoolbook"/>
        </w:rPr>
        <w:t xml:space="preserve">, 250 Ga. App. 739, 740, 552 S.E.2d 910, 912 (2001); </w:t>
      </w:r>
      <w:r w:rsidRPr="004B1B48">
        <w:rPr>
          <w:rFonts w:ascii="Century Schoolbook" w:hAnsi="Century Schoolbook"/>
          <w:i/>
        </w:rPr>
        <w:t>see also</w:t>
      </w:r>
      <w:r w:rsidRPr="004B1B48">
        <w:rPr>
          <w:rFonts w:ascii="Century Schoolbook" w:hAnsi="Century Schoolbook"/>
        </w:rPr>
        <w:t xml:space="preserve"> O.C.G.A § 34-7-20 (2012).</w:t>
      </w:r>
    </w:p>
  </w:endnote>
  <w:endnote w:id="23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Munroe v. Universal Health Servs., Inc.</w:t>
      </w:r>
      <w:r w:rsidRPr="004B1B48">
        <w:rPr>
          <w:rFonts w:ascii="Century Schoolbook" w:hAnsi="Century Schoolbook"/>
        </w:rPr>
        <w:t>, 277 Ga. 861, 863, 596 S.E.2d 604, 606 (2004)(internal quotation marks omitted).</w:t>
      </w:r>
    </w:p>
  </w:endnote>
  <w:endnote w:id="231">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Tecumseh Prods. Co</w:t>
      </w:r>
      <w:r w:rsidRPr="004B1B48">
        <w:rPr>
          <w:rFonts w:ascii="Century Schoolbook" w:hAnsi="Century Schoolbook"/>
        </w:rPr>
        <w:t>., 250 Ga. App. At 741, 552 S.E.2d at 912.</w:t>
      </w:r>
    </w:p>
  </w:endnote>
  <w:endnote w:id="232">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Munroe</w:t>
      </w:r>
      <w:r w:rsidRPr="004B1B48">
        <w:rPr>
          <w:rFonts w:ascii="Century Schoolbook" w:hAnsi="Century Schoolbook"/>
        </w:rPr>
        <w:t xml:space="preserve">, 277 Ga. at 864, 596 S.E.2d at 607 (quoting </w:t>
      </w:r>
      <w:r w:rsidRPr="004B1B48">
        <w:rPr>
          <w:rFonts w:ascii="Century Schoolbook" w:hAnsi="Century Schoolbook"/>
          <w:i/>
        </w:rPr>
        <w:t>Robinson v. Kroger Co.</w:t>
      </w:r>
      <w:r w:rsidRPr="004B1B48">
        <w:rPr>
          <w:rFonts w:ascii="Century Schoolbook" w:hAnsi="Century Schoolbook"/>
        </w:rPr>
        <w:t>, 268 Ga. 735, 739, 493 S.E.2d 403, 408 (1997)) (internal quotation marks omitted).</w:t>
      </w:r>
    </w:p>
  </w:endnote>
  <w:endnote w:id="23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290 Ga. 186, 718 S.E.2d 304 (2011).</w:t>
      </w:r>
    </w:p>
  </w:endnote>
  <w:endnote w:id="23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290 Ga. at 190-91, 718 S.E.2d at 309 (quoting </w:t>
      </w:r>
      <w:r w:rsidRPr="004B1B48">
        <w:rPr>
          <w:rFonts w:ascii="Century Schoolbook" w:hAnsi="Century Schoolbook"/>
          <w:i/>
        </w:rPr>
        <w:t>Leo v. Waffle House, Inc</w:t>
      </w:r>
      <w:r w:rsidRPr="004B1B48">
        <w:rPr>
          <w:rFonts w:ascii="Century Schoolbook" w:hAnsi="Century Schoolbook"/>
        </w:rPr>
        <w:t>., 298 Ga. App. 838, 841, 681 S.E.2d 258 (2009).</w:t>
      </w:r>
    </w:p>
  </w:endnote>
  <w:endnote w:id="23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Novare Group, Inc. v. Sarif</w:t>
      </w:r>
      <w:r w:rsidRPr="004B1B48">
        <w:rPr>
          <w:rFonts w:ascii="Century Schoolbook" w:hAnsi="Century Schoolbook"/>
        </w:rPr>
        <w:t xml:space="preserve">,  290 Ga. at 186, 718 S.E.2d at 306. </w:t>
      </w:r>
    </w:p>
  </w:endnote>
  <w:endnote w:id="23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3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290 Ga. at 187, 718 S.E.2d at 307. </w:t>
      </w:r>
    </w:p>
  </w:endnote>
  <w:endnote w:id="23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290 Ga. at 190, 718 S.E.2d at 309.</w:t>
      </w:r>
    </w:p>
  </w:endnote>
  <w:endnote w:id="23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p>
  </w:endnote>
  <w:endnote w:id="24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Charles R. Adams, III, </w:t>
      </w:r>
      <w:r w:rsidRPr="004B1B48">
        <w:rPr>
          <w:rFonts w:ascii="Century Schoolbook" w:hAnsi="Century Schoolbook"/>
          <w:i/>
        </w:rPr>
        <w:t>Georgia Law of Torts</w:t>
      </w:r>
      <w:r w:rsidRPr="004B1B48">
        <w:rPr>
          <w:rFonts w:ascii="Century Schoolbook" w:hAnsi="Century Schoolbook"/>
        </w:rPr>
        <w:t xml:space="preserve"> § 7-2 (2011-2012 ed.).</w:t>
      </w:r>
    </w:p>
  </w:endnote>
  <w:endnote w:id="24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42">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See</w:t>
      </w:r>
      <w:r w:rsidRPr="004B1B48">
        <w:rPr>
          <w:rFonts w:ascii="Century Schoolbook" w:hAnsi="Century Schoolbook"/>
        </w:rPr>
        <w:t xml:space="preserve"> O.C.G.A § 51-2-4 (2012) (“An employer generally is not responsible for torts committed by his employee when the employee exercises an independent business and in it is not subject to the immediate direction and control of the employer”).</w:t>
      </w:r>
    </w:p>
  </w:endnote>
  <w:endnote w:id="243">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See id.; see also</w:t>
      </w:r>
      <w:r w:rsidRPr="004B1B48">
        <w:rPr>
          <w:rFonts w:ascii="Century Schoolbook" w:hAnsi="Century Schoolbook"/>
        </w:rPr>
        <w:t xml:space="preserve"> Adams, </w:t>
      </w:r>
      <w:r w:rsidRPr="004B1B48">
        <w:rPr>
          <w:rFonts w:ascii="Century Schoolbook" w:hAnsi="Century Schoolbook"/>
          <w:i/>
        </w:rPr>
        <w:t>supra</w:t>
      </w:r>
      <w:r w:rsidRPr="004B1B48">
        <w:rPr>
          <w:rFonts w:ascii="Century Schoolbook" w:hAnsi="Century Schoolbook"/>
        </w:rPr>
        <w:t xml:space="preserve"> note 62, at § 8-1 (“An ‘independent contractor’ is one who, in the pursuit of his own independent business, undertakes to perform a task for another, while retaining for himself the right to control the means, method and manner of its accomplishment.”).</w:t>
      </w:r>
    </w:p>
  </w:endnote>
  <w:endnote w:id="24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311 Ga. App. 148, 715 S.E.2d 699 (2011). </w:t>
      </w:r>
    </w:p>
  </w:endnote>
  <w:endnote w:id="24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4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148, 715 S.E.2d at 701.</w:t>
      </w:r>
    </w:p>
  </w:endnote>
  <w:endnote w:id="24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148-49, 715 S.E.2d at 701-702.</w:t>
      </w:r>
    </w:p>
  </w:endnote>
  <w:endnote w:id="24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150, 715 S.E.2d at 702. </w:t>
      </w:r>
    </w:p>
  </w:endnote>
  <w:endnote w:id="24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(quoting </w:t>
      </w:r>
      <w:r w:rsidRPr="004B1B48">
        <w:rPr>
          <w:rFonts w:ascii="Century Schoolbook" w:hAnsi="Century Schoolbook"/>
          <w:i/>
        </w:rPr>
        <w:t>Slater v. Canal Wood Corp.</w:t>
      </w:r>
      <w:r w:rsidRPr="004B1B48">
        <w:rPr>
          <w:rFonts w:ascii="Century Schoolbook" w:hAnsi="Century Schoolbook"/>
        </w:rPr>
        <w:t>, 178 Ga. App. 877, 878, 345 S.E.2d 71 (1986)).</w:t>
      </w:r>
    </w:p>
  </w:endnote>
  <w:endnote w:id="25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Ga. Messenger Serv., Inc. v. Bradley, </w:t>
      </w:r>
      <w:r w:rsidRPr="004B1B48">
        <w:rPr>
          <w:rFonts w:ascii="Century Schoolbook" w:hAnsi="Century Schoolbook"/>
        </w:rPr>
        <w:t xml:space="preserve">311 Ga. App. at 150, 715 S.E.2d at 702. </w:t>
      </w:r>
    </w:p>
  </w:endnote>
  <w:endnote w:id="25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151, 715 S.E.2d at 703.</w:t>
      </w:r>
    </w:p>
  </w:endnote>
  <w:endnote w:id="252">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13-8-50 (2012); Ga. Const. of 1983, art. III, § 6, para. 5(c)(3).</w:t>
      </w:r>
    </w:p>
  </w:endnote>
  <w:endnote w:id="25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H.R. Res. 178, 150</w:t>
      </w:r>
      <w:r w:rsidRPr="004B1B48">
        <w:rPr>
          <w:rFonts w:ascii="Century Schoolbook" w:hAnsi="Century Schoolbook"/>
          <w:vertAlign w:val="superscript"/>
        </w:rPr>
        <w:t>th</w:t>
      </w:r>
      <w:r w:rsidRPr="004B1B48">
        <w:rPr>
          <w:rFonts w:ascii="Century Schoolbook" w:hAnsi="Century Schoolbook"/>
        </w:rPr>
        <w:t xml:space="preserve"> Gen. Assemb., Reg. Sess. (Ga. 2009); </w:t>
      </w:r>
      <w:r w:rsidRPr="004B1B48">
        <w:rPr>
          <w:rFonts w:ascii="Century Schoolbook" w:hAnsi="Century Schoolbook"/>
          <w:i/>
        </w:rPr>
        <w:t>See</w:t>
      </w:r>
      <w:r w:rsidRPr="004B1B48">
        <w:rPr>
          <w:rFonts w:ascii="Century Schoolbook" w:hAnsi="Century Schoolbook"/>
        </w:rPr>
        <w:t xml:space="preserve"> </w:t>
      </w:r>
      <w:r w:rsidRPr="004B1B48">
        <w:rPr>
          <w:rFonts w:ascii="Century Schoolbook" w:hAnsi="Century Schoolbook"/>
          <w:i/>
        </w:rPr>
        <w:t>Becham v. Synthes</w:t>
      </w:r>
      <w:r w:rsidRPr="004B1B48">
        <w:rPr>
          <w:rFonts w:ascii="Century Schoolbook" w:hAnsi="Century Schoolbook"/>
        </w:rPr>
        <w:t xml:space="preserve">, 2012 WL 1994604 (11th Cir. 2012). </w:t>
      </w:r>
    </w:p>
  </w:endnote>
  <w:endnote w:id="25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xml:space="preserve">, 2012 WL 1994604 at *1; </w:t>
      </w:r>
      <w:r w:rsidRPr="004B1B48">
        <w:rPr>
          <w:rFonts w:ascii="Century Schoolbook" w:hAnsi="Century Schoolbook"/>
          <w:i/>
        </w:rPr>
        <w:t>See</w:t>
      </w:r>
      <w:r w:rsidRPr="004B1B48">
        <w:rPr>
          <w:rFonts w:ascii="Century Schoolbook" w:hAnsi="Century Schoolbook"/>
        </w:rPr>
        <w:t xml:space="preserve"> 2009 – 1 Ga.Code Ann. Adv. Legis. Serv. 145, 162 (LexisNexis).</w:t>
      </w:r>
    </w:p>
  </w:endnote>
  <w:endnote w:id="25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2012 WL 1994604 at *1.</w:t>
      </w:r>
    </w:p>
  </w:endnote>
  <w:endnote w:id="25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5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5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(quoting 2011-2 Ga.Code Ann. Adv. Legis. Serv. 147 (LexisNexis)).</w:t>
      </w:r>
    </w:p>
  </w:endnote>
  <w:endnote w:id="259">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Wimberly, </w:t>
      </w:r>
      <w:r w:rsidRPr="004B1B48">
        <w:rPr>
          <w:rFonts w:ascii="Century Schoolbook" w:hAnsi="Century Schoolbook"/>
          <w:i/>
        </w:rPr>
        <w:t xml:space="preserve">infra </w:t>
      </w:r>
      <w:r w:rsidRPr="004B1B48">
        <w:rPr>
          <w:rFonts w:ascii="Century Schoolbook" w:hAnsi="Century Schoolbook"/>
        </w:rPr>
        <w:t>note 30.</w:t>
      </w:r>
    </w:p>
  </w:endnote>
  <w:endnote w:id="26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O.C.G.A. § 13-8-2(a)(2) (2012).</w:t>
      </w:r>
    </w:p>
  </w:endnote>
  <w:endnote w:id="261">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Wimberly, </w:t>
      </w:r>
      <w:r w:rsidRPr="004B1B48">
        <w:rPr>
          <w:rFonts w:ascii="Century Schoolbook" w:hAnsi="Century Schoolbook"/>
          <w:i/>
        </w:rPr>
        <w:t>infra</w:t>
      </w:r>
      <w:r w:rsidRPr="004B1B48">
        <w:rPr>
          <w:rFonts w:ascii="Century Schoolbook" w:hAnsi="Century Schoolbook"/>
        </w:rPr>
        <w:t xml:space="preserve"> note 30. </w:t>
      </w:r>
    </w:p>
  </w:endnote>
  <w:endnote w:id="262">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Ga. Const. of 1983, art. III, § 6, para. 5(3).</w:t>
      </w:r>
    </w:p>
  </w:endnote>
  <w:endnote w:id="263">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Cox v. Altus Healthcare &amp; Hospice, Inc.,</w:t>
      </w:r>
      <w:r w:rsidRPr="004B1B48">
        <w:rPr>
          <w:rFonts w:ascii="Century Schoolbook" w:hAnsi="Century Schoolbook"/>
        </w:rPr>
        <w:t xml:space="preserve"> 308 Ga. App. 28, 30, 706 S.E.2d 660, 664 (2011).</w:t>
      </w:r>
    </w:p>
  </w:endnote>
  <w:endnote w:id="264">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r w:rsidRPr="004B1B48">
        <w:rPr>
          <w:rFonts w:ascii="Century Schoolbook" w:hAnsi="Century Schoolbook"/>
          <w:i/>
        </w:rPr>
        <w:t>see</w:t>
      </w:r>
      <w:r w:rsidRPr="004B1B48">
        <w:rPr>
          <w:rFonts w:ascii="Century Schoolbook" w:hAnsi="Century Schoolbook"/>
        </w:rPr>
        <w:t xml:space="preserve"> </w:t>
      </w:r>
      <w:r w:rsidRPr="004B1B48">
        <w:rPr>
          <w:rFonts w:ascii="Century Schoolbook" w:hAnsi="Century Schoolbook"/>
          <w:i/>
        </w:rPr>
        <w:t>W.R. Grace &amp; Co. v. Mouyal</w:t>
      </w:r>
      <w:r w:rsidRPr="004B1B48">
        <w:rPr>
          <w:rFonts w:ascii="Century Schoolbook" w:hAnsi="Century Schoolbook"/>
        </w:rPr>
        <w:t>, 262 Ga. 464, 465, 422 S.E.2d 529, 531 (1992).</w:t>
      </w:r>
    </w:p>
  </w:endnote>
  <w:endnote w:id="265">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Sysco Food Servs., Inc. v. Chupp</w:t>
      </w:r>
      <w:r w:rsidRPr="004B1B48">
        <w:rPr>
          <w:rFonts w:ascii="Century Schoolbook" w:hAnsi="Century Schoolbook"/>
        </w:rPr>
        <w:t>, 225 Ga. App. 584, 585, 484 S.E.2d 323, 325 (1997).</w:t>
      </w:r>
    </w:p>
  </w:endnote>
  <w:endnote w:id="266">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Koger Props., Inc. v Adams-Cates Co.</w:t>
      </w:r>
      <w:r w:rsidRPr="004B1B48">
        <w:rPr>
          <w:rFonts w:ascii="Century Schoolbook" w:hAnsi="Century Schoolbook"/>
        </w:rPr>
        <w:t>, 247 Ga. 68, 69, 274 S.E.2d 329, 331 (1981).</w:t>
      </w:r>
    </w:p>
  </w:endnote>
  <w:endnote w:id="267">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See</w:t>
      </w:r>
      <w:r w:rsidRPr="004B1B48">
        <w:rPr>
          <w:rFonts w:ascii="Century Schoolbook" w:hAnsi="Century Schoolbook"/>
        </w:rPr>
        <w:t xml:space="preserve"> Wimberly, </w:t>
      </w:r>
      <w:r w:rsidRPr="004B1B48">
        <w:rPr>
          <w:rFonts w:ascii="Century Schoolbook" w:hAnsi="Century Schoolbook"/>
          <w:i/>
        </w:rPr>
        <w:t>infra</w:t>
      </w:r>
      <w:r w:rsidRPr="004B1B48">
        <w:rPr>
          <w:rFonts w:ascii="Century Schoolbook" w:hAnsi="Century Schoolbook"/>
        </w:rPr>
        <w:t xml:space="preserve"> note 30.</w:t>
      </w:r>
    </w:p>
  </w:endnote>
  <w:endnote w:id="268">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See id.</w:t>
      </w:r>
      <w:r w:rsidRPr="004B1B48">
        <w:rPr>
          <w:rFonts w:ascii="Century Schoolbook" w:hAnsi="Century Schoolbook"/>
        </w:rPr>
        <w:t>at 75.</w:t>
      </w:r>
    </w:p>
  </w:endnote>
  <w:endnote w:id="269">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Drumheller v. Drumheller Bag &amp; Supply, Inc.</w:t>
      </w:r>
      <w:r w:rsidRPr="004B1B48">
        <w:rPr>
          <w:rFonts w:ascii="Century Schoolbook" w:hAnsi="Century Schoolbook"/>
        </w:rPr>
        <w:t xml:space="preserve">, 204 Ga. App. 623, 626, 420 S.E.2d 331, 334 (1992) (quoting </w:t>
      </w:r>
      <w:r w:rsidRPr="004B1B48">
        <w:rPr>
          <w:rFonts w:ascii="Century Schoolbook" w:hAnsi="Century Schoolbook"/>
          <w:i/>
        </w:rPr>
        <w:t>Watson v. Waffle House, Inc.</w:t>
      </w:r>
      <w:r w:rsidRPr="004B1B48">
        <w:rPr>
          <w:rFonts w:ascii="Century Schoolbook" w:hAnsi="Century Schoolbook"/>
        </w:rPr>
        <w:t>, 253 Ga. 671, 672, 324 S.E.2d 175, 177 (1985)) (discussing that courts have held covenants not to compete “to be nonservable and ha[ve] held that overbreadth of one portion of the covenant so taints the entire covenant as to make it unenforceable”).</w:t>
      </w:r>
    </w:p>
  </w:endnote>
  <w:endnote w:id="270">
    <w:p w:rsidR="009053EE" w:rsidRPr="004B1B48" w:rsidRDefault="009053EE" w:rsidP="001B053B">
      <w:pPr>
        <w:pStyle w:val="EndnoteText"/>
        <w:spacing w:afterLines="120" w:after="288"/>
        <w:jc w:val="both"/>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Advance Tech. Consultants, Inc. v. RoadTrac, LLC</w:t>
      </w:r>
      <w:r w:rsidRPr="004B1B48">
        <w:rPr>
          <w:rFonts w:ascii="Century Schoolbook" w:hAnsi="Century Schoolbook"/>
        </w:rPr>
        <w:t xml:space="preserve">, 250 Ga. App. 317, 320, 551 S.E.2d 735, 737 (2001). The court in </w:t>
      </w:r>
      <w:r w:rsidRPr="004B1B48">
        <w:rPr>
          <w:rFonts w:ascii="Century Schoolbook" w:hAnsi="Century Schoolbook"/>
          <w:i/>
        </w:rPr>
        <w:t>Advance Technology Consultants, Inc.</w:t>
      </w:r>
      <w:r w:rsidRPr="004B1B48">
        <w:rPr>
          <w:rFonts w:ascii="Century Schoolbook" w:hAnsi="Century Schoolbook"/>
        </w:rPr>
        <w:t xml:space="preserve"> also stated that “Georgia courts have traditionally divided restrictive covenants into two categories: ‘covenants ancillary to an employment contract, which receive strict scrutiny and are not blue-penciled, and covenants ancillary to a sale of [a] business, which receive much less scrutiny and may be blue-penciled.’” (quoting </w:t>
      </w:r>
      <w:r w:rsidRPr="004B1B48">
        <w:rPr>
          <w:rFonts w:ascii="Century Schoolbook" w:hAnsi="Century Schoolbook"/>
          <w:i/>
        </w:rPr>
        <w:t>Habif, Arogeti &amp; Wynne, P.C. v. Baggett</w:t>
      </w:r>
      <w:r w:rsidRPr="004B1B48">
        <w:rPr>
          <w:rFonts w:ascii="Century Schoolbook" w:hAnsi="Century Schoolbook"/>
        </w:rPr>
        <w:t xml:space="preserve">, 231 Ga. App. 289, 289-90, 498 S.E.2d 346, 349 (1998)). However, the recent amendment to the Georgia Constitution permits courts to “blue pencil” restrictive covenants ancillary to employment contracts. </w:t>
      </w:r>
      <w:r w:rsidRPr="004B1B48">
        <w:rPr>
          <w:rFonts w:ascii="Century Schoolbook" w:hAnsi="Century Schoolbook"/>
          <w:i/>
        </w:rPr>
        <w:t xml:space="preserve">See supra </w:t>
      </w:r>
      <w:r w:rsidRPr="004B1B48">
        <w:rPr>
          <w:rFonts w:ascii="Century Schoolbook" w:hAnsi="Century Schoolbook"/>
        </w:rPr>
        <w:t xml:space="preserve">Part II.A; </w:t>
      </w:r>
      <w:r w:rsidRPr="004B1B48">
        <w:rPr>
          <w:rFonts w:ascii="Century Schoolbook" w:hAnsi="Century Schoolbook"/>
          <w:i/>
        </w:rPr>
        <w:t>see also supra</w:t>
      </w:r>
      <w:r w:rsidRPr="004B1B48">
        <w:rPr>
          <w:rFonts w:ascii="Century Schoolbook" w:hAnsi="Century Schoolbook"/>
        </w:rPr>
        <w:t xml:space="preserve"> text accompanying note 6.</w:t>
      </w:r>
    </w:p>
  </w:endnote>
  <w:endnote w:id="27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2012 WL 1994604 at *1.</w:t>
      </w:r>
    </w:p>
  </w:endnote>
  <w:endnote w:id="27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*2.</w:t>
      </w:r>
    </w:p>
  </w:endnote>
  <w:endnote w:id="27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p>
  </w:endnote>
  <w:endnote w:id="27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7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7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at *3.</w:t>
      </w:r>
    </w:p>
  </w:endnote>
  <w:endnote w:id="27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7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(citing </w:t>
      </w:r>
      <w:r w:rsidRPr="004B1B48">
        <w:rPr>
          <w:rFonts w:ascii="Century Schoolbook" w:hAnsi="Century Schoolbook"/>
          <w:i/>
        </w:rPr>
        <w:t>Carr v. Kupfer</w:t>
      </w:r>
      <w:r w:rsidRPr="004B1B48">
        <w:rPr>
          <w:rFonts w:ascii="Century Schoolbook" w:hAnsi="Century Schoolbook"/>
        </w:rPr>
        <w:t xml:space="preserve">, 250 Ga. 106, 296 S.E.2d 560, 562 (Ga. 1982)). </w:t>
      </w:r>
    </w:p>
  </w:endnote>
  <w:endnote w:id="27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xml:space="preserve">, 2012 WL 1994604 at *3 (citing </w:t>
      </w:r>
      <w:r w:rsidRPr="004B1B48">
        <w:rPr>
          <w:rFonts w:ascii="Century Schoolbook" w:hAnsi="Century Schoolbook"/>
          <w:i/>
        </w:rPr>
        <w:t>Nasco, Inc. v. Gimbert</w:t>
      </w:r>
      <w:r w:rsidRPr="004B1B48">
        <w:rPr>
          <w:rFonts w:ascii="Century Schoolbook" w:hAnsi="Century Schoolbook"/>
        </w:rPr>
        <w:t>, 239 Ga. 675, 238 S.E.2d 368, 369 (Ga. 1977)).</w:t>
      </w:r>
    </w:p>
  </w:endnote>
  <w:endnote w:id="28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xml:space="preserve">, 2012 WL 1994604 at *3. </w:t>
      </w:r>
    </w:p>
  </w:endnote>
  <w:endnote w:id="28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*4.</w:t>
      </w:r>
    </w:p>
  </w:endnote>
  <w:endnote w:id="28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8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28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(citing </w:t>
      </w:r>
      <w:r w:rsidRPr="004B1B48">
        <w:rPr>
          <w:rFonts w:ascii="Century Schoolbook" w:hAnsi="Century Schoolbook"/>
          <w:i/>
        </w:rPr>
        <w:t>Comm’rs of Roads &amp; Revenues v. Davis</w:t>
      </w:r>
      <w:r w:rsidRPr="004B1B48">
        <w:rPr>
          <w:rFonts w:ascii="Century Schoolbook" w:hAnsi="Century Schoolbook"/>
        </w:rPr>
        <w:t>, 213 Ga. 792, 102 S.E.2d 180, 182-83 (Ga. 1958).</w:t>
      </w:r>
    </w:p>
  </w:endnote>
  <w:endnote w:id="28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xml:space="preserve">, 2012 WL 1994604 at *4 (citing </w:t>
      </w:r>
      <w:r w:rsidRPr="004B1B48">
        <w:rPr>
          <w:rFonts w:ascii="Century Schoolbook" w:hAnsi="Century Schoolbook"/>
          <w:i/>
        </w:rPr>
        <w:t>Jackson &amp; Coker, Inc. v. Hart</w:t>
      </w:r>
      <w:r w:rsidRPr="004B1B48">
        <w:rPr>
          <w:rFonts w:ascii="Century Schoolbook" w:hAnsi="Century Schoolbook"/>
        </w:rPr>
        <w:t>, 261 Ga. 371, 405 S.E.2d 253, 254-55 (Ga. 1991)).</w:t>
      </w:r>
    </w:p>
  </w:endnote>
  <w:endnote w:id="28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2012 WL 1994604 at *4.</w:t>
      </w:r>
    </w:p>
  </w:endnote>
  <w:endnote w:id="28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i/>
        </w:rPr>
        <w:t xml:space="preserve"> Id</w:t>
      </w:r>
      <w:r w:rsidRPr="004B1B48">
        <w:rPr>
          <w:rFonts w:ascii="Century Schoolbook" w:hAnsi="Century Schoolbook"/>
        </w:rPr>
        <w:t xml:space="preserve">.; See </w:t>
      </w:r>
      <w:r w:rsidRPr="004B1B48">
        <w:rPr>
          <w:rFonts w:ascii="Century Schoolbook" w:hAnsi="Century Schoolbook"/>
          <w:i/>
        </w:rPr>
        <w:t>Davis</w:t>
      </w:r>
      <w:r w:rsidRPr="004B1B48">
        <w:rPr>
          <w:rFonts w:ascii="Century Schoolbook" w:hAnsi="Century Schoolbook"/>
        </w:rPr>
        <w:t xml:space="preserve">, 213 Ga. 792, 102 S.E.2d at 183 (citing </w:t>
      </w:r>
      <w:r w:rsidRPr="004B1B48">
        <w:rPr>
          <w:rFonts w:ascii="Century Schoolbook" w:hAnsi="Century Schoolbook"/>
          <w:i/>
        </w:rPr>
        <w:t>Grayson-Robinson Stores, Inc. v. Oneida, Ltd.</w:t>
      </w:r>
      <w:r w:rsidRPr="004B1B48">
        <w:rPr>
          <w:rFonts w:ascii="Century Schoolbook" w:hAnsi="Century Schoolbook"/>
        </w:rPr>
        <w:t>, 209 Ga. 613, 75 S.E.2d 161, 164 (Ga. 1953)).</w:t>
      </w:r>
    </w:p>
  </w:endnote>
  <w:endnote w:id="28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2012 WL 1994604 at *4</w:t>
      </w:r>
      <w:r w:rsidRPr="004B1B48">
        <w:rPr>
          <w:rFonts w:ascii="Century Schoolbook" w:hAnsi="Century Schoolbook"/>
          <w:i/>
        </w:rPr>
        <w:t xml:space="preserve"> </w:t>
      </w:r>
      <w:r w:rsidRPr="004B1B48">
        <w:rPr>
          <w:rFonts w:ascii="Century Schoolbook" w:hAnsi="Century Schoolbook"/>
        </w:rPr>
        <w:t>(quoting 2011-2 Ga. Code Ann. Adv. Legis. Serv. 147 (LexisNexis)).</w:t>
      </w:r>
    </w:p>
  </w:endnote>
  <w:endnote w:id="28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Becham</w:t>
      </w:r>
      <w:r w:rsidRPr="004B1B48">
        <w:rPr>
          <w:rFonts w:ascii="Century Schoolbook" w:hAnsi="Century Schoolbook"/>
        </w:rPr>
        <w:t xml:space="preserve">, 2012 WL 1994604 at *4. </w:t>
      </w:r>
    </w:p>
  </w:endnote>
  <w:endnote w:id="29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*6.</w:t>
      </w:r>
    </w:p>
  </w:endnote>
  <w:endnote w:id="29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805 F. Supp. 2d 1362 (N.D. Ga. 2011). </w:t>
      </w:r>
    </w:p>
  </w:endnote>
  <w:endnote w:id="29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29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1366. </w:t>
      </w:r>
    </w:p>
  </w:endnote>
  <w:endnote w:id="29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1368. </w:t>
      </w:r>
    </w:p>
  </w:endnote>
  <w:endnote w:id="29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p>
  </w:endnote>
  <w:endnote w:id="29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1367. </w:t>
      </w:r>
    </w:p>
  </w:endnote>
  <w:endnote w:id="29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1368. </w:t>
      </w:r>
    </w:p>
  </w:endnote>
  <w:endnote w:id="29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r w:rsidRPr="004B1B48">
        <w:rPr>
          <w:rFonts w:ascii="Century Schoolbook" w:hAnsi="Century Schoolbook"/>
        </w:rPr>
        <w:t xml:space="preserve">at 1369. </w:t>
      </w:r>
    </w:p>
  </w:endnote>
  <w:endnote w:id="29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r w:rsidRPr="004B1B48">
        <w:rPr>
          <w:rFonts w:ascii="Century Schoolbook" w:hAnsi="Century Schoolbook"/>
        </w:rPr>
        <w:t xml:space="preserve">(citing </w:t>
      </w:r>
      <w:r w:rsidRPr="004B1B48">
        <w:rPr>
          <w:rFonts w:ascii="Century Schoolbook" w:hAnsi="Century Schoolbook"/>
          <w:i/>
        </w:rPr>
        <w:t>Bunker Hill Int’l, Ltd. V. Nationsbuilder Ins. Servs., In</w:t>
      </w:r>
      <w:r w:rsidRPr="004B1B48">
        <w:rPr>
          <w:rFonts w:ascii="Century Schoolbook" w:hAnsi="Century Schoolbook"/>
        </w:rPr>
        <w:t>c., 309 Ga. App. 503, 710 S.E.2d 662 (2011)).</w:t>
      </w:r>
    </w:p>
  </w:endnote>
  <w:endnote w:id="30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Boone</w:t>
      </w:r>
      <w:r w:rsidRPr="004B1B48">
        <w:rPr>
          <w:rFonts w:ascii="Century Schoolbook" w:hAnsi="Century Schoolbook"/>
        </w:rPr>
        <w:t xml:space="preserve">, 805 F. Supp. 2d at 1369. </w:t>
      </w:r>
    </w:p>
  </w:endnote>
  <w:endnote w:id="30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r w:rsidRPr="004B1B48">
        <w:rPr>
          <w:rFonts w:ascii="Century Schoolbook" w:hAnsi="Century Schoolbook"/>
        </w:rPr>
        <w:t xml:space="preserve">(citing </w:t>
      </w:r>
      <w:r w:rsidRPr="004B1B48">
        <w:rPr>
          <w:rFonts w:ascii="Century Schoolbook" w:hAnsi="Century Schoolbook"/>
          <w:i/>
        </w:rPr>
        <w:t>Convergys Corp. v. Keener</w:t>
      </w:r>
      <w:r w:rsidRPr="004B1B48">
        <w:rPr>
          <w:rFonts w:ascii="Century Schoolbook" w:hAnsi="Century Schoolbook"/>
        </w:rPr>
        <w:t>, 276 Ga. 808, 582 S.E.2d 84, 85-86 (2003)).</w:t>
      </w:r>
    </w:p>
  </w:endnote>
  <w:endnote w:id="30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Murphree v. Yancey Bros. Co</w:t>
      </w:r>
      <w:r w:rsidRPr="004B1B48">
        <w:rPr>
          <w:rFonts w:ascii="Century Schoolbook" w:hAnsi="Century Schoolbook"/>
        </w:rPr>
        <w:t xml:space="preserve">., 311 Ga. App. 744, 716 S.E.2d 824 (2011). </w:t>
      </w:r>
    </w:p>
  </w:endnote>
  <w:endnote w:id="30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744-45, 716 S.E.2d at 825.</w:t>
      </w:r>
    </w:p>
  </w:endnote>
  <w:endnote w:id="30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745, 716 S.E.2d at 825-26. </w:t>
      </w:r>
    </w:p>
  </w:endnote>
  <w:endnote w:id="30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746, 716 S.E.2d at 826. </w:t>
      </w:r>
    </w:p>
  </w:endnote>
  <w:endnote w:id="30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30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311 Ga. App. at 747-48, 716 S.E.2d at 827 (quoting </w:t>
      </w:r>
      <w:r w:rsidRPr="004B1B48">
        <w:rPr>
          <w:rFonts w:ascii="Century Schoolbook" w:hAnsi="Century Schoolbook"/>
          <w:i/>
        </w:rPr>
        <w:t>Reardigan v. Shaw Indus., Inc.</w:t>
      </w:r>
      <w:r w:rsidRPr="004B1B48">
        <w:rPr>
          <w:rFonts w:ascii="Century Schoolbook" w:hAnsi="Century Schoolbook"/>
        </w:rPr>
        <w:t>, 238 Ga. App. 142, 143, 518 S.E.2d 144 (1999)).</w:t>
      </w:r>
    </w:p>
  </w:endnote>
  <w:endnote w:id="30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Murphree</w:t>
      </w:r>
      <w:r w:rsidRPr="004B1B48">
        <w:rPr>
          <w:rFonts w:ascii="Century Schoolbook" w:hAnsi="Century Schoolbook"/>
        </w:rPr>
        <w:t>, 311 Ga. App. at 747, 716 S.E.2d at 827.</w:t>
      </w:r>
    </w:p>
  </w:endnote>
  <w:endnote w:id="30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r w:rsidRPr="004B1B48">
        <w:rPr>
          <w:rFonts w:ascii="Century Schoolbook" w:hAnsi="Century Schoolbook"/>
        </w:rPr>
        <w:t xml:space="preserve">311 Ga. App. at 748-49, 716 S.E.2d at 828. </w:t>
      </w:r>
    </w:p>
  </w:endnote>
  <w:endnote w:id="31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Id., </w:t>
      </w:r>
      <w:r w:rsidRPr="004B1B48">
        <w:rPr>
          <w:rFonts w:ascii="Century Schoolbook" w:hAnsi="Century Schoolbook"/>
        </w:rPr>
        <w:t xml:space="preserve">311 Ga. App. at 749, 716 S.E.2d at 828 (citing </w:t>
      </w:r>
      <w:r w:rsidRPr="004B1B48">
        <w:rPr>
          <w:rFonts w:ascii="Century Schoolbook" w:hAnsi="Century Schoolbook"/>
          <w:i/>
        </w:rPr>
        <w:t>Habif, Argoti &amp; Wynne, P.C.</w:t>
      </w:r>
      <w:r w:rsidRPr="004B1B48">
        <w:rPr>
          <w:rFonts w:ascii="Century Schoolbook" w:hAnsi="Century Schoolbook"/>
        </w:rPr>
        <w:t xml:space="preserve">, 231 Ga. App. 289, 298, 498 S.E.2d 346; </w:t>
      </w:r>
      <w:r w:rsidRPr="004B1B48">
        <w:rPr>
          <w:rFonts w:ascii="Century Schoolbook" w:hAnsi="Century Schoolbook"/>
          <w:i/>
        </w:rPr>
        <w:t>Cf.</w:t>
      </w:r>
      <w:r w:rsidRPr="004B1B48">
        <w:rPr>
          <w:rFonts w:ascii="Century Schoolbook" w:hAnsi="Century Schoolbook"/>
        </w:rPr>
        <w:t xml:space="preserve"> </w:t>
      </w:r>
      <w:r w:rsidRPr="004B1B48">
        <w:rPr>
          <w:rFonts w:ascii="Century Schoolbook" w:hAnsi="Century Schoolbook"/>
          <w:i/>
        </w:rPr>
        <w:t>Waldeck v. Curtis 1000, Inc.</w:t>
      </w:r>
      <w:r w:rsidRPr="004B1B48">
        <w:rPr>
          <w:rFonts w:ascii="Century Schoolbook" w:hAnsi="Century Schoolbook"/>
        </w:rPr>
        <w:t xml:space="preserve">, 261 Ga. App. 590, 592, 583 S.E.2d 266 (2003)(“[A] covenant prohibiting a former employee from merely accepting business, without any solicitation, is not reasonable.”). </w:t>
      </w:r>
    </w:p>
  </w:endnote>
  <w:endnote w:id="31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Murphree</w:t>
      </w:r>
      <w:r w:rsidRPr="004B1B48">
        <w:rPr>
          <w:rFonts w:ascii="Century Schoolbook" w:hAnsi="Century Schoolbook"/>
        </w:rPr>
        <w:t>, 311 Ga. App. at 749, 716 S.E.2d at 828.</w:t>
      </w:r>
    </w:p>
  </w:endnote>
  <w:endnote w:id="312">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2012 WL 210889 (M.D. Ga. 2012). </w:t>
      </w:r>
    </w:p>
  </w:endnote>
  <w:endnote w:id="313">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*2.</w:t>
      </w:r>
    </w:p>
  </w:endnote>
  <w:endnote w:id="314">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(quoting </w:t>
      </w:r>
      <w:r w:rsidRPr="004B1B48">
        <w:rPr>
          <w:rFonts w:ascii="Century Schoolbook" w:hAnsi="Century Schoolbook"/>
          <w:i/>
        </w:rPr>
        <w:t>Atlanta Bread Co. Int’l v. Lupton-Smith</w:t>
      </w:r>
      <w:r w:rsidRPr="004B1B48">
        <w:rPr>
          <w:rFonts w:ascii="Century Schoolbook" w:hAnsi="Century Schoolbook"/>
        </w:rPr>
        <w:t>, 285 Ga. 587, 589-90, 679 S.E.2d 722, 723 (2009)).</w:t>
      </w:r>
    </w:p>
  </w:endnote>
  <w:endnote w:id="315">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Fantastic Sams Salons Corp.,</w:t>
      </w:r>
      <w:r w:rsidRPr="004B1B48">
        <w:rPr>
          <w:rFonts w:ascii="Century Schoolbook" w:hAnsi="Century Schoolbook"/>
        </w:rPr>
        <w:t xml:space="preserve"> 2012 WL 210889 at *4.</w:t>
      </w:r>
    </w:p>
  </w:endnote>
  <w:endnote w:id="316">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2012 WL 1014827 (S.D. Ga. 2012).</w:t>
      </w:r>
    </w:p>
  </w:endnote>
  <w:endnote w:id="317">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318">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p>
  </w:endnote>
  <w:endnote w:id="319">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w:t>
      </w:r>
    </w:p>
  </w:endnote>
  <w:endnote w:id="320">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Id.</w:t>
      </w:r>
      <w:r w:rsidRPr="004B1B48">
        <w:rPr>
          <w:rFonts w:ascii="Century Schoolbook" w:hAnsi="Century Schoolbook"/>
        </w:rPr>
        <w:t xml:space="preserve"> at *5 (citing </w:t>
      </w:r>
      <w:r w:rsidRPr="004B1B48">
        <w:rPr>
          <w:rFonts w:ascii="Century Schoolbook" w:hAnsi="Century Schoolbook"/>
          <w:i/>
        </w:rPr>
        <w:t xml:space="preserve">Boone </w:t>
      </w:r>
      <w:r w:rsidRPr="004B1B48">
        <w:rPr>
          <w:rFonts w:ascii="Century Schoolbook" w:hAnsi="Century Schoolbook"/>
        </w:rPr>
        <w:t>, 805 F. Supp. 2d  at 1369).</w:t>
      </w:r>
    </w:p>
  </w:endnote>
  <w:endnote w:id="321">
    <w:p w:rsidR="009053EE" w:rsidRPr="004B1B48" w:rsidRDefault="009053EE" w:rsidP="001B053B">
      <w:pPr>
        <w:pStyle w:val="EndnoteText"/>
        <w:spacing w:afterLines="120" w:after="288"/>
        <w:rPr>
          <w:rFonts w:ascii="Century Schoolbook" w:hAnsi="Century Schoolbook"/>
        </w:rPr>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Clark, </w:t>
      </w:r>
      <w:r w:rsidRPr="004B1B48">
        <w:rPr>
          <w:rFonts w:ascii="Century Schoolbook" w:hAnsi="Century Schoolbook"/>
        </w:rPr>
        <w:t xml:space="preserve">2012 WL 1014827 at *6 (citing </w:t>
      </w:r>
      <w:r w:rsidRPr="004B1B48">
        <w:rPr>
          <w:rFonts w:ascii="Century Schoolbook" w:hAnsi="Century Schoolbook"/>
          <w:i/>
        </w:rPr>
        <w:t>Uni-Worth Enters. v. Wilson</w:t>
      </w:r>
      <w:r w:rsidRPr="004B1B48">
        <w:rPr>
          <w:rFonts w:ascii="Century Schoolbook" w:hAnsi="Century Schoolbook"/>
        </w:rPr>
        <w:t>, 244 Ga. 636, 638-39, 261 S.E.2d 572, 575 (1979)).</w:t>
      </w:r>
    </w:p>
  </w:endnote>
  <w:endnote w:id="322">
    <w:p w:rsidR="009053EE" w:rsidRDefault="009053EE" w:rsidP="001B053B">
      <w:pPr>
        <w:pStyle w:val="EndnoteText"/>
        <w:spacing w:afterLines="120" w:after="288"/>
      </w:pPr>
      <w:r w:rsidRPr="004B1B48">
        <w:rPr>
          <w:rStyle w:val="EndnoteReference"/>
          <w:rFonts w:ascii="Century Schoolbook" w:hAnsi="Century Schoolbook"/>
        </w:rPr>
        <w:endnoteRef/>
      </w:r>
      <w:r w:rsidRPr="004B1B48">
        <w:rPr>
          <w:rFonts w:ascii="Century Schoolbook" w:hAnsi="Century Schoolbook"/>
        </w:rPr>
        <w:t xml:space="preserve"> </w:t>
      </w:r>
      <w:r w:rsidRPr="004B1B48">
        <w:rPr>
          <w:rFonts w:ascii="Century Schoolbook" w:hAnsi="Century Schoolbook"/>
          <w:i/>
        </w:rPr>
        <w:t xml:space="preserve">Clark, </w:t>
      </w:r>
      <w:r w:rsidRPr="004B1B48">
        <w:rPr>
          <w:rFonts w:ascii="Century Schoolbook" w:hAnsi="Century Schoolbook"/>
        </w:rPr>
        <w:t>2012 WL 1014827 at *6</w:t>
      </w:r>
      <w:r w:rsidRPr="004B1B48">
        <w:rPr>
          <w:rFonts w:ascii="Century Schoolbook" w:hAnsi="Century Schoolbook"/>
          <w:i/>
        </w:rPr>
        <w:t>.</w:t>
      </w:r>
      <w:r>
        <w:t xml:space="preserve"> </w:t>
      </w:r>
    </w:p>
  </w:endnote>
  <w:endnote w:id="323">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Pr>
          <w:rFonts w:ascii="Century Schoolbook" w:hAnsi="Century Schoolbook"/>
        </w:rPr>
        <w:t xml:space="preserve"> </w:t>
      </w:r>
      <w:r w:rsidRPr="00353986">
        <w:rPr>
          <w:rStyle w:val="Emphasis"/>
          <w:rFonts w:ascii="Century Schoolbook" w:hAnsi="Century Schoolbook"/>
          <w:i w:val="0"/>
          <w:lang w:val="en"/>
        </w:rPr>
        <w:t xml:space="preserve">No. A12A1525, 2012 WL 6604612 (Ga. App. Nov. 27, 2012). </w:t>
      </w:r>
      <w:r w:rsidRPr="00353986">
        <w:rPr>
          <w:rStyle w:val="Emphasis"/>
          <w:rFonts w:ascii="Century Schoolbook" w:hAnsi="Century Schoolbook"/>
          <w:lang w:val="en"/>
        </w:rPr>
        <w:t>Samuels</w:t>
      </w:r>
      <w:r w:rsidRPr="00353986">
        <w:rPr>
          <w:rStyle w:val="Emphasis"/>
          <w:rFonts w:ascii="Century Schoolbook" w:hAnsi="Century Schoolbook"/>
          <w:i w:val="0"/>
          <w:lang w:val="en"/>
        </w:rPr>
        <w:t xml:space="preserve"> was originally published at 319 Ga. App. 421, 734 S.E.2d 758 (2012). The opinion, however, was withdrawn from the bound volume for the court to add an opinion on a motion for reconsideration that was filed on an unrelated issue.  The court’s opinion on the motion for reconsideration did not disturb the court’s original reversal of the trial court’s grant of summary judgment in favor of the defendant.  All three judges participating in the decision of the case agreed on the ruling for the motion for reconsideration as well as for the original decision, and there is no indication in the opinion that the updated decision will not be published in upcoming case reporters.</w:t>
      </w:r>
    </w:p>
  </w:endnote>
  <w:endnote w:id="324">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173 Ga. App. 177, 178, 325 S.E.2d 844 (1984).</w:t>
      </w:r>
    </w:p>
  </w:endnote>
  <w:endnote w:id="325">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224 Ga. App. 801, 482 S.E.2d 463 (1997).</w:t>
      </w:r>
    </w:p>
  </w:endnote>
  <w:endnote w:id="326">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307 Ga. App. 739, 706 S.E.2d 676 (2011).</w:t>
      </w:r>
    </w:p>
  </w:endnote>
  <w:endnote w:id="327">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233 Ga. App. 550, 504 S.E.2d 204 (1998).</w:t>
      </w:r>
    </w:p>
  </w:endnote>
  <w:endnote w:id="328">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201 Ga. App. 830, 831, 412 S.E.2d 853 (1991).</w:t>
      </w:r>
    </w:p>
  </w:endnote>
  <w:endnote w:id="329">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i/>
        </w:rPr>
        <w:t>Id</w:t>
      </w:r>
      <w:r w:rsidRPr="00353986">
        <w:rPr>
          <w:rFonts w:ascii="Century Schoolbook" w:hAnsi="Century Schoolbook"/>
        </w:rPr>
        <w:t>.</w:t>
      </w:r>
    </w:p>
  </w:endnote>
  <w:endnote w:id="330">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215 Ga. App. 809, 452 S.E.2d 768 (1994).</w:t>
      </w:r>
    </w:p>
  </w:endnote>
  <w:endnote w:id="331">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i/>
        </w:rPr>
        <w:t>Id.</w:t>
      </w:r>
      <w:r w:rsidRPr="00353986">
        <w:rPr>
          <w:rFonts w:ascii="Century Schoolbook" w:hAnsi="Century Schoolbook"/>
        </w:rPr>
        <w:t>, 215 Ga. App. at 812.</w:t>
      </w:r>
    </w:p>
  </w:endnote>
  <w:endnote w:id="332">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Pr>
          <w:rFonts w:ascii="Century Schoolbook" w:hAnsi="Century Schoolbook"/>
        </w:rPr>
        <w:t xml:space="preserve"> </w:t>
      </w:r>
      <w:r w:rsidRPr="00353986">
        <w:rPr>
          <w:rFonts w:ascii="Century Schoolbook" w:hAnsi="Century Schoolbook"/>
          <w:lang w:val="en"/>
        </w:rPr>
        <w:t>235 Ga. App. 156, 159-60, 508 S.E.2d 783 (1998).</w:t>
      </w:r>
    </w:p>
  </w:endnote>
  <w:endnote w:id="333">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i/>
        </w:rPr>
        <w:t>Id.</w:t>
      </w:r>
      <w:r w:rsidRPr="00353986">
        <w:rPr>
          <w:rFonts w:ascii="Century Schoolbook" w:hAnsi="Century Schoolbook"/>
        </w:rPr>
        <w:t xml:space="preserve">, 235 Ga. App. at 159, </w:t>
      </w:r>
      <w:r w:rsidRPr="00353986">
        <w:rPr>
          <w:rFonts w:ascii="Century Schoolbook" w:hAnsi="Century Schoolbook"/>
          <w:lang w:val="en"/>
        </w:rPr>
        <w:t>508 S.E.2d 783</w:t>
      </w:r>
      <w:r w:rsidRPr="00353986">
        <w:rPr>
          <w:rFonts w:ascii="Century Schoolbook" w:hAnsi="Century Schoolbook"/>
        </w:rPr>
        <w:t xml:space="preserve">. </w:t>
      </w:r>
    </w:p>
  </w:endnote>
  <w:endnote w:id="334">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Style w:val="Emphasis"/>
          <w:rFonts w:ascii="Century Schoolbook" w:hAnsi="Century Schoolbook"/>
          <w:i w:val="0"/>
          <w:lang w:val="en"/>
        </w:rPr>
        <w:t>No. A12A1525, 2012 WL 6604612 (Ga. App. Nov. 27, 2012).</w:t>
      </w:r>
    </w:p>
  </w:endnote>
  <w:endnote w:id="335">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i/>
        </w:rPr>
        <w:t>Samuels</w:t>
      </w:r>
      <w:r w:rsidRPr="00353986">
        <w:rPr>
          <w:rFonts w:ascii="Century Schoolbook" w:hAnsi="Century Schoolbook"/>
        </w:rPr>
        <w:t xml:space="preserve">, </w:t>
      </w:r>
      <w:r w:rsidRPr="00353986">
        <w:rPr>
          <w:rStyle w:val="Emphasis"/>
          <w:rFonts w:ascii="Century Schoolbook" w:hAnsi="Century Schoolbook"/>
          <w:i w:val="0"/>
          <w:lang w:val="en"/>
        </w:rPr>
        <w:t xml:space="preserve">No. A12A1525, </w:t>
      </w:r>
      <w:r w:rsidRPr="00353986">
        <w:rPr>
          <w:rFonts w:ascii="Century Schoolbook" w:hAnsi="Century Schoolbook"/>
        </w:rPr>
        <w:t xml:space="preserve">slip. op. at 2 </w:t>
      </w:r>
      <w:r w:rsidRPr="00353986">
        <w:rPr>
          <w:rStyle w:val="Emphasis"/>
          <w:rFonts w:ascii="Century Schoolbook" w:hAnsi="Century Schoolbook"/>
          <w:i w:val="0"/>
          <w:lang w:val="en"/>
        </w:rPr>
        <w:t>(</w:t>
      </w:r>
      <w:r w:rsidRPr="00353986">
        <w:rPr>
          <w:rStyle w:val="Emphasis"/>
          <w:rFonts w:ascii="Century Schoolbook" w:hAnsi="Century Schoolbook"/>
          <w:lang w:val="en"/>
        </w:rPr>
        <w:t>quoting Food Lion v. Walker</w:t>
      </w:r>
      <w:r w:rsidRPr="00353986">
        <w:rPr>
          <w:rStyle w:val="Emphasis"/>
          <w:rFonts w:ascii="Century Schoolbook" w:hAnsi="Century Schoolbook"/>
          <w:i w:val="0"/>
          <w:lang w:val="en"/>
        </w:rPr>
        <w:t>, 290 Ga. App. 574, 576, 660 S.E.2d 426 (2008)).</w:t>
      </w:r>
    </w:p>
  </w:endnote>
  <w:endnote w:id="336">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Style w:val="Emphasis"/>
          <w:rFonts w:ascii="Century Schoolbook" w:hAnsi="Century Schoolbook"/>
          <w:lang w:val="en"/>
        </w:rPr>
        <w:t>See Brown v. Host/Taco Joint Venture</w:t>
      </w:r>
      <w:r w:rsidRPr="00353986">
        <w:rPr>
          <w:rStyle w:val="Emphasis"/>
          <w:rFonts w:ascii="Century Schoolbook" w:hAnsi="Century Schoolbook"/>
          <w:i w:val="0"/>
          <w:lang w:val="en"/>
        </w:rPr>
        <w:t xml:space="preserve">, 305 Ga. App. 248, 251, 699 S.E.2d 439 (2010); </w:t>
      </w:r>
      <w:r w:rsidRPr="00353986">
        <w:rPr>
          <w:rStyle w:val="Emphasis"/>
          <w:rFonts w:ascii="Century Schoolbook" w:hAnsi="Century Schoolbook"/>
          <w:lang w:val="en"/>
        </w:rPr>
        <w:t>Chastain v. CF Ga. North Dekalb L.P.</w:t>
      </w:r>
      <w:r w:rsidRPr="00353986">
        <w:rPr>
          <w:rStyle w:val="Emphasis"/>
          <w:rFonts w:ascii="Century Schoolbook" w:hAnsi="Century Schoolbook"/>
          <w:i w:val="0"/>
          <w:lang w:val="en"/>
        </w:rPr>
        <w:t xml:space="preserve">, 256 Ga. App. 802, 803-04, 569 S.E.2d 914 (2002); </w:t>
      </w:r>
      <w:r w:rsidRPr="00353986">
        <w:rPr>
          <w:rStyle w:val="Emphasis"/>
          <w:rFonts w:ascii="Century Schoolbook" w:hAnsi="Century Schoolbook"/>
          <w:lang w:val="en"/>
        </w:rPr>
        <w:t>Lindsey v. Ga. Bldg. Auth.</w:t>
      </w:r>
      <w:r w:rsidRPr="00353986">
        <w:rPr>
          <w:rStyle w:val="Emphasis"/>
          <w:rFonts w:ascii="Century Schoolbook" w:hAnsi="Century Schoolbook"/>
          <w:i w:val="0"/>
          <w:lang w:val="en"/>
        </w:rPr>
        <w:t xml:space="preserve">, 235 Ga. App. 718, 720, 509 S.E.2d 749 (1998); </w:t>
      </w:r>
      <w:r w:rsidRPr="00353986">
        <w:rPr>
          <w:rStyle w:val="Emphasis"/>
          <w:rFonts w:ascii="Century Schoolbook" w:hAnsi="Century Schoolbook"/>
          <w:lang w:val="en"/>
        </w:rPr>
        <w:t>Rodriquez v. City of Augusta</w:t>
      </w:r>
      <w:r w:rsidRPr="00353986">
        <w:rPr>
          <w:rStyle w:val="Emphasis"/>
          <w:rFonts w:ascii="Century Schoolbook" w:hAnsi="Century Schoolbook"/>
          <w:i w:val="0"/>
          <w:lang w:val="en"/>
        </w:rPr>
        <w:t>, 222 Ga. App. 383, 384, 474 S.E.2d 278 (1996).</w:t>
      </w:r>
    </w:p>
  </w:endnote>
  <w:endnote w:id="337">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i/>
        </w:rPr>
        <w:t>Samuels</w:t>
      </w:r>
      <w:r w:rsidRPr="00353986">
        <w:rPr>
          <w:rFonts w:ascii="Century Schoolbook" w:hAnsi="Century Schoolbook"/>
        </w:rPr>
        <w:t>, No. A12A1525, slip. op. at 3.</w:t>
      </w:r>
    </w:p>
  </w:endnote>
  <w:endnote w:id="338">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Style w:val="Emphasis"/>
          <w:rFonts w:ascii="Century Schoolbook" w:hAnsi="Century Schoolbook"/>
          <w:i w:val="0"/>
          <w:lang w:val="en"/>
        </w:rPr>
        <w:t>305 Ga. App. 248, 699 S.E.2d 439 (2010).</w:t>
      </w:r>
    </w:p>
  </w:endnote>
  <w:endnote w:id="339">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Style w:val="Emphasis"/>
          <w:rFonts w:ascii="Century Schoolbook" w:hAnsi="Century Schoolbook"/>
          <w:i w:val="0"/>
          <w:lang w:val="en"/>
        </w:rPr>
        <w:t>222 Ga. App. 383, 474 S.E.2d 278 (1996).</w:t>
      </w:r>
    </w:p>
  </w:endnote>
  <w:endnote w:id="340">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235 Ga. App. 156, 159-160, 508 S.E.2d 783 (1998).</w:t>
      </w:r>
    </w:p>
  </w:endnote>
  <w:endnote w:id="341">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215 Ga. App. 809, 452 S.E.2d 768 (1994).</w:t>
      </w:r>
    </w:p>
  </w:endnote>
  <w:endnote w:id="342">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201 Ga. App. 830, 831, 412 S.E.2d 853 (1991).</w:t>
      </w:r>
    </w:p>
  </w:endnote>
  <w:endnote w:id="343">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224 Ga. App. 801, 482 S.E.2d 463 (1997).</w:t>
      </w:r>
    </w:p>
  </w:endnote>
  <w:endnote w:id="344">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lang w:val="en"/>
        </w:rPr>
        <w:t>173 Ga. App. 177, 178, 325 S.E.2d 844 (1984).</w:t>
      </w:r>
    </w:p>
  </w:endnote>
  <w:endnote w:id="345">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w:t>
      </w:r>
      <w:r w:rsidRPr="00353986">
        <w:rPr>
          <w:rFonts w:ascii="Century Schoolbook" w:hAnsi="Century Schoolbook"/>
          <w:i/>
        </w:rPr>
        <w:t>See, e.g., Medders v. The Kroger Co.</w:t>
      </w:r>
      <w:r w:rsidRPr="00353986">
        <w:rPr>
          <w:rFonts w:ascii="Century Schoolbook" w:hAnsi="Century Schoolbook"/>
        </w:rPr>
        <w:t>, 257 Ga. App. 876, 572 S.E.2d 386 (2002).</w:t>
      </w:r>
    </w:p>
  </w:endnote>
  <w:endnote w:id="346">
    <w:p w:rsidR="009053EE" w:rsidRPr="00353986" w:rsidRDefault="009053EE" w:rsidP="00FE60BD">
      <w:pPr>
        <w:pStyle w:val="EndnoteText"/>
        <w:spacing w:after="120"/>
        <w:jc w:val="both"/>
        <w:rPr>
          <w:rFonts w:ascii="Century Schoolbook" w:hAnsi="Century Schoolbook"/>
        </w:rPr>
      </w:pPr>
      <w:r w:rsidRPr="00353986">
        <w:rPr>
          <w:rStyle w:val="EndnoteReference"/>
          <w:rFonts w:ascii="Century Schoolbook" w:hAnsi="Century Schoolbook"/>
        </w:rPr>
        <w:endnoteRef/>
      </w:r>
      <w:r w:rsidRPr="00353986">
        <w:rPr>
          <w:rFonts w:ascii="Century Schoolbook" w:hAnsi="Century Schoolbook"/>
        </w:rPr>
        <w:t xml:space="preserve"> O.C.G.A. § 51-12-33(g).</w:t>
      </w:r>
    </w:p>
  </w:endnote>
  <w:endnote w:id="34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319 Ga. App. 400, 736 S.E.2d 463 (2012).  </w:t>
      </w:r>
    </w:p>
  </w:endnote>
  <w:endnote w:id="34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4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319 Ga. App. at 401, 736 S.E.2d 463.</w:t>
      </w:r>
    </w:p>
  </w:endnote>
  <w:endnote w:id="35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5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319 Ga. App. at 404, 736 S.E.2d 463.  </w:t>
      </w:r>
    </w:p>
  </w:endnote>
  <w:endnote w:id="35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5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319 Ga. App. at 405, 736 S.E.2d 463.</w:t>
      </w:r>
    </w:p>
  </w:endnote>
  <w:endnote w:id="35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319 Ga. App. at 406, 736 S.E.2d 463.</w:t>
      </w:r>
    </w:p>
  </w:endnote>
  <w:endnote w:id="35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319 Ga. App. at 407-08, 736 S.E.2d 463.</w:t>
      </w:r>
    </w:p>
  </w:endnote>
  <w:endnote w:id="35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316 Ga. App. 152, 728 S.E.2d 787 (2012).  </w:t>
      </w:r>
    </w:p>
  </w:endnote>
  <w:endnote w:id="35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5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5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 xml:space="preserve">Payne v. Twiggs County School Dist., </w:t>
      </w:r>
      <w:r w:rsidRPr="00BA506A">
        <w:rPr>
          <w:rFonts w:ascii="Century Schoolbook" w:hAnsi="Century Schoolbook"/>
        </w:rPr>
        <w:t>269 Ga. 361, 496 S.E.2d 690 (1998).</w:t>
      </w:r>
    </w:p>
  </w:endnote>
  <w:endnote w:id="36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Myers</w:t>
      </w:r>
      <w:r w:rsidRPr="00BA506A">
        <w:rPr>
          <w:rFonts w:ascii="Century Schoolbook" w:hAnsi="Century Schoolbook"/>
        </w:rPr>
        <w:t>, 316 Ga. App. at 154, 728 S.E.2d 787.</w:t>
      </w:r>
    </w:p>
  </w:endnote>
  <w:endnote w:id="36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316 Ga. App. at 155, 728 S.E.2d 787.</w:t>
      </w:r>
    </w:p>
  </w:endnote>
  <w:endnote w:id="36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291 Ga. 402, 403, 730 S.E.2d 413 (2012). This ruling is discussed in more detail in K.G. Loomis and J. Kennedy-Coggins, </w:t>
      </w:r>
      <w:r w:rsidRPr="00BA506A">
        <w:rPr>
          <w:rFonts w:ascii="Century Schoolbook" w:hAnsi="Century Schoolbook"/>
          <w:i/>
        </w:rPr>
        <w:t>The Current State of Georgia’s Insurance Reservation of Rights Law in Connection with Declinations of Coverage</w:t>
      </w:r>
      <w:r w:rsidRPr="00BA506A">
        <w:rPr>
          <w:rFonts w:ascii="Century Schoolbook" w:hAnsi="Century Schoolbook"/>
        </w:rPr>
        <w:t>, published within this edition of the GDLA Journal.</w:t>
      </w:r>
    </w:p>
  </w:endnote>
  <w:endnote w:id="36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Hoover</w:t>
      </w:r>
      <w:r w:rsidRPr="00BA506A">
        <w:rPr>
          <w:rFonts w:ascii="Century Schoolbook" w:hAnsi="Century Schoolbook"/>
        </w:rPr>
        <w:t xml:space="preserve">, 291 Ga. at 403, 730 S.E.2d 413. </w:t>
      </w:r>
    </w:p>
  </w:endnote>
  <w:endnote w:id="36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6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291 Ga. at 404, 730 S.E.2d 413. </w:t>
      </w:r>
    </w:p>
  </w:endnote>
  <w:endnote w:id="366">
    <w:p w:rsidR="009053EE" w:rsidRPr="00BA506A" w:rsidRDefault="009053EE" w:rsidP="00AB16BD">
      <w:pPr>
        <w:pStyle w:val="EndnoteText"/>
        <w:spacing w:after="120"/>
        <w:jc w:val="both"/>
        <w:rPr>
          <w:rFonts w:ascii="Century Schoolbook" w:hAnsi="Century Schoolbook"/>
          <w:highlight w:val="yellow"/>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291 Ga. at 402, 730 S.E.2d 413.</w:t>
      </w:r>
    </w:p>
  </w:endnote>
  <w:endnote w:id="36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291 Ga. at 405-06, 730 S.E.2d 413.</w:t>
      </w:r>
    </w:p>
  </w:endnote>
  <w:endnote w:id="36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291 Ga. at 405, 730 S.E.2d 413 (citing </w:t>
      </w:r>
      <w:r w:rsidRPr="00BA506A">
        <w:rPr>
          <w:rFonts w:ascii="Century Schoolbook" w:hAnsi="Century Schoolbook"/>
          <w:i/>
        </w:rPr>
        <w:t>Richmond v. Ga. Farm Bureau Mut. Ins. Co.</w:t>
      </w:r>
      <w:r w:rsidRPr="00BA506A">
        <w:rPr>
          <w:rFonts w:ascii="Century Schoolbook" w:hAnsi="Century Schoolbook"/>
        </w:rPr>
        <w:t xml:space="preserve">, 140 Ga. App. 215, 217, 231 S.E.2d 245 (1976) (holding that </w:t>
      </w:r>
      <w:r w:rsidRPr="00BA506A">
        <w:rPr>
          <w:rFonts w:ascii="Century Schoolbook" w:hAnsi="Century Schoolbook"/>
          <w:color w:val="252525"/>
        </w:rPr>
        <w:t>the proper and safe course of action is to enter upon a defense under a reservation of rights and then proceed to seek a declaratory judgment in its favor when presented with notice of a claim and demand for a defense</w:t>
      </w:r>
      <w:r w:rsidRPr="00BA506A">
        <w:rPr>
          <w:rFonts w:ascii="Century Schoolbook" w:hAnsi="Century Schoolbook"/>
        </w:rPr>
        <w:t>)).</w:t>
      </w:r>
    </w:p>
  </w:endnote>
  <w:endnote w:id="36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Hoover</w:t>
      </w:r>
      <w:r w:rsidRPr="00BA506A">
        <w:rPr>
          <w:rFonts w:ascii="Century Schoolbook" w:hAnsi="Century Schoolbook"/>
        </w:rPr>
        <w:t>, 291 Ga. at 406, 730 S.E.2d 413 (emphasis in original).</w:t>
      </w:r>
    </w:p>
  </w:endnote>
  <w:endnote w:id="37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7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(citing </w:t>
      </w:r>
      <w:r w:rsidRPr="00BA506A">
        <w:rPr>
          <w:rFonts w:ascii="Century Schoolbook" w:hAnsi="Century Schoolbook"/>
          <w:i/>
        </w:rPr>
        <w:t>World Harvest Church, Inc. v. Guideone Mut. Ins. Co.</w:t>
      </w:r>
      <w:r w:rsidRPr="00BA506A">
        <w:rPr>
          <w:rFonts w:ascii="Century Schoolbook" w:hAnsi="Century Schoolbook"/>
        </w:rPr>
        <w:t>, 287 Ga. 149, 152, 695 S.E.2d 6 (2010)).</w:t>
      </w:r>
    </w:p>
  </w:endnote>
  <w:endnote w:id="37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2013 WL 1277797 (Ga. Ct. App. Mar. 29, 2013).</w:t>
      </w:r>
    </w:p>
  </w:endnote>
  <w:endnote w:id="37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7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7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7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7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There was evidence adduced in discovery that showed that the nursing home had engaged in fraudulent charting, which, according to the insured as stated in correspondence to the insurer, likely would inflame the jury at trial.  </w:t>
      </w:r>
      <w:r w:rsidRPr="00BA506A">
        <w:rPr>
          <w:rFonts w:ascii="Century Schoolbook" w:hAnsi="Century Schoolbook"/>
          <w:i/>
        </w:rPr>
        <w:t>Id</w:t>
      </w:r>
      <w:r w:rsidRPr="00BA506A">
        <w:rPr>
          <w:rFonts w:ascii="Century Schoolbook" w:hAnsi="Century Schoolbook"/>
        </w:rPr>
        <w:t>. at 2.</w:t>
      </w:r>
    </w:p>
  </w:endnote>
  <w:endnote w:id="37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2.</w:t>
      </w:r>
    </w:p>
  </w:endnote>
  <w:endnote w:id="37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8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38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8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4.</w:t>
      </w:r>
    </w:p>
  </w:endnote>
  <w:endnote w:id="38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(citing </w:t>
      </w:r>
      <w:r w:rsidRPr="00BA506A">
        <w:rPr>
          <w:rFonts w:ascii="Century Schoolbook" w:hAnsi="Century Schoolbook"/>
          <w:i/>
        </w:rPr>
        <w:t>World Harvest Church</w:t>
      </w:r>
      <w:r w:rsidRPr="00BA506A">
        <w:rPr>
          <w:rFonts w:ascii="Century Schoolbook" w:hAnsi="Century Schoolbook"/>
        </w:rPr>
        <w:t>, 287 Ga. at 152-153, 695 S.E.2d 6).</w:t>
      </w:r>
    </w:p>
  </w:endnote>
  <w:endnote w:id="38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Facility Investments, LP</w:t>
      </w:r>
      <w:r w:rsidRPr="00BA506A">
        <w:rPr>
          <w:rFonts w:ascii="Century Schoolbook" w:hAnsi="Century Schoolbook"/>
        </w:rPr>
        <w:t xml:space="preserve">, 2013 WL 1277797 at 5 (citing </w:t>
      </w:r>
      <w:r w:rsidRPr="00BA506A">
        <w:rPr>
          <w:rFonts w:ascii="Century Schoolbook" w:hAnsi="Century Schoolbook"/>
          <w:i/>
        </w:rPr>
        <w:t>Richmond</w:t>
      </w:r>
      <w:r w:rsidRPr="00BA506A">
        <w:rPr>
          <w:rFonts w:ascii="Century Schoolbook" w:hAnsi="Century Schoolbook"/>
        </w:rPr>
        <w:t xml:space="preserve">, 140 Ga. App. at 219, 231 S.E.2d 245).  </w:t>
      </w:r>
      <w:r w:rsidRPr="00BA506A">
        <w:rPr>
          <w:rFonts w:ascii="Century Schoolbook" w:hAnsi="Century Schoolbook"/>
          <w:i/>
        </w:rPr>
        <w:t>But see</w:t>
      </w:r>
      <w:r w:rsidRPr="00BA506A">
        <w:rPr>
          <w:rFonts w:ascii="Century Schoolbook" w:hAnsi="Century Schoolbook"/>
        </w:rPr>
        <w:t xml:space="preserve"> </w:t>
      </w:r>
      <w:r w:rsidRPr="00BA506A">
        <w:rPr>
          <w:rFonts w:ascii="Century Schoolbook" w:hAnsi="Century Schoolbook"/>
          <w:i/>
        </w:rPr>
        <w:t>Georgia Farm Bureau Mut. Ins. Co. v. Willoughby</w:t>
      </w:r>
      <w:r w:rsidRPr="00BA506A">
        <w:rPr>
          <w:rFonts w:ascii="Century Schoolbook" w:hAnsi="Century Schoolbook"/>
        </w:rPr>
        <w:t xml:space="preserve">, 2013 WL 1021529 (Ga. Ct. App. Mar. 15, 2013) (holding that insurer’s settlement of premises liability claim did not waive its right to assert that father of named insured was not insured under farm-owner’s insurance policy).  </w:t>
      </w:r>
      <w:r w:rsidRPr="00BA506A">
        <w:rPr>
          <w:rFonts w:ascii="Century Schoolbook" w:hAnsi="Century Schoolbook"/>
          <w:i/>
        </w:rPr>
        <w:t>Willoughby</w:t>
      </w:r>
      <w:r w:rsidRPr="00BA506A">
        <w:rPr>
          <w:rFonts w:ascii="Century Schoolbook" w:hAnsi="Century Schoolbook"/>
        </w:rPr>
        <w:t xml:space="preserve">, decided just two weeks prior to </w:t>
      </w:r>
      <w:r w:rsidRPr="00BA506A">
        <w:rPr>
          <w:rFonts w:ascii="Century Schoolbook" w:hAnsi="Century Schoolbook"/>
          <w:i/>
        </w:rPr>
        <w:t>Facility Investments, LP</w:t>
      </w:r>
      <w:r w:rsidRPr="00BA506A">
        <w:rPr>
          <w:rFonts w:ascii="Century Schoolbook" w:hAnsi="Century Schoolbook"/>
        </w:rPr>
        <w:t xml:space="preserve">, did not involve a discussion of the insurer’s reservation of rights, because the insurer apparently had denied coverage and ha allowed the case to go into default.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Geiger v. Ga. Farm Bureau Mut. Ins. Co.</w:t>
      </w:r>
      <w:r w:rsidRPr="00BA506A">
        <w:rPr>
          <w:rFonts w:ascii="Century Schoolbook" w:hAnsi="Century Schoolbook"/>
        </w:rPr>
        <w:t xml:space="preserve">, 305 Ga. App. 599, 699 S.E.2d 571 (2010).  A complex procedural posture existed in </w:t>
      </w:r>
      <w:r w:rsidRPr="00BA506A">
        <w:rPr>
          <w:rFonts w:ascii="Century Schoolbook" w:hAnsi="Century Schoolbook"/>
          <w:i/>
        </w:rPr>
        <w:t>Willoughby</w:t>
      </w:r>
      <w:r w:rsidRPr="00BA506A">
        <w:rPr>
          <w:rFonts w:ascii="Century Schoolbook" w:hAnsi="Century Schoolbook"/>
        </w:rPr>
        <w:t>, and the court ultimately concluded that the trial court had improperly disregarded the court of appeals’ previous instruction that the trial court submit to the jury the issue of whether the insured’s father was a member of the insured’s household.</w:t>
      </w:r>
    </w:p>
  </w:endnote>
  <w:endnote w:id="38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William H. Locke, Jr., </w:t>
      </w:r>
      <w:r w:rsidRPr="00BA506A">
        <w:rPr>
          <w:rFonts w:ascii="Century Schoolbook" w:hAnsi="Century Schoolbook"/>
          <w:i/>
        </w:rPr>
        <w:t>CGL Coverage of Defective Work</w:t>
      </w:r>
      <w:r w:rsidRPr="00BA506A">
        <w:rPr>
          <w:rFonts w:ascii="Century Schoolbook" w:hAnsi="Century Schoolbook"/>
        </w:rPr>
        <w:t>, ACREL Fall Program 2 (2009).</w:t>
      </w:r>
    </w:p>
  </w:endnote>
  <w:endnote w:id="38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2-4.</w:t>
      </w:r>
    </w:p>
  </w:endnote>
  <w:endnote w:id="38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31.</w:t>
      </w:r>
    </w:p>
  </w:endnote>
  <w:endnote w:id="38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Pomerance v. Berkshire Life Ins. Co. of Am.</w:t>
      </w:r>
      <w:r w:rsidRPr="00BA506A">
        <w:rPr>
          <w:rFonts w:ascii="Century Schoolbook" w:hAnsi="Century Schoolbook"/>
        </w:rPr>
        <w:t>, 288 Ga. App. 491, 493, 654 S.E.2d 638 (2007).</w:t>
      </w:r>
    </w:p>
  </w:endnote>
  <w:endnote w:id="38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288 Ga. 749, 707 S.E.2d 369 (2011).</w:t>
      </w:r>
    </w:p>
  </w:endnote>
  <w:endnote w:id="39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288 Ga. at 751, 707 S.E.2d 369 (quoting Black’s Law Dictionary, 15 (6</w:t>
      </w:r>
      <w:r w:rsidRPr="00BA506A">
        <w:rPr>
          <w:rFonts w:ascii="Century Schoolbook" w:hAnsi="Century Schoolbook"/>
          <w:vertAlign w:val="superscript"/>
        </w:rPr>
        <w:t>th</w:t>
      </w:r>
      <w:r w:rsidRPr="00BA506A">
        <w:rPr>
          <w:rFonts w:ascii="Century Schoolbook" w:hAnsi="Century Schoolbook"/>
        </w:rPr>
        <w:t xml:space="preserve"> ed. 1990)).</w:t>
      </w:r>
    </w:p>
  </w:endnote>
  <w:endnote w:id="39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 Development Co.</w:t>
      </w:r>
      <w:r w:rsidRPr="00BA506A">
        <w:rPr>
          <w:rFonts w:ascii="Century Schoolbook" w:hAnsi="Century Schoolbook"/>
        </w:rPr>
        <w:t xml:space="preserve">, 288 Ga. at 752, 707 S.E.2d 369 (citing </w:t>
      </w:r>
      <w:r w:rsidRPr="00BA506A">
        <w:rPr>
          <w:rFonts w:ascii="Century Schoolbook" w:hAnsi="Century Schoolbook"/>
          <w:i/>
        </w:rPr>
        <w:t>Lamar Homes v. Mid-Continent Cas. Co.</w:t>
      </w:r>
      <w:r w:rsidRPr="00BA506A">
        <w:rPr>
          <w:rFonts w:ascii="Century Schoolbook" w:hAnsi="Century Schoolbook"/>
        </w:rPr>
        <w:t xml:space="preserve">, 242 S.W.3d 1, 16 (Tex. 2007)).  Justice Melton wrote the lone dissenting opinion in </w:t>
      </w:r>
      <w:r w:rsidRPr="00BA506A">
        <w:rPr>
          <w:rFonts w:ascii="Century Schoolbook" w:hAnsi="Century Schoolbook"/>
          <w:i/>
        </w:rPr>
        <w:t>Hathaway</w:t>
      </w:r>
      <w:r w:rsidRPr="00BA506A">
        <w:rPr>
          <w:rFonts w:ascii="Century Schoolbook" w:hAnsi="Century Schoolbook"/>
        </w:rPr>
        <w:t xml:space="preserve"> and took the position that the work done by the contractor in that case could not have been done “by accident,” but rather was intentional conduct and not covered by the policy.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Hathaway</w:t>
      </w:r>
      <w:r w:rsidRPr="00BA506A">
        <w:rPr>
          <w:rFonts w:ascii="Century Schoolbook" w:hAnsi="Century Schoolbook"/>
        </w:rPr>
        <w:t>, 288 Ga. at 753, 707 S.E.2d 369 (J. Melton, dissenting).</w:t>
      </w:r>
    </w:p>
  </w:endnote>
  <w:endnote w:id="39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w:t>
      </w:r>
      <w:r w:rsidRPr="00BA506A">
        <w:rPr>
          <w:rFonts w:ascii="Century Schoolbook" w:hAnsi="Century Schoolbook"/>
        </w:rPr>
        <w:t>, 288 Ga. at 752, 707 S.E.2d 369.</w:t>
      </w:r>
    </w:p>
  </w:endnote>
  <w:endnote w:id="39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SawHorse, Inc. v. So. Guar. Ins. Co.</w:t>
      </w:r>
      <w:r w:rsidRPr="00BA506A">
        <w:rPr>
          <w:rFonts w:ascii="Century Schoolbook" w:hAnsi="Century Schoolbook"/>
        </w:rPr>
        <w:t xml:space="preserve">, 269 Ga. App. 493, 604 S.E.2d 541 (2004).  </w:t>
      </w:r>
    </w:p>
  </w:endnote>
  <w:endnote w:id="39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Custom Planning &amp; Dev., Inc. v. Am. Nat’l Fire Ins. Co.</w:t>
      </w:r>
      <w:r w:rsidRPr="00BA506A">
        <w:rPr>
          <w:rFonts w:ascii="Century Schoolbook" w:hAnsi="Century Schoolbook"/>
        </w:rPr>
        <w:t xml:space="preserve">, 270 Ga. App. 8, 10-11, 606 S.E.2d 1332 (2004); </w:t>
      </w:r>
      <w:r w:rsidRPr="00BA506A">
        <w:rPr>
          <w:rFonts w:ascii="Century Schoolbook" w:hAnsi="Century Schoolbook"/>
          <w:i/>
        </w:rPr>
        <w:t>McDonald Constr. Co. v. Bituminous Cas. Corp.</w:t>
      </w:r>
      <w:r w:rsidRPr="00BA506A">
        <w:rPr>
          <w:rFonts w:ascii="Century Schoolbook" w:hAnsi="Century Schoolbook"/>
        </w:rPr>
        <w:t xml:space="preserve">, 279 Ga. App. 757, 761, 632 S.E.2d 420 (2006).  </w:t>
      </w:r>
    </w:p>
  </w:endnote>
  <w:endnote w:id="39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McDonald Constr. Co.</w:t>
      </w:r>
      <w:r w:rsidRPr="00BA506A">
        <w:rPr>
          <w:rFonts w:ascii="Century Schoolbook" w:hAnsi="Century Schoolbook"/>
        </w:rPr>
        <w:t>,</w:t>
      </w:r>
      <w:r w:rsidRPr="00BA506A">
        <w:rPr>
          <w:rFonts w:ascii="Century Schoolbook" w:hAnsi="Century Schoolbook"/>
          <w:i/>
        </w:rPr>
        <w:t xml:space="preserve"> </w:t>
      </w:r>
      <w:r w:rsidRPr="00BA506A">
        <w:rPr>
          <w:rFonts w:ascii="Century Schoolbook" w:hAnsi="Century Schoolbook"/>
        </w:rPr>
        <w:t>279 Ga. App. at 761-62, 632 S.E.2d 420.</w:t>
      </w:r>
    </w:p>
  </w:endnote>
  <w:endnote w:id="39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Custom Planning &amp; Dev., Inc.</w:t>
      </w:r>
      <w:r w:rsidRPr="00BA506A">
        <w:rPr>
          <w:rFonts w:ascii="Century Schoolbook" w:hAnsi="Century Schoolbook"/>
        </w:rPr>
        <w:t>, 270 Ga. App. at 10, 606 S.E.2d 1332.</w:t>
      </w:r>
    </w:p>
  </w:endnote>
  <w:endnote w:id="39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270 Ga. App. at 9, 606 S.E.2d 1332.</w:t>
      </w:r>
    </w:p>
  </w:endnote>
  <w:endnote w:id="39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39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318 Ga. App. 669, 734 S.E.2d 499 (2012).</w:t>
      </w:r>
    </w:p>
  </w:endnote>
  <w:endnote w:id="40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318 Ga. App. at 672, 734 S.E.2d 499.</w:t>
      </w:r>
    </w:p>
  </w:endnote>
  <w:endnote w:id="40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40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(citing </w:t>
      </w:r>
      <w:r w:rsidRPr="00BA506A">
        <w:rPr>
          <w:rFonts w:ascii="Century Schoolbook" w:hAnsi="Century Schoolbook"/>
          <w:i/>
        </w:rPr>
        <w:t>McDonald</w:t>
      </w:r>
      <w:r w:rsidRPr="00BA506A">
        <w:rPr>
          <w:rFonts w:ascii="Century Schoolbook" w:hAnsi="Century Schoolbook"/>
        </w:rPr>
        <w:t xml:space="preserve">, 279 Ga. App. at 761, 632 S.E.2d 420 (holding that the insured’s liability must arise from negligence, not breach of contract)), and </w:t>
      </w:r>
      <w:r w:rsidRPr="00BA506A">
        <w:rPr>
          <w:rFonts w:ascii="Century Schoolbook" w:hAnsi="Century Schoolbook"/>
          <w:i/>
        </w:rPr>
        <w:t>Glens Falls Ins. Co. v. Donmac Golf Shaping Co.</w:t>
      </w:r>
      <w:r w:rsidRPr="00BA506A">
        <w:rPr>
          <w:rFonts w:ascii="Century Schoolbook" w:hAnsi="Century Schoolbook"/>
        </w:rPr>
        <w:t xml:space="preserve">, 203 Ga. App. 508, 417 S.E.2d 197 (1992) (holding that a claim for defective workmanship on a construction project may be set forth as both a breach of contract and a tort claim)).  </w:t>
      </w:r>
    </w:p>
  </w:endnote>
  <w:endnote w:id="40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Jimenez</w:t>
      </w:r>
      <w:r w:rsidRPr="00BA506A">
        <w:rPr>
          <w:rFonts w:ascii="Century Schoolbook" w:hAnsi="Century Schoolbook"/>
        </w:rPr>
        <w:t>, 318 Ga. App. at 673, 734 S.E.2d 499.</w:t>
      </w:r>
    </w:p>
  </w:endnote>
  <w:endnote w:id="40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0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102 Ga. App. 278, 115 S.E.2d 641 (1960).</w:t>
      </w:r>
    </w:p>
  </w:endnote>
  <w:endnote w:id="40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102 Ga. App. at 280-281, 115 S.E.2d 641.</w:t>
      </w:r>
    </w:p>
  </w:endnote>
  <w:endnote w:id="40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08">
    <w:p w:rsidR="009053EE" w:rsidRPr="00BA506A" w:rsidRDefault="009053EE" w:rsidP="00AB16BD">
      <w:pPr>
        <w:pStyle w:val="EndnoteText"/>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288 Ga. 749, 707 S.E.2d 369.</w:t>
      </w:r>
    </w:p>
  </w:endnote>
  <w:endnote w:id="40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 e.g.</w:t>
      </w:r>
      <w:r w:rsidRPr="00BA506A">
        <w:rPr>
          <w:rFonts w:ascii="Century Schoolbook" w:hAnsi="Century Schoolbook"/>
        </w:rPr>
        <w:t xml:space="preserve">, </w:t>
      </w:r>
      <w:r w:rsidRPr="00BA506A">
        <w:rPr>
          <w:rFonts w:ascii="Century Schoolbook" w:hAnsi="Century Schoolbook"/>
          <w:i/>
        </w:rPr>
        <w:t>Capital City Ins. Co. v. Forks Timber Co.</w:t>
      </w:r>
      <w:r w:rsidRPr="00BA506A">
        <w:rPr>
          <w:rFonts w:ascii="Century Schoolbook" w:hAnsi="Century Schoolbook"/>
        </w:rPr>
        <w:t xml:space="preserve">, 2012 U.S. Dist. LEXIS 122395 (S.D. Ga. 2012).  </w:t>
      </w:r>
    </w:p>
  </w:endnote>
  <w:endnote w:id="41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1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1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1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1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209 F.3d 1296 (11</w:t>
      </w:r>
      <w:r w:rsidRPr="00BA506A">
        <w:rPr>
          <w:rFonts w:ascii="Century Schoolbook" w:hAnsi="Century Schoolbook"/>
          <w:vertAlign w:val="superscript"/>
        </w:rPr>
        <w:t>th</w:t>
      </w:r>
      <w:r w:rsidRPr="00BA506A">
        <w:rPr>
          <w:rFonts w:ascii="Century Schoolbook" w:hAnsi="Century Schoolbook"/>
        </w:rPr>
        <w:t xml:space="preserve"> Cir. 2000) (unpublished).</w:t>
      </w:r>
    </w:p>
  </w:endnote>
  <w:endnote w:id="41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93 F. Supp.2d 1370 (M.D. Ga. 1999).</w:t>
      </w:r>
    </w:p>
  </w:endnote>
  <w:endnote w:id="41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209 F.3d at 1296, </w:t>
      </w:r>
      <w:r w:rsidRPr="00BA506A">
        <w:rPr>
          <w:rFonts w:ascii="Century Schoolbook" w:hAnsi="Century Schoolbook"/>
          <w:i/>
        </w:rPr>
        <w:t>comparing</w:t>
      </w:r>
      <w:r w:rsidRPr="00BA506A">
        <w:rPr>
          <w:rFonts w:ascii="Century Schoolbook" w:hAnsi="Century Schoolbook"/>
        </w:rPr>
        <w:t xml:space="preserve"> Red Ball Leasing v. Hartford Ins. Cos., Inc., 915 F.2d 306, 309-312 (7</w:t>
      </w:r>
      <w:r w:rsidRPr="00BA506A">
        <w:rPr>
          <w:rFonts w:ascii="Century Schoolbook" w:hAnsi="Century Schoolbook"/>
          <w:vertAlign w:val="superscript"/>
        </w:rPr>
        <w:t>th</w:t>
      </w:r>
      <w:r w:rsidRPr="00BA506A">
        <w:rPr>
          <w:rFonts w:ascii="Century Schoolbook" w:hAnsi="Century Schoolbook"/>
        </w:rPr>
        <w:t xml:space="preserve"> Cir. 1990) </w:t>
      </w:r>
      <w:r w:rsidRPr="00BA506A">
        <w:rPr>
          <w:rFonts w:ascii="Century Schoolbook" w:hAnsi="Century Schoolbook"/>
          <w:i/>
        </w:rPr>
        <w:t>with</w:t>
      </w:r>
      <w:r w:rsidRPr="00BA506A">
        <w:rPr>
          <w:rFonts w:ascii="Century Schoolbook" w:hAnsi="Century Schoolbook"/>
        </w:rPr>
        <w:t xml:space="preserve"> Lumber Ins. Co. v. Allen, 820 F. Supp. 33, 34-36 (D.N.H. 1993).</w:t>
      </w:r>
    </w:p>
  </w:endnote>
  <w:endnote w:id="41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Mindis Metals, Inc.</w:t>
      </w:r>
      <w:r w:rsidRPr="00BA506A">
        <w:rPr>
          <w:rFonts w:ascii="Century Schoolbook" w:hAnsi="Century Schoolbook"/>
        </w:rPr>
        <w:t xml:space="preserve">, 209 F.3d at 1296 (citing </w:t>
      </w:r>
      <w:r w:rsidRPr="00BA506A">
        <w:rPr>
          <w:rFonts w:ascii="Century Schoolbook" w:hAnsi="Century Schoolbook"/>
          <w:i/>
        </w:rPr>
        <w:t>Macon Iron &amp; Paper Stock Co.</w:t>
      </w:r>
      <w:r w:rsidRPr="00BA506A">
        <w:rPr>
          <w:rFonts w:ascii="Century Schoolbook" w:hAnsi="Century Schoolbook"/>
        </w:rPr>
        <w:t>, 93 F. Supp. 2d at 1373-74).</w:t>
      </w:r>
    </w:p>
  </w:endnote>
  <w:endnote w:id="41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Macon Iron &amp; Paper Stock Co.</w:t>
      </w:r>
      <w:r w:rsidRPr="00BA506A">
        <w:rPr>
          <w:rFonts w:ascii="Century Schoolbook" w:hAnsi="Century Schoolbook"/>
        </w:rPr>
        <w:t>, 93 F. Supp. 2d at 1371.</w:t>
      </w:r>
    </w:p>
  </w:endnote>
  <w:endnote w:id="41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1371-72.</w:t>
      </w:r>
    </w:p>
  </w:endnote>
  <w:endnote w:id="42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1372.</w:t>
      </w:r>
    </w:p>
  </w:endnote>
  <w:endnote w:id="42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2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1372-73.</w:t>
      </w:r>
    </w:p>
  </w:endnote>
  <w:endnote w:id="42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169 Ga. App. 363, 312 S.E.2d 823 (1983).</w:t>
      </w:r>
    </w:p>
  </w:endnote>
  <w:endnote w:id="42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Macon Iron &amp; Paper Stock Co.</w:t>
      </w:r>
      <w:r w:rsidRPr="00BA506A">
        <w:rPr>
          <w:rFonts w:ascii="Century Schoolbook" w:hAnsi="Century Schoolbook"/>
        </w:rPr>
        <w:t>, 93 F. Supp. 2d at 1374.</w:t>
      </w:r>
    </w:p>
  </w:endnote>
  <w:endnote w:id="42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(citing </w:t>
      </w:r>
      <w:r w:rsidRPr="00BA506A">
        <w:rPr>
          <w:rFonts w:ascii="Century Schoolbook" w:hAnsi="Century Schoolbook"/>
          <w:i/>
        </w:rPr>
        <w:t>Meriwether</w:t>
      </w:r>
      <w:r w:rsidRPr="00BA506A">
        <w:rPr>
          <w:rFonts w:ascii="Century Schoolbook" w:hAnsi="Century Schoolbook"/>
        </w:rPr>
        <w:t>, 169 Ga. App. at 824, 312 S.E.2d 823).</w:t>
      </w:r>
    </w:p>
  </w:endnote>
  <w:endnote w:id="426">
    <w:p w:rsidR="009053EE" w:rsidRPr="00BA506A" w:rsidRDefault="009053EE" w:rsidP="00AB16BD">
      <w:pPr>
        <w:pStyle w:val="EndnoteText"/>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w:t>
      </w:r>
      <w:r w:rsidRPr="00BA506A">
        <w:rPr>
          <w:rFonts w:ascii="Century Schoolbook" w:hAnsi="Century Schoolbook"/>
        </w:rPr>
        <w:t>, 288 Ga. at 752, 707 S.E.2d 369.</w:t>
      </w:r>
    </w:p>
  </w:endnote>
  <w:endnote w:id="42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 e.g.,</w:t>
      </w:r>
      <w:r w:rsidRPr="00BA506A">
        <w:rPr>
          <w:rFonts w:ascii="Century Schoolbook" w:hAnsi="Century Schoolbook"/>
        </w:rPr>
        <w:t xml:space="preserve"> </w:t>
      </w:r>
      <w:r w:rsidRPr="00BA506A">
        <w:rPr>
          <w:rFonts w:ascii="Century Schoolbook" w:hAnsi="Century Schoolbook"/>
          <w:i/>
        </w:rPr>
        <w:t>HDI-Gerling Am. Ins. Co. v. Morrison Homes, Inc.</w:t>
      </w:r>
      <w:r w:rsidRPr="00BA506A">
        <w:rPr>
          <w:rFonts w:ascii="Century Schoolbook" w:hAnsi="Century Schoolbook"/>
        </w:rPr>
        <w:t>, 701 F.3d 662, 668 (11</w:t>
      </w:r>
      <w:r w:rsidRPr="00BA506A">
        <w:rPr>
          <w:rFonts w:ascii="Century Schoolbook" w:hAnsi="Century Schoolbook"/>
          <w:vertAlign w:val="superscript"/>
        </w:rPr>
        <w:t>th</w:t>
      </w:r>
      <w:r w:rsidRPr="00BA506A">
        <w:rPr>
          <w:rFonts w:ascii="Century Schoolbook" w:hAnsi="Century Schoolbook"/>
        </w:rPr>
        <w:t xml:space="preserve"> Cir. 2012).  After all, the definition of “occurrence” does not contain any distinction as to which property is damaged.  </w:t>
      </w:r>
    </w:p>
  </w:endnote>
  <w:endnote w:id="428">
    <w:p w:rsidR="009053EE" w:rsidRPr="00BA506A" w:rsidRDefault="009053EE" w:rsidP="00AB16BD">
      <w:pPr>
        <w:pStyle w:val="EndnoteText"/>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701 F.3d 662.</w:t>
      </w:r>
    </w:p>
  </w:endnote>
  <w:endnote w:id="42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Taylor Morrison Servs., Inc. v. HDI-Gerling Am. Ins. Co.</w:t>
      </w:r>
      <w:r w:rsidRPr="00BA506A">
        <w:rPr>
          <w:rFonts w:ascii="Century Schoolbook" w:hAnsi="Century Schoolbook"/>
        </w:rPr>
        <w:t xml:space="preserve">, Case No. S13Q0462 (oral arguments held March 4, 2013).  Justice David E. Nahmias is not participating in this case.  Cherokee County Superior Court Judge Ellen McElyea was assigned to replace Justice Nahmias for the case.  </w:t>
      </w:r>
    </w:p>
  </w:endnote>
  <w:endnote w:id="43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Morrison Homes, Inc.</w:t>
      </w:r>
      <w:r w:rsidRPr="00BA506A">
        <w:rPr>
          <w:rFonts w:ascii="Century Schoolbook" w:hAnsi="Century Schoolbook"/>
        </w:rPr>
        <w:t>, 701 F.3d at 669.</w:t>
      </w:r>
    </w:p>
  </w:endnote>
  <w:endnote w:id="43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43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668.</w:t>
      </w:r>
    </w:p>
  </w:endnote>
  <w:endnote w:id="43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3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(citing </w:t>
      </w:r>
      <w:r w:rsidRPr="00BA506A">
        <w:rPr>
          <w:rFonts w:ascii="Century Schoolbook" w:hAnsi="Century Schoolbook"/>
          <w:i/>
        </w:rPr>
        <w:t>Hathaway</w:t>
      </w:r>
      <w:r w:rsidRPr="00BA506A">
        <w:rPr>
          <w:rFonts w:ascii="Century Schoolbook" w:hAnsi="Century Schoolbook"/>
        </w:rPr>
        <w:t>, 288 Ga. 749, 707 S.E.2d 369).</w:t>
      </w:r>
    </w:p>
  </w:endnote>
  <w:endnote w:id="43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Morrison Homes, Inc.</w:t>
      </w:r>
      <w:r w:rsidRPr="00BA506A">
        <w:rPr>
          <w:rFonts w:ascii="Century Schoolbook" w:hAnsi="Century Schoolbook"/>
        </w:rPr>
        <w:t>, 701 F.3d at 668.  One could argue that there is a third step in the analysis as well: whether an exception applies to one of the otherwise applicable exclusions (</w:t>
      </w:r>
      <w:r w:rsidRPr="00BA506A">
        <w:rPr>
          <w:rFonts w:ascii="Century Schoolbook" w:hAnsi="Century Schoolbook"/>
          <w:i/>
        </w:rPr>
        <w:t>e.g.</w:t>
      </w:r>
      <w:r w:rsidRPr="00BA506A">
        <w:rPr>
          <w:rFonts w:ascii="Century Schoolbook" w:hAnsi="Century Schoolbook"/>
        </w:rPr>
        <w:t>, the subcontractor exception).</w:t>
      </w:r>
    </w:p>
  </w:endnote>
  <w:endnote w:id="43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U.S. Fire Ins. Co. v. J.S.U.B., Inc.</w:t>
      </w:r>
      <w:r w:rsidRPr="00BA506A">
        <w:rPr>
          <w:rFonts w:ascii="Century Schoolbook" w:hAnsi="Century Schoolbook"/>
        </w:rPr>
        <w:t>, 979 So. 2d 871 (Fla. 2007)</w:t>
      </w:r>
      <w:r w:rsidRPr="00BA506A">
        <w:rPr>
          <w:rFonts w:ascii="Century Schoolbook" w:hAnsi="Century Schoolbook"/>
          <w:color w:val="252525"/>
        </w:rPr>
        <w:t xml:space="preserve">; </w:t>
      </w:r>
      <w:r w:rsidRPr="00BA506A">
        <w:rPr>
          <w:rFonts w:ascii="Century Schoolbook" w:hAnsi="Century Schoolbook"/>
          <w:i/>
          <w:color w:val="252525"/>
        </w:rPr>
        <w:t>Travelers Indem. Co. of Am. v. Moore &amp; Assocs., Inc.</w:t>
      </w:r>
      <w:r w:rsidRPr="00BA506A">
        <w:rPr>
          <w:rFonts w:ascii="Century Schoolbook" w:hAnsi="Century Schoolbook"/>
          <w:color w:val="252525"/>
        </w:rPr>
        <w:t xml:space="preserve">, 216 S.W.3d 302, 307 (Tenn. 2007); </w:t>
      </w:r>
      <w:r w:rsidRPr="00BA506A">
        <w:rPr>
          <w:rFonts w:ascii="Century Schoolbook" w:hAnsi="Century Schoolbook"/>
          <w:i/>
          <w:color w:val="252525"/>
        </w:rPr>
        <w:t>Lamar Homes</w:t>
      </w:r>
      <w:r w:rsidRPr="00BA506A">
        <w:rPr>
          <w:rFonts w:ascii="Century Schoolbook" w:hAnsi="Century Schoolbook"/>
          <w:color w:val="252525"/>
        </w:rPr>
        <w:t xml:space="preserve">, 242 S.W.3d at 16; </w:t>
      </w:r>
      <w:r w:rsidRPr="00BA506A">
        <w:rPr>
          <w:rFonts w:ascii="Century Schoolbook" w:hAnsi="Century Schoolbook"/>
          <w:i/>
          <w:color w:val="252525"/>
        </w:rPr>
        <w:t>Kalchthaler v. Keller Constr. Co.</w:t>
      </w:r>
      <w:r w:rsidRPr="00BA506A">
        <w:rPr>
          <w:rFonts w:ascii="Century Schoolbook" w:hAnsi="Century Schoolbook"/>
          <w:color w:val="252525"/>
        </w:rPr>
        <w:t>, 591 N.W.2d 169 (Wis. Ct. App. 1999); Bruner &amp; O’Connor on Construction Law, § 11:26</w:t>
      </w:r>
      <w:r w:rsidRPr="00BA506A">
        <w:rPr>
          <w:rFonts w:ascii="Century Schoolbook" w:hAnsi="Century Schoolbook"/>
          <w:i/>
          <w:color w:val="252525"/>
        </w:rPr>
        <w:t>, Commercial General Liability (CGL) Coverage – What is “Occurrence”? – Intention and Expectation</w:t>
      </w:r>
      <w:r w:rsidRPr="00BA506A">
        <w:rPr>
          <w:rFonts w:ascii="Century Schoolbook" w:hAnsi="Century Schoolbook"/>
          <w:color w:val="252525"/>
        </w:rPr>
        <w:t xml:space="preserve"> (West 2002 as supplemented); Shapiro &amp; Posner,  </w:t>
      </w:r>
      <w:r w:rsidRPr="00BA506A">
        <w:rPr>
          <w:rFonts w:ascii="Century Schoolbook" w:hAnsi="Century Schoolbook"/>
          <w:i/>
          <w:color w:val="252525"/>
        </w:rPr>
        <w:t>It Was An Accident: Inadvertent Construction Defects Are An “Occurrence” Under Commercial General Liability Policies</w:t>
      </w:r>
      <w:r w:rsidRPr="00BA506A">
        <w:rPr>
          <w:rFonts w:ascii="Century Schoolbook" w:hAnsi="Century Schoolbook"/>
          <w:color w:val="252525"/>
        </w:rPr>
        <w:t xml:space="preserve">, Vol. 10, No. 2, Coverage, at 3-8 (Winter 2000); Locke, </w:t>
      </w:r>
      <w:r w:rsidRPr="00BA506A">
        <w:rPr>
          <w:rFonts w:ascii="Century Schoolbook" w:hAnsi="Century Schoolbook"/>
          <w:i/>
        </w:rPr>
        <w:t>CGL Coverage of Defective Work</w:t>
      </w:r>
      <w:r w:rsidRPr="00BA506A">
        <w:rPr>
          <w:rFonts w:ascii="Century Schoolbook" w:hAnsi="Century Schoolbook"/>
        </w:rPr>
        <w:t xml:space="preserve">, ACREL Fall Program 24 (2009); Turner, </w:t>
      </w:r>
      <w:r w:rsidRPr="00BA506A">
        <w:rPr>
          <w:rFonts w:ascii="Century Schoolbook" w:hAnsi="Century Schoolbook"/>
          <w:i/>
        </w:rPr>
        <w:t>Insurance Coverage of Construction Disputes</w:t>
      </w:r>
      <w:r w:rsidRPr="00BA506A">
        <w:rPr>
          <w:rFonts w:ascii="Century Schoolbook" w:hAnsi="Century Schoolbook"/>
        </w:rPr>
        <w:t xml:space="preserve">, § 6.46 (2d ed.).  </w:t>
      </w:r>
    </w:p>
  </w:endnote>
  <w:endnote w:id="43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11 Richard A. Lord, Williston on Contracts § 32.5 (4</w:t>
      </w:r>
      <w:r w:rsidRPr="00BA506A">
        <w:rPr>
          <w:rFonts w:ascii="Century Schoolbook" w:hAnsi="Century Schoolbook"/>
          <w:vertAlign w:val="superscript"/>
        </w:rPr>
        <w:t>th</w:t>
      </w:r>
      <w:r w:rsidRPr="00BA506A">
        <w:rPr>
          <w:rFonts w:ascii="Century Schoolbook" w:hAnsi="Century Schoolbook"/>
        </w:rPr>
        <w:t xml:space="preserve"> ed. 2012).  In fact, Justice Blackwell mentioned this maxim in </w:t>
      </w:r>
      <w:r w:rsidRPr="00BA506A">
        <w:rPr>
          <w:rFonts w:ascii="Century Schoolbook" w:hAnsi="Century Schoolbook"/>
          <w:i/>
        </w:rPr>
        <w:t>Taylor Morrison</w:t>
      </w:r>
      <w:r w:rsidRPr="00BA506A">
        <w:rPr>
          <w:rFonts w:ascii="Century Schoolbook" w:hAnsi="Century Schoolbook"/>
        </w:rPr>
        <w:t xml:space="preserve"> during oral argument before the Georgia Supreme Court on the certified questions from the Eleventh Circuit.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Taylor Morrison</w:t>
      </w:r>
      <w:r w:rsidRPr="00BA506A">
        <w:rPr>
          <w:rFonts w:ascii="Century Schoolbook" w:hAnsi="Century Schoolbook"/>
        </w:rPr>
        <w:t xml:space="preserve">, Case No. S13Q0462, </w:t>
      </w:r>
      <w:r w:rsidRPr="00BA506A">
        <w:rPr>
          <w:rFonts w:ascii="Century Schoolbook" w:hAnsi="Century Schoolbook"/>
          <w:i/>
        </w:rPr>
        <w:t>supra</w:t>
      </w:r>
      <w:r w:rsidRPr="00BA506A">
        <w:rPr>
          <w:rFonts w:ascii="Century Schoolbook" w:hAnsi="Century Schoolbook"/>
        </w:rPr>
        <w:t xml:space="preserve"> note 83.</w:t>
      </w:r>
    </w:p>
  </w:endnote>
  <w:endnote w:id="43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J.S.U.B.</w:t>
      </w:r>
      <w:r w:rsidRPr="00BA506A">
        <w:rPr>
          <w:rFonts w:ascii="Century Schoolbook" w:hAnsi="Century Schoolbook"/>
        </w:rPr>
        <w:t>, 979 So. 2d at 885.</w:t>
      </w:r>
    </w:p>
  </w:endnote>
  <w:endnote w:id="43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Taylor Morrison</w:t>
      </w:r>
      <w:r w:rsidRPr="00BA506A">
        <w:rPr>
          <w:rFonts w:ascii="Century Schoolbook" w:hAnsi="Century Schoolbook"/>
        </w:rPr>
        <w:t xml:space="preserve">, Case No. S13Q0462, </w:t>
      </w:r>
      <w:r w:rsidRPr="00BA506A">
        <w:rPr>
          <w:rFonts w:ascii="Century Schoolbook" w:hAnsi="Century Schoolbook"/>
          <w:i/>
        </w:rPr>
        <w:t>supra</w:t>
      </w:r>
      <w:r w:rsidRPr="00BA506A">
        <w:rPr>
          <w:rFonts w:ascii="Century Schoolbook" w:hAnsi="Century Schoolbook"/>
        </w:rPr>
        <w:t xml:space="preserve"> note 83 (oral arguments held March 4, 2013).  </w:t>
      </w:r>
    </w:p>
  </w:endnote>
  <w:endnote w:id="44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w:t>
      </w:r>
    </w:p>
  </w:endnote>
  <w:endnote w:id="44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Brief of Amicus Curiae, at 19, </w:t>
      </w:r>
      <w:r w:rsidRPr="00BA506A">
        <w:rPr>
          <w:rFonts w:ascii="Century Schoolbook" w:hAnsi="Century Schoolbook"/>
          <w:i/>
        </w:rPr>
        <w:t>HDI-Gerling Am. Ins. Co. v. Morrison Homes, Inc.</w:t>
      </w:r>
      <w:r w:rsidRPr="00BA506A">
        <w:rPr>
          <w:rFonts w:ascii="Century Schoolbook" w:hAnsi="Century Schoolbook"/>
        </w:rPr>
        <w:t>, No. 10-14637 (11</w:t>
      </w:r>
      <w:r w:rsidRPr="00BA506A">
        <w:rPr>
          <w:rFonts w:ascii="Century Schoolbook" w:hAnsi="Century Schoolbook"/>
          <w:vertAlign w:val="superscript"/>
        </w:rPr>
        <w:t>th</w:t>
      </w:r>
      <w:r w:rsidRPr="00BA506A">
        <w:rPr>
          <w:rFonts w:ascii="Century Schoolbook" w:hAnsi="Century Schoolbook"/>
        </w:rPr>
        <w:t xml:space="preserve"> Cir. 2012).  </w:t>
      </w:r>
      <w:r w:rsidRPr="00BA506A">
        <w:rPr>
          <w:rFonts w:ascii="Century Schoolbook" w:hAnsi="Century Schoolbook"/>
          <w:i/>
        </w:rPr>
        <w:t>See also</w:t>
      </w:r>
      <w:r w:rsidRPr="00BA506A">
        <w:rPr>
          <w:rFonts w:ascii="Century Schoolbook" w:hAnsi="Century Schoolbook"/>
        </w:rPr>
        <w:t xml:space="preserve"> note 90, </w:t>
      </w:r>
      <w:r w:rsidRPr="00BA506A">
        <w:rPr>
          <w:rFonts w:ascii="Century Schoolbook" w:hAnsi="Century Schoolbook"/>
          <w:i/>
        </w:rPr>
        <w:t>supra</w:t>
      </w:r>
      <w:r w:rsidRPr="00BA506A">
        <w:rPr>
          <w:rFonts w:ascii="Century Schoolbook" w:hAnsi="Century Schoolbook"/>
        </w:rPr>
        <w:t>.</w:t>
      </w:r>
    </w:p>
  </w:endnote>
  <w:endnote w:id="44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Custom Planning</w:t>
      </w:r>
      <w:r w:rsidRPr="00BA506A">
        <w:rPr>
          <w:rFonts w:ascii="Century Schoolbook" w:hAnsi="Century Schoolbook"/>
        </w:rPr>
        <w:t xml:space="preserve">, 270 Ga. App. at 10, 606 S.E.2d 1332.  </w:t>
      </w:r>
      <w:r w:rsidRPr="00BA506A">
        <w:rPr>
          <w:rFonts w:ascii="Century Schoolbook" w:hAnsi="Century Schoolbook"/>
          <w:i/>
        </w:rPr>
        <w:t>See also</w:t>
      </w:r>
      <w:r w:rsidRPr="00BA506A">
        <w:rPr>
          <w:rFonts w:ascii="Century Schoolbook" w:hAnsi="Century Schoolbook"/>
        </w:rPr>
        <w:t xml:space="preserve"> </w:t>
      </w:r>
      <w:r w:rsidRPr="00BA506A">
        <w:rPr>
          <w:rFonts w:ascii="Century Schoolbook" w:hAnsi="Century Schoolbook"/>
          <w:i/>
        </w:rPr>
        <w:t>Bituminous Cas. Corp. v. N. Ins. Co.</w:t>
      </w:r>
      <w:r w:rsidRPr="00BA506A">
        <w:rPr>
          <w:rFonts w:ascii="Century Schoolbook" w:hAnsi="Century Schoolbook"/>
        </w:rPr>
        <w:t xml:space="preserve">, 249 Ga. App. 532, 533, 548 S.E.2d 495 (2001) (analyzing business risk exclusions together with definition of “occurrence”).   </w:t>
      </w:r>
    </w:p>
  </w:endnote>
  <w:endnote w:id="443">
    <w:p w:rsidR="009053EE" w:rsidRPr="00BA506A" w:rsidRDefault="009053EE" w:rsidP="00AB16BD">
      <w:pPr>
        <w:pStyle w:val="EndnoteText"/>
        <w:spacing w:after="120"/>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Custom Planning &amp; Dev., Inc.</w:t>
      </w:r>
      <w:r w:rsidRPr="00BA506A">
        <w:rPr>
          <w:rFonts w:ascii="Century Schoolbook" w:hAnsi="Century Schoolbook"/>
        </w:rPr>
        <w:t>, 270 Ga. App. 8, 606 S.E.2d 1332.</w:t>
      </w:r>
    </w:p>
  </w:endnote>
  <w:endnote w:id="44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SawHorse, Inc.</w:t>
      </w:r>
      <w:r w:rsidRPr="00BA506A">
        <w:rPr>
          <w:rFonts w:ascii="Century Schoolbook" w:hAnsi="Century Schoolbook"/>
        </w:rPr>
        <w:t>, 269 Ga. App. at 498-99, 604 S.E.2d 541.</w:t>
      </w:r>
    </w:p>
  </w:endnote>
  <w:endnote w:id="44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46">
    <w:p w:rsidR="009053EE" w:rsidRPr="00BA506A" w:rsidRDefault="009053EE" w:rsidP="00AB16BD">
      <w:pPr>
        <w:pStyle w:val="EndnoteText"/>
        <w:spacing w:after="120"/>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See note 96, </w:t>
      </w:r>
      <w:r w:rsidRPr="00BA506A">
        <w:rPr>
          <w:rFonts w:ascii="Century Schoolbook" w:hAnsi="Century Schoolbook"/>
          <w:i/>
        </w:rPr>
        <w:t>supra</w:t>
      </w:r>
      <w:r w:rsidRPr="00BA506A">
        <w:rPr>
          <w:rFonts w:ascii="Century Schoolbook" w:hAnsi="Century Schoolbook"/>
        </w:rPr>
        <w:t>.</w:t>
      </w:r>
    </w:p>
  </w:endnote>
  <w:endnote w:id="44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Compare</w:t>
      </w:r>
      <w:r w:rsidRPr="00BA506A">
        <w:rPr>
          <w:rFonts w:ascii="Century Schoolbook" w:hAnsi="Century Schoolbook"/>
        </w:rPr>
        <w:t xml:space="preserve"> note 90, </w:t>
      </w:r>
      <w:r w:rsidRPr="00BA506A">
        <w:rPr>
          <w:rFonts w:ascii="Century Schoolbook" w:hAnsi="Century Schoolbook"/>
          <w:i/>
        </w:rPr>
        <w:t>supra</w:t>
      </w:r>
      <w:r w:rsidRPr="00BA506A">
        <w:rPr>
          <w:rFonts w:ascii="Century Schoolbook" w:hAnsi="Century Schoolbook"/>
        </w:rPr>
        <w:t xml:space="preserve">, </w:t>
      </w:r>
      <w:r w:rsidRPr="00BA506A">
        <w:rPr>
          <w:rFonts w:ascii="Century Schoolbook" w:hAnsi="Century Schoolbook"/>
          <w:i/>
        </w:rPr>
        <w:t>with</w:t>
      </w:r>
      <w:r w:rsidRPr="00BA506A">
        <w:rPr>
          <w:rFonts w:ascii="Century Schoolbook" w:hAnsi="Century Schoolbook"/>
        </w:rPr>
        <w:t xml:space="preserve"> </w:t>
      </w:r>
      <w:r w:rsidRPr="00BA506A">
        <w:rPr>
          <w:rFonts w:ascii="Century Schoolbook" w:hAnsi="Century Schoolbook"/>
          <w:i/>
        </w:rPr>
        <w:t>Auto-Owners Ins. Co. v. Home Pride Cos.</w:t>
      </w:r>
      <w:r w:rsidRPr="00BA506A">
        <w:rPr>
          <w:rFonts w:ascii="Century Schoolbook" w:hAnsi="Century Schoolbook"/>
        </w:rPr>
        <w:t xml:space="preserve">, 684 N.W.2d 571 (Neb. 2004) (faulty construction is an accidental occurrence only when it damages other property or work); </w:t>
      </w:r>
      <w:r w:rsidRPr="00BA506A">
        <w:rPr>
          <w:rFonts w:ascii="Century Schoolbook" w:hAnsi="Century Schoolbook"/>
          <w:i/>
        </w:rPr>
        <w:t>ACUITY v. Burd &amp; Smith Constr.</w:t>
      </w:r>
      <w:r w:rsidRPr="00BA506A">
        <w:rPr>
          <w:rFonts w:ascii="Century Schoolbook" w:hAnsi="Century Schoolbook"/>
        </w:rPr>
        <w:t xml:space="preserve">, 721 N.W.2d 33 (N.D. 2006); </w:t>
      </w:r>
      <w:r w:rsidRPr="00BA506A">
        <w:rPr>
          <w:rFonts w:ascii="Century Schoolbook" w:hAnsi="Century Schoolbook"/>
          <w:i/>
        </w:rPr>
        <w:t>Essex Ins. Co. v. Holder</w:t>
      </w:r>
      <w:r w:rsidRPr="00BA506A">
        <w:rPr>
          <w:rFonts w:ascii="Century Schoolbook" w:hAnsi="Century Schoolbook"/>
        </w:rPr>
        <w:t xml:space="preserve">, 261 S.W.3d 456 (Ark. 2008); </w:t>
      </w:r>
      <w:r w:rsidRPr="00BA506A">
        <w:rPr>
          <w:rFonts w:ascii="Century Schoolbook" w:hAnsi="Century Schoolbook"/>
          <w:i/>
        </w:rPr>
        <w:t>Kvaerner Metals Div. v. Commercial Union Ins. Co.</w:t>
      </w:r>
      <w:r w:rsidRPr="00BA506A">
        <w:rPr>
          <w:rFonts w:ascii="Century Schoolbook" w:hAnsi="Century Schoolbook"/>
        </w:rPr>
        <w:t xml:space="preserve">, 908 A.2d 888 (Pa. 2006); </w:t>
      </w:r>
      <w:r w:rsidRPr="00BA506A">
        <w:rPr>
          <w:rFonts w:ascii="Century Schoolbook" w:hAnsi="Century Schoolbook"/>
          <w:i/>
        </w:rPr>
        <w:t>Cincinnati Ins. Co. v. Motorists Mut. Ins. Co.</w:t>
      </w:r>
      <w:r w:rsidRPr="00BA506A">
        <w:rPr>
          <w:rFonts w:ascii="Century Schoolbook" w:hAnsi="Century Schoolbook"/>
        </w:rPr>
        <w:t xml:space="preserve">, 306 S.W.3d 69 (Kent. 2010); </w:t>
      </w:r>
      <w:r w:rsidRPr="00BA506A">
        <w:rPr>
          <w:rFonts w:ascii="Century Schoolbook" w:hAnsi="Century Schoolbook"/>
          <w:i/>
        </w:rPr>
        <w:t>Pursell Constr., Inc. v. Hawkeye-Security Ins. Co.</w:t>
      </w:r>
      <w:r w:rsidRPr="00BA506A">
        <w:rPr>
          <w:rFonts w:ascii="Century Schoolbook" w:hAnsi="Century Schoolbook"/>
        </w:rPr>
        <w:t xml:space="preserve">, 596 N.W.2d 67 (Iowa 1999).  </w:t>
      </w:r>
      <w:r w:rsidRPr="00BA506A">
        <w:rPr>
          <w:rFonts w:ascii="Century Schoolbook" w:hAnsi="Century Schoolbook"/>
          <w:i/>
        </w:rPr>
        <w:t>See also</w:t>
      </w:r>
      <w:r w:rsidRPr="00BA506A">
        <w:rPr>
          <w:rFonts w:ascii="Century Schoolbook" w:hAnsi="Century Schoolbook"/>
        </w:rPr>
        <w:t xml:space="preserve"> John S. Torigian and Carol K. Watson, </w:t>
      </w:r>
      <w:r w:rsidRPr="00BA506A">
        <w:rPr>
          <w:rFonts w:ascii="Century Schoolbook" w:hAnsi="Century Schoolbook"/>
          <w:i/>
        </w:rPr>
        <w:t>Construction Defects Coverage and the CGL Policy: Coverage for Defective Work May Exist</w:t>
      </w:r>
      <w:r w:rsidRPr="00BA506A">
        <w:rPr>
          <w:rFonts w:ascii="Century Schoolbook" w:hAnsi="Century Schoolbook"/>
        </w:rPr>
        <w:t xml:space="preserve">, 10-12, Construction SuperConference ’10 (Dec. 16, 2010) (noting that the cases cited above “resist the trend”).  </w:t>
      </w:r>
    </w:p>
  </w:endnote>
  <w:endnote w:id="44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w:t>
      </w:r>
      <w:r w:rsidRPr="00BA506A">
        <w:rPr>
          <w:rFonts w:ascii="Century Schoolbook" w:hAnsi="Century Schoolbook"/>
        </w:rPr>
        <w:t>, 288 Ga. at 752, 707 S.E.2d 369 (emphasis added).</w:t>
      </w:r>
    </w:p>
  </w:endnote>
  <w:endnote w:id="44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Taylor Morrison</w:t>
      </w:r>
      <w:r w:rsidRPr="00BA506A">
        <w:rPr>
          <w:rFonts w:ascii="Century Schoolbook" w:hAnsi="Century Schoolbook"/>
        </w:rPr>
        <w:t xml:space="preserve">, </w:t>
      </w:r>
      <w:r w:rsidRPr="00BA506A">
        <w:rPr>
          <w:rFonts w:ascii="Century Schoolbook" w:hAnsi="Century Schoolbook"/>
          <w:i/>
        </w:rPr>
        <w:t>supra</w:t>
      </w:r>
      <w:r w:rsidRPr="00BA506A">
        <w:rPr>
          <w:rFonts w:ascii="Century Schoolbook" w:hAnsi="Century Schoolbook"/>
        </w:rPr>
        <w:t xml:space="preserve"> note 83, (oral arguments held March 4, 2013).  </w:t>
      </w:r>
    </w:p>
  </w:endnote>
  <w:endnote w:id="45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See</w:t>
      </w:r>
      <w:r w:rsidRPr="00BA506A">
        <w:rPr>
          <w:rFonts w:ascii="Century Schoolbook" w:hAnsi="Century Schoolbook"/>
        </w:rPr>
        <w:t xml:space="preserve"> </w:t>
      </w:r>
      <w:r w:rsidRPr="00BA506A">
        <w:rPr>
          <w:rFonts w:ascii="Century Schoolbook" w:hAnsi="Century Schoolbook"/>
          <w:i/>
        </w:rPr>
        <w:t>Hathaway Dev. Co. v. Am. Empire Surplus Lines Ins. Co.</w:t>
      </w:r>
      <w:r w:rsidRPr="00BA506A">
        <w:rPr>
          <w:rFonts w:ascii="Century Schoolbook" w:hAnsi="Century Schoolbook"/>
        </w:rPr>
        <w:t xml:space="preserve">, 301 Ga. App. 65, 686 S.E.2d 855 (2009), </w:t>
      </w:r>
      <w:r w:rsidRPr="00BA506A">
        <w:rPr>
          <w:rFonts w:ascii="Century Schoolbook" w:hAnsi="Century Schoolbook"/>
          <w:i/>
        </w:rPr>
        <w:t>aff’d Hathaway</w:t>
      </w:r>
      <w:r w:rsidRPr="00BA506A">
        <w:rPr>
          <w:rFonts w:ascii="Century Schoolbook" w:hAnsi="Century Schoolbook"/>
        </w:rPr>
        <w:t xml:space="preserve">, 288 Ga. 749, 707 S.E.2d 369.  </w:t>
      </w:r>
    </w:p>
  </w:endnote>
  <w:endnote w:id="45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w:t>
      </w:r>
      <w:r w:rsidRPr="00BA506A">
        <w:rPr>
          <w:rFonts w:ascii="Century Schoolbook" w:hAnsi="Century Schoolbook"/>
        </w:rPr>
        <w:t>, 288 Ga. at 750, 707 S.E.2d 369.</w:t>
      </w:r>
    </w:p>
  </w:endnote>
  <w:endnote w:id="45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 Dev. Co.</w:t>
      </w:r>
      <w:r w:rsidRPr="00BA506A">
        <w:rPr>
          <w:rFonts w:ascii="Century Schoolbook" w:hAnsi="Century Schoolbook"/>
        </w:rPr>
        <w:t>,</w:t>
      </w:r>
      <w:r w:rsidRPr="00BA506A">
        <w:rPr>
          <w:rFonts w:ascii="Century Schoolbook" w:hAnsi="Century Schoolbook"/>
          <w:i/>
        </w:rPr>
        <w:t xml:space="preserve"> </w:t>
      </w:r>
      <w:r w:rsidRPr="00BA506A">
        <w:rPr>
          <w:rFonts w:ascii="Century Schoolbook" w:hAnsi="Century Schoolbook"/>
        </w:rPr>
        <w:t>301 Ga. App. at 69-70, 686 S.E.2d 855.</w:t>
      </w:r>
    </w:p>
  </w:endnote>
  <w:endnote w:id="45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301 Ga. App. at 70-73, 686 S.E.2d 855.</w:t>
      </w:r>
    </w:p>
  </w:endnote>
  <w:endnote w:id="454">
    <w:p w:rsidR="009053EE" w:rsidRPr="00BA506A" w:rsidRDefault="009053EE" w:rsidP="00AB16BD">
      <w:pPr>
        <w:pStyle w:val="EndnoteText"/>
        <w:spacing w:after="120"/>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Hathaway</w:t>
      </w:r>
      <w:r w:rsidRPr="00BA506A">
        <w:rPr>
          <w:rFonts w:ascii="Century Schoolbook" w:hAnsi="Century Schoolbook"/>
        </w:rPr>
        <w:t xml:space="preserve">, 288 Ga. at 751-52, 707 S.E.2d 369 (citing to </w:t>
      </w:r>
      <w:r w:rsidRPr="00BA506A">
        <w:rPr>
          <w:rFonts w:ascii="Century Schoolbook" w:hAnsi="Century Schoolbook"/>
          <w:i/>
        </w:rPr>
        <w:t>U.S. Fire Ins. Co. v. J.S.U.B., Inc.</w:t>
      </w:r>
      <w:r w:rsidRPr="00BA506A">
        <w:rPr>
          <w:rFonts w:ascii="Century Schoolbook" w:hAnsi="Century Schoolbook"/>
        </w:rPr>
        <w:t xml:space="preserve">, 979 So. 2d 871 (Fla. 2007); </w:t>
      </w:r>
      <w:r w:rsidRPr="00BA506A">
        <w:rPr>
          <w:rFonts w:ascii="Century Schoolbook" w:hAnsi="Century Schoolbook"/>
          <w:i/>
        </w:rPr>
        <w:t>Am. Family Mut. Ins. Co. v. Am. Girl, Inc.</w:t>
      </w:r>
      <w:r w:rsidRPr="00BA506A">
        <w:rPr>
          <w:rFonts w:ascii="Century Schoolbook" w:hAnsi="Century Schoolbook"/>
        </w:rPr>
        <w:t xml:space="preserve">, 673 N.W.2d 65, 76 (Wis. 2004); and </w:t>
      </w:r>
      <w:r w:rsidRPr="00BA506A">
        <w:rPr>
          <w:rFonts w:ascii="Century Schoolbook" w:hAnsi="Century Schoolbook"/>
          <w:i/>
        </w:rPr>
        <w:t>Lamar Homes, Inc. v. Mid-Continent Cas. Co.</w:t>
      </w:r>
      <w:r w:rsidRPr="00BA506A">
        <w:rPr>
          <w:rFonts w:ascii="Century Schoolbook" w:hAnsi="Century Schoolbook"/>
        </w:rPr>
        <w:t>, 242 S.W.3d 1 (Tex. 2007)).</w:t>
      </w:r>
    </w:p>
  </w:endnote>
  <w:endnote w:id="45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U.S. Fire Ins. Co.</w:t>
      </w:r>
      <w:r w:rsidRPr="00BA506A">
        <w:rPr>
          <w:rFonts w:ascii="Century Schoolbook" w:hAnsi="Century Schoolbook"/>
        </w:rPr>
        <w:t>, 979 So. 2d 871.</w:t>
      </w:r>
    </w:p>
  </w:endnote>
  <w:endnote w:id="456">
    <w:p w:rsidR="009053EE" w:rsidRPr="00BA506A" w:rsidRDefault="009053EE" w:rsidP="00AB16BD">
      <w:pPr>
        <w:spacing w:after="120"/>
        <w:jc w:val="both"/>
        <w:rPr>
          <w:rFonts w:ascii="Century Schoolbook" w:hAnsi="Century Schoolbook"/>
          <w:sz w:val="20"/>
          <w:szCs w:val="20"/>
        </w:rPr>
      </w:pPr>
      <w:r w:rsidRPr="00BA506A">
        <w:rPr>
          <w:rStyle w:val="EndnoteReference"/>
          <w:rFonts w:ascii="Century Schoolbook" w:hAnsi="Century Schoolbook"/>
          <w:sz w:val="20"/>
          <w:szCs w:val="20"/>
        </w:rPr>
        <w:endnoteRef/>
      </w:r>
      <w:r w:rsidRPr="00BA506A">
        <w:rPr>
          <w:rFonts w:ascii="Century Schoolbook" w:hAnsi="Century Schoolbook"/>
          <w:sz w:val="20"/>
          <w:szCs w:val="20"/>
        </w:rPr>
        <w:t xml:space="preserve"> </w:t>
      </w:r>
      <w:r w:rsidRPr="00BA506A">
        <w:rPr>
          <w:rFonts w:ascii="Century Schoolbook" w:hAnsi="Century Schoolbook"/>
          <w:i/>
          <w:sz w:val="20"/>
          <w:szCs w:val="20"/>
        </w:rPr>
        <w:t>Id</w:t>
      </w:r>
      <w:r w:rsidRPr="00BA506A">
        <w:rPr>
          <w:rFonts w:ascii="Century Schoolbook" w:hAnsi="Century Schoolbook"/>
          <w:sz w:val="20"/>
          <w:szCs w:val="20"/>
        </w:rPr>
        <w:t xml:space="preserve">. at 879 (alteration in original) (quoting 2 Jeffrey W. Stempel, </w:t>
      </w:r>
      <w:r w:rsidRPr="00BA506A">
        <w:rPr>
          <w:rFonts w:ascii="Century Schoolbook" w:hAnsi="Century Schoolbook"/>
          <w:i/>
          <w:sz w:val="20"/>
          <w:szCs w:val="20"/>
        </w:rPr>
        <w:t>Stempel on Insurance Contracts</w:t>
      </w:r>
      <w:r w:rsidRPr="00BA506A">
        <w:rPr>
          <w:rFonts w:ascii="Century Schoolbook" w:hAnsi="Century Schoolbook"/>
          <w:sz w:val="20"/>
          <w:szCs w:val="20"/>
        </w:rPr>
        <w:t xml:space="preserve"> § 14.13[D], at 14-224.8 (3d ed. Supp. 2007)).</w:t>
      </w:r>
    </w:p>
  </w:endnote>
  <w:endnote w:id="45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883.</w:t>
      </w:r>
    </w:p>
  </w:endnote>
  <w:endnote w:id="45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5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673 N.W.2d at 76.</w:t>
      </w:r>
    </w:p>
  </w:endnote>
  <w:endnote w:id="460">
    <w:p w:rsidR="009053EE" w:rsidRPr="00BA506A" w:rsidRDefault="009053EE" w:rsidP="00AB16BD">
      <w:pPr>
        <w:spacing w:after="120"/>
        <w:jc w:val="both"/>
        <w:rPr>
          <w:rFonts w:ascii="Century Schoolbook" w:hAnsi="Century Schoolbook"/>
          <w:sz w:val="20"/>
          <w:szCs w:val="20"/>
        </w:rPr>
      </w:pPr>
      <w:r w:rsidRPr="00BA506A">
        <w:rPr>
          <w:rStyle w:val="EndnoteReference"/>
          <w:rFonts w:ascii="Century Schoolbook" w:hAnsi="Century Schoolbook"/>
          <w:sz w:val="20"/>
          <w:szCs w:val="20"/>
        </w:rPr>
        <w:endnoteRef/>
      </w:r>
      <w:r w:rsidRPr="00BA506A">
        <w:rPr>
          <w:rFonts w:ascii="Century Schoolbook" w:hAnsi="Century Schoolbook"/>
          <w:sz w:val="20"/>
          <w:szCs w:val="20"/>
        </w:rPr>
        <w:t xml:space="preserve"> </w:t>
      </w:r>
      <w:r w:rsidRPr="00BA506A">
        <w:rPr>
          <w:rFonts w:ascii="Century Schoolbook" w:hAnsi="Century Schoolbook"/>
          <w:i/>
          <w:sz w:val="20"/>
          <w:szCs w:val="20"/>
        </w:rPr>
        <w:t>J.S.U.B.</w:t>
      </w:r>
      <w:r w:rsidRPr="00BA506A">
        <w:rPr>
          <w:rFonts w:ascii="Century Schoolbook" w:hAnsi="Century Schoolbook"/>
          <w:sz w:val="20"/>
          <w:szCs w:val="20"/>
        </w:rPr>
        <w:t xml:space="preserve">, 979 So.2d at 884 (quoting </w:t>
      </w:r>
      <w:r w:rsidRPr="00BA506A">
        <w:rPr>
          <w:rFonts w:ascii="Century Schoolbook" w:hAnsi="Century Schoolbook"/>
          <w:i/>
          <w:sz w:val="20"/>
          <w:szCs w:val="20"/>
        </w:rPr>
        <w:t>American Girl</w:t>
      </w:r>
      <w:r w:rsidRPr="00BA506A">
        <w:rPr>
          <w:rFonts w:ascii="Century Schoolbook" w:hAnsi="Century Schoolbook"/>
          <w:sz w:val="20"/>
          <w:szCs w:val="20"/>
        </w:rPr>
        <w:t>, 673 N.W.2d at 77).</w:t>
      </w:r>
    </w:p>
  </w:endnote>
  <w:endnote w:id="46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884 (citing </w:t>
      </w:r>
      <w:r w:rsidRPr="00BA506A">
        <w:rPr>
          <w:rFonts w:ascii="Century Schoolbook" w:hAnsi="Century Schoolbook"/>
          <w:i/>
        </w:rPr>
        <w:t>Lee Builders, Inc. v. Farm Bureau Mut. Ins. Co.</w:t>
      </w:r>
      <w:r w:rsidRPr="00BA506A">
        <w:rPr>
          <w:rFonts w:ascii="Century Schoolbook" w:hAnsi="Century Schoolbook"/>
        </w:rPr>
        <w:t>, 137 P.3d 486, 491 (Kan. 2006)).</w:t>
      </w:r>
    </w:p>
  </w:endnote>
  <w:endnote w:id="46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884. </w:t>
      </w:r>
    </w:p>
  </w:endnote>
  <w:endnote w:id="463">
    <w:p w:rsidR="009053EE" w:rsidRPr="00BA506A" w:rsidRDefault="009053EE" w:rsidP="00AB16BD">
      <w:pPr>
        <w:spacing w:after="120"/>
        <w:jc w:val="both"/>
        <w:rPr>
          <w:rFonts w:ascii="Century Schoolbook" w:hAnsi="Century Schoolbook"/>
          <w:sz w:val="20"/>
          <w:szCs w:val="20"/>
        </w:rPr>
      </w:pPr>
      <w:r w:rsidRPr="00BA506A">
        <w:rPr>
          <w:rStyle w:val="EndnoteReference"/>
          <w:rFonts w:ascii="Century Schoolbook" w:hAnsi="Century Schoolbook"/>
          <w:sz w:val="20"/>
          <w:szCs w:val="20"/>
        </w:rPr>
        <w:endnoteRef/>
      </w:r>
      <w:r w:rsidRPr="00BA506A">
        <w:rPr>
          <w:rFonts w:ascii="Century Schoolbook" w:hAnsi="Century Schoolbook"/>
          <w:sz w:val="20"/>
          <w:szCs w:val="20"/>
        </w:rPr>
        <w:t xml:space="preserve"> </w:t>
      </w:r>
      <w:r w:rsidRPr="00BA506A">
        <w:rPr>
          <w:rFonts w:ascii="Century Schoolbook" w:hAnsi="Century Schoolbook"/>
          <w:i/>
          <w:sz w:val="20"/>
          <w:szCs w:val="20"/>
        </w:rPr>
        <w:t>Id</w:t>
      </w:r>
      <w:r w:rsidRPr="00BA506A">
        <w:rPr>
          <w:rFonts w:ascii="Century Schoolbook" w:hAnsi="Century Schoolbook"/>
          <w:sz w:val="20"/>
          <w:szCs w:val="20"/>
        </w:rPr>
        <w:t xml:space="preserve">. (citing </w:t>
      </w:r>
      <w:r w:rsidRPr="00BA506A">
        <w:rPr>
          <w:rFonts w:ascii="Century Schoolbook" w:hAnsi="Century Schoolbook"/>
          <w:i/>
          <w:sz w:val="20"/>
          <w:szCs w:val="20"/>
        </w:rPr>
        <w:t>B. Hall Contracting, Inc. v. Evanston Ins. Co.</w:t>
      </w:r>
      <w:r w:rsidRPr="00BA506A">
        <w:rPr>
          <w:rFonts w:ascii="Century Schoolbook" w:hAnsi="Century Schoolbook"/>
          <w:sz w:val="20"/>
          <w:szCs w:val="20"/>
        </w:rPr>
        <w:t>, 447 F. Supp. 2d 634, 639 (N.D. Tex. 2006)).</w:t>
      </w:r>
    </w:p>
  </w:endnote>
  <w:endnote w:id="464">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(citing ISO Properties, Inc., Endorsement CG 22 94 10 01, http://www.lexis.com;</w:t>
      </w:r>
      <w:r w:rsidRPr="00BA506A">
        <w:rPr>
          <w:rFonts w:ascii="Century Schoolbook" w:hAnsi="Century Schoolbook"/>
          <w:color w:val="0000FF"/>
        </w:rPr>
        <w:t xml:space="preserve"> </w:t>
      </w:r>
      <w:r w:rsidRPr="00BA506A">
        <w:rPr>
          <w:rFonts w:ascii="Century Schoolbook" w:hAnsi="Century Schoolbook"/>
          <w:i/>
        </w:rPr>
        <w:t>Lamar Homes, Inc. v. Mid-Continent Cas. Co.</w:t>
      </w:r>
      <w:r w:rsidRPr="00BA506A">
        <w:rPr>
          <w:rFonts w:ascii="Century Schoolbook" w:hAnsi="Century Schoolbook"/>
        </w:rPr>
        <w:t>, 242 S.W.3d 1 (Tex. 2007)).</w:t>
      </w:r>
    </w:p>
  </w:endnote>
  <w:endnote w:id="465">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884-85.</w:t>
      </w:r>
    </w:p>
  </w:endnote>
  <w:endnote w:id="466">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w:t>
      </w:r>
    </w:p>
  </w:endnote>
  <w:endnote w:id="467">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American Girl</w:t>
      </w:r>
      <w:r w:rsidRPr="00BA506A">
        <w:rPr>
          <w:rFonts w:ascii="Century Schoolbook" w:hAnsi="Century Schoolbook"/>
        </w:rPr>
        <w:t>, 673 N.W.2d at 69-70.</w:t>
      </w:r>
    </w:p>
  </w:endnote>
  <w:endnote w:id="468">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76.  </w:t>
      </w:r>
    </w:p>
  </w:endnote>
  <w:endnote w:id="469">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at 77.</w:t>
      </w:r>
    </w:p>
  </w:endnote>
  <w:endnote w:id="470">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Lamar Homes, Inc.</w:t>
      </w:r>
      <w:r w:rsidRPr="00BA506A">
        <w:rPr>
          <w:rFonts w:ascii="Century Schoolbook" w:hAnsi="Century Schoolbook"/>
        </w:rPr>
        <w:t xml:space="preserve">, 242 S.W.3d at 5, 10, 20.  </w:t>
      </w:r>
    </w:p>
  </w:endnote>
  <w:endnote w:id="471">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4.  </w:t>
      </w:r>
    </w:p>
  </w:endnote>
  <w:endnote w:id="472">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9.  </w:t>
      </w:r>
    </w:p>
  </w:endnote>
  <w:endnote w:id="473">
    <w:p w:rsidR="009053EE" w:rsidRPr="00BA506A" w:rsidRDefault="009053EE" w:rsidP="00AB16BD">
      <w:pPr>
        <w:pStyle w:val="EndnoteText"/>
        <w:spacing w:after="120"/>
        <w:jc w:val="both"/>
        <w:rPr>
          <w:rFonts w:ascii="Century Schoolbook" w:hAnsi="Century Schoolbook"/>
        </w:rPr>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Id</w:t>
      </w:r>
      <w:r w:rsidRPr="00BA506A">
        <w:rPr>
          <w:rFonts w:ascii="Century Schoolbook" w:hAnsi="Century Schoolbook"/>
        </w:rPr>
        <w:t xml:space="preserve">. at 14-15 (quoting Ellen S. Pryor, </w:t>
      </w:r>
      <w:r w:rsidRPr="00BA506A">
        <w:rPr>
          <w:rFonts w:ascii="Century Schoolbook" w:hAnsi="Century Schoolbook"/>
          <w:i/>
        </w:rPr>
        <w:t>The Economic Loss Rule and Liability Insurance</w:t>
      </w:r>
      <w:r w:rsidRPr="00BA506A">
        <w:rPr>
          <w:rFonts w:ascii="Century Schoolbook" w:hAnsi="Century Schoolbook"/>
        </w:rPr>
        <w:t>, 48 Ariz. L. Rev. 905, 917 (2006)).</w:t>
      </w:r>
    </w:p>
  </w:endnote>
  <w:endnote w:id="474">
    <w:p w:rsidR="009053EE" w:rsidRPr="00BA506A" w:rsidRDefault="009053EE" w:rsidP="00AB16BD">
      <w:pPr>
        <w:tabs>
          <w:tab w:val="left" w:pos="-1440"/>
        </w:tabs>
        <w:spacing w:after="120"/>
        <w:jc w:val="both"/>
        <w:rPr>
          <w:rFonts w:ascii="Century Schoolbook" w:hAnsi="Century Schoolbook"/>
          <w:sz w:val="20"/>
          <w:szCs w:val="20"/>
        </w:rPr>
      </w:pPr>
      <w:r w:rsidRPr="00BA506A">
        <w:rPr>
          <w:rStyle w:val="EndnoteReference"/>
          <w:rFonts w:ascii="Century Schoolbook" w:hAnsi="Century Schoolbook"/>
          <w:sz w:val="20"/>
          <w:szCs w:val="20"/>
        </w:rPr>
        <w:endnoteRef/>
      </w:r>
      <w:r w:rsidRPr="00BA506A">
        <w:rPr>
          <w:rFonts w:ascii="Century Schoolbook" w:hAnsi="Century Schoolbook"/>
          <w:sz w:val="20"/>
          <w:szCs w:val="20"/>
        </w:rPr>
        <w:t xml:space="preserve"> </w:t>
      </w:r>
      <w:r w:rsidRPr="00BA506A">
        <w:rPr>
          <w:rFonts w:ascii="Century Schoolbook" w:hAnsi="Century Schoolbook"/>
          <w:i/>
          <w:sz w:val="20"/>
          <w:szCs w:val="20"/>
        </w:rPr>
        <w:t>Id</w:t>
      </w:r>
      <w:r w:rsidRPr="00BA506A">
        <w:rPr>
          <w:rFonts w:ascii="Century Schoolbook" w:hAnsi="Century Schoolbook"/>
          <w:sz w:val="20"/>
          <w:szCs w:val="20"/>
        </w:rPr>
        <w:t xml:space="preserve">. at 14 (citing 48 Ariz. L. Rev. at 917 (quoting </w:t>
      </w:r>
      <w:r w:rsidRPr="00BA506A">
        <w:rPr>
          <w:rFonts w:ascii="Century Schoolbook" w:hAnsi="Century Schoolbook"/>
          <w:i/>
          <w:sz w:val="20"/>
          <w:szCs w:val="20"/>
        </w:rPr>
        <w:t>Anthem Elecs., Inc. v. Pac. Emp’rs Ins. Co.</w:t>
      </w:r>
      <w:r w:rsidRPr="00BA506A">
        <w:rPr>
          <w:rFonts w:ascii="Century Schoolbook" w:hAnsi="Century Schoolbook"/>
          <w:sz w:val="20"/>
          <w:szCs w:val="20"/>
        </w:rPr>
        <w:t>, 302 F.3d 1049, 1056 (9</w:t>
      </w:r>
      <w:r w:rsidRPr="00BA506A">
        <w:rPr>
          <w:rFonts w:ascii="Century Schoolbook" w:hAnsi="Century Schoolbook"/>
          <w:sz w:val="20"/>
          <w:szCs w:val="20"/>
          <w:vertAlign w:val="superscript"/>
        </w:rPr>
        <w:t>th</w:t>
      </w:r>
      <w:r w:rsidRPr="00BA506A">
        <w:rPr>
          <w:rFonts w:ascii="Century Schoolbook" w:hAnsi="Century Schoolbook"/>
          <w:sz w:val="20"/>
          <w:szCs w:val="20"/>
        </w:rPr>
        <w:t xml:space="preserve"> Cir. 2002)).</w:t>
      </w:r>
    </w:p>
  </w:endnote>
  <w:endnote w:id="475">
    <w:p w:rsidR="009053EE" w:rsidRDefault="009053EE" w:rsidP="00AB16BD">
      <w:pPr>
        <w:pStyle w:val="EndnoteText"/>
        <w:spacing w:after="120"/>
        <w:jc w:val="both"/>
      </w:pPr>
      <w:r w:rsidRPr="00BA506A">
        <w:rPr>
          <w:rStyle w:val="EndnoteReference"/>
          <w:rFonts w:ascii="Century Schoolbook" w:hAnsi="Century Schoolbook"/>
        </w:rPr>
        <w:endnoteRef/>
      </w:r>
      <w:r w:rsidRPr="00BA506A">
        <w:rPr>
          <w:rFonts w:ascii="Century Schoolbook" w:hAnsi="Century Schoolbook"/>
        </w:rPr>
        <w:t xml:space="preserve"> </w:t>
      </w:r>
      <w:r w:rsidRPr="00BA506A">
        <w:rPr>
          <w:rFonts w:ascii="Century Schoolbook" w:hAnsi="Century Schoolbook"/>
          <w:i/>
        </w:rPr>
        <w:t>HDI-Gerling Am. Ins. Co. v. Morrison Homes, Inc.</w:t>
      </w:r>
      <w:r w:rsidRPr="00BA506A">
        <w:rPr>
          <w:rFonts w:ascii="Century Schoolbook" w:hAnsi="Century Schoolbook"/>
        </w:rPr>
        <w:t>, 701 F.3d 662, 668 (11</w:t>
      </w:r>
      <w:r w:rsidRPr="00BA506A">
        <w:rPr>
          <w:rFonts w:ascii="Century Schoolbook" w:hAnsi="Century Schoolbook"/>
          <w:vertAlign w:val="superscript"/>
        </w:rPr>
        <w:t>th</w:t>
      </w:r>
      <w:r w:rsidRPr="00BA506A">
        <w:rPr>
          <w:rFonts w:ascii="Century Schoolbook" w:hAnsi="Century Schoolbook"/>
        </w:rPr>
        <w:t xml:space="preserve"> Cir. 2012).  </w:t>
      </w:r>
    </w:p>
  </w:endnote>
  <w:endnote w:id="47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i/>
        </w:rPr>
        <w:t xml:space="preserve"> See</w:t>
      </w:r>
      <w:r w:rsidRPr="00C9065B">
        <w:rPr>
          <w:rFonts w:ascii="Century Schoolbook" w:hAnsi="Century Schoolbook"/>
        </w:rPr>
        <w:t xml:space="preserve">, </w:t>
      </w:r>
      <w:r w:rsidRPr="00C9065B">
        <w:rPr>
          <w:rFonts w:ascii="Century Schoolbook" w:hAnsi="Century Schoolbook"/>
          <w:i/>
        </w:rPr>
        <w:t>e.g.</w:t>
      </w:r>
      <w:r w:rsidRPr="00C9065B">
        <w:rPr>
          <w:rFonts w:ascii="Century Schoolbook" w:hAnsi="Century Schoolbook"/>
        </w:rPr>
        <w:t xml:space="preserve">, </w:t>
      </w:r>
      <w:r w:rsidRPr="00C9065B">
        <w:rPr>
          <w:rFonts w:ascii="Century Schoolbook" w:hAnsi="Century Schoolbook"/>
          <w:i/>
        </w:rPr>
        <w:t>Santella v. Grizzly Indus., Inc.</w:t>
      </w:r>
      <w:r w:rsidRPr="00C9065B">
        <w:rPr>
          <w:rFonts w:ascii="Century Schoolbook" w:hAnsi="Century Schoolbook"/>
        </w:rPr>
        <w:t xml:space="preserve">, No. A-11-CV-181-LY (E.D. Tex.); </w:t>
      </w:r>
      <w:r w:rsidRPr="00C9065B">
        <w:rPr>
          <w:rFonts w:ascii="Century Schoolbook" w:hAnsi="Century Schoolbook"/>
          <w:i/>
        </w:rPr>
        <w:t>Stollings v. Ryobi Techs., Inc.</w:t>
      </w:r>
      <w:r w:rsidRPr="00C9065B">
        <w:rPr>
          <w:rFonts w:ascii="Century Schoolbook" w:hAnsi="Century Schoolbook"/>
        </w:rPr>
        <w:t xml:space="preserve">, No. 1:08-cv-04006 (N.D. Ill.); </w:t>
      </w:r>
      <w:r w:rsidRPr="00C9065B">
        <w:rPr>
          <w:rFonts w:ascii="Century Schoolbook" w:hAnsi="Century Schoolbook"/>
          <w:i/>
        </w:rPr>
        <w:t>Wielgus v. Ryobi Techs., Inc.</w:t>
      </w:r>
      <w:r w:rsidRPr="00C9065B">
        <w:rPr>
          <w:rFonts w:ascii="Century Schoolbook" w:hAnsi="Century Schoolbook"/>
        </w:rPr>
        <w:t xml:space="preserve">, No. 1:08-cv-1597 (N.D. Ill.); </w:t>
      </w:r>
      <w:r w:rsidRPr="00C9065B">
        <w:rPr>
          <w:rFonts w:ascii="Century Schoolbook" w:hAnsi="Century Schoolbook"/>
          <w:i/>
        </w:rPr>
        <w:t>Panosyan v. Black &amp; Decker</w:t>
      </w:r>
      <w:r w:rsidRPr="00C9065B">
        <w:rPr>
          <w:rFonts w:ascii="Century Schoolbook" w:hAnsi="Century Schoolbook"/>
        </w:rPr>
        <w:t>, No. BC434992 (Cal. Super. Ct.).</w:t>
      </w:r>
    </w:p>
  </w:endnote>
  <w:endnote w:id="477">
    <w:p w:rsidR="009053EE" w:rsidRPr="00C9065B" w:rsidRDefault="009053EE" w:rsidP="00C9065B">
      <w:pPr>
        <w:pStyle w:val="EndnoteText"/>
        <w:spacing w:afterLines="120" w:after="288"/>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 xml:space="preserve">generally </w:t>
      </w:r>
      <w:r w:rsidRPr="00C9065B">
        <w:rPr>
          <w:rFonts w:ascii="Century Schoolbook" w:hAnsi="Century Schoolbook"/>
        </w:rPr>
        <w:t xml:space="preserve">http://www.cpsc.gov/library/neiss.html.  </w:t>
      </w:r>
    </w:p>
  </w:endnote>
  <w:endnote w:id="47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 xml:space="preserve">See </w:t>
      </w:r>
      <w:r w:rsidRPr="00C9065B">
        <w:rPr>
          <w:rFonts w:ascii="Century Schoolbook" w:hAnsi="Century Schoolbook"/>
        </w:rPr>
        <w:t xml:space="preserve">Schroeder &amp; Ault, </w:t>
      </w:r>
      <w:r w:rsidRPr="00C9065B">
        <w:rPr>
          <w:rFonts w:ascii="Century Schoolbook" w:hAnsi="Century Schoolbook"/>
          <w:i/>
        </w:rPr>
        <w:t>The NEISS Sample (Design and Implementation) from 1997 to Present</w:t>
      </w:r>
      <w:r w:rsidRPr="00C9065B">
        <w:rPr>
          <w:rFonts w:ascii="Century Schoolbook" w:hAnsi="Century Schoolbook"/>
        </w:rPr>
        <w:t xml:space="preserve">, U.S. Consumer Product Safety Commission, June 2001, p. 18; Consumer Product Safety Commission, </w:t>
      </w:r>
      <w:r w:rsidRPr="00C9065B">
        <w:rPr>
          <w:rFonts w:ascii="Century Schoolbook" w:hAnsi="Century Schoolbook"/>
          <w:i/>
        </w:rPr>
        <w:t>NEISS, The National Electronic Injury Surveillance System: A Tool for Researchers</w:t>
      </w:r>
      <w:r w:rsidRPr="00C9065B">
        <w:rPr>
          <w:rFonts w:ascii="Century Schoolbook" w:hAnsi="Century Schoolbook"/>
        </w:rPr>
        <w:t>, March 2000.</w:t>
      </w:r>
    </w:p>
  </w:endnote>
  <w:endnote w:id="479">
    <w:p w:rsidR="009053EE" w:rsidRPr="00C9065B" w:rsidRDefault="009053EE" w:rsidP="00C9065B">
      <w:pPr>
        <w:pStyle w:val="EndnoteText"/>
        <w:spacing w:afterLines="120" w:after="288"/>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i/>
        </w:rPr>
        <w:t xml:space="preserve"> See </w:t>
      </w:r>
      <w:r w:rsidRPr="00C9065B">
        <w:rPr>
          <w:rFonts w:ascii="Century Schoolbook" w:hAnsi="Century Schoolbook"/>
        </w:rPr>
        <w:t xml:space="preserve">https://www.cpsc.gov/cgibin/NEISSQuery/PerformEstimates.aspx.  </w:t>
      </w:r>
    </w:p>
  </w:endnote>
  <w:endnote w:id="48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Econometrica, Inc., </w:t>
      </w:r>
      <w:r w:rsidRPr="00C9065B">
        <w:rPr>
          <w:rFonts w:ascii="Century Schoolbook" w:hAnsi="Century Schoolbook"/>
          <w:i/>
        </w:rPr>
        <w:t>Table Saw Operator Blade Contact Injuries: Review and Analysis of Injury and Social Cost Estimates</w:t>
      </w:r>
      <w:r w:rsidRPr="00C9065B">
        <w:rPr>
          <w:rFonts w:ascii="Century Schoolbook" w:hAnsi="Century Schoolbook"/>
        </w:rPr>
        <w:t xml:space="preserve"> (Feb. 28, 2012), pp. 7-8.</w:t>
      </w:r>
    </w:p>
  </w:endnote>
  <w:endnote w:id="48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 id.</w:t>
      </w:r>
      <w:r w:rsidRPr="00C9065B">
        <w:rPr>
          <w:rFonts w:ascii="Century Schoolbook" w:hAnsi="Century Schoolbook"/>
        </w:rPr>
        <w:t xml:space="preserve"> p. 6.</w:t>
      </w:r>
    </w:p>
  </w:endnote>
  <w:endnote w:id="48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NEISS Table Saw Accident Data for 2011 (</w:t>
      </w:r>
      <w:r w:rsidRPr="00C9065B">
        <w:rPr>
          <w:rFonts w:ascii="Century Schoolbook" w:hAnsi="Century Schoolbook"/>
          <w:i/>
        </w:rPr>
        <w:t>e.g.</w:t>
      </w:r>
      <w:r w:rsidRPr="00C9065B">
        <w:rPr>
          <w:rFonts w:ascii="Century Schoolbook" w:hAnsi="Century Schoolbook"/>
        </w:rPr>
        <w:t xml:space="preserve">, CPSC Case No. 110252483, “34 yom has low back pain after lifting a table saw yesterday”; Case No. 110506696, “55 yof had a syncopal episode, slipped and fell, struck head on the corner of a table saw, concussion”; Case No. 110148012, “54 yom moving a table saw … weight of table saw came down on forearm/wrist … wrist strain”). </w:t>
      </w:r>
    </w:p>
  </w:endnote>
  <w:endnote w:id="48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NEISS Data for 1997 (emphasis in original).  </w:t>
      </w:r>
    </w:p>
  </w:endnote>
  <w:endnote w:id="48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e.g.</w:t>
      </w:r>
      <w:r w:rsidRPr="00C9065B">
        <w:rPr>
          <w:rFonts w:ascii="Century Schoolbook" w:hAnsi="Century Schoolbook"/>
        </w:rPr>
        <w:t xml:space="preserve">, Case No. 111221948, “26 yof c/o traumatic butt pain, sitting on bench when screw came out and patient fell, landing on buttock”; Case No. 110551801, “87 yom pt had a table saw fall out of the shopping cart onto his lt lower leg. sustained a deep cut”; Case No. 110752908, “39 yom hit a table saw with his hand because he was angry” and broke his hand.   </w:t>
      </w:r>
    </w:p>
  </w:endnote>
  <w:endnote w:id="48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e.g.</w:t>
      </w:r>
      <w:r w:rsidRPr="00C9065B">
        <w:rPr>
          <w:rFonts w:ascii="Century Schoolbook" w:hAnsi="Century Schoolbook"/>
        </w:rPr>
        <w:t xml:space="preserve">, </w:t>
      </w:r>
      <w:r w:rsidRPr="00C9065B">
        <w:rPr>
          <w:rFonts w:ascii="Century Schoolbook" w:hAnsi="Century Schoolbook"/>
          <w:i/>
        </w:rPr>
        <w:t>Banks v. ICI Americas, Inc.</w:t>
      </w:r>
      <w:r w:rsidRPr="00C9065B">
        <w:rPr>
          <w:rFonts w:ascii="Century Schoolbook" w:hAnsi="Century Schoolbook"/>
        </w:rPr>
        <w:t>, 264 Ga. 732, 736 n.6, 450 S.E.2d 671 (1994).</w:t>
      </w:r>
    </w:p>
  </w:endnote>
  <w:endnote w:id="48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Hazard Screening Report dated June 2003, p. 13 n.5; p. 16.  </w:t>
      </w:r>
    </w:p>
  </w:endnote>
  <w:endnote w:id="48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DI Unif. Servs., Inc. v. United Water Unlimited Atlanta LLC</w:t>
      </w:r>
      <w:r w:rsidRPr="00C9065B">
        <w:rPr>
          <w:rFonts w:ascii="Century Schoolbook" w:hAnsi="Century Schoolbook"/>
        </w:rPr>
        <w:t xml:space="preserve">, 254 Ga. App. 317, 323, 562 S.E.2d 260 (2002).  </w:t>
      </w:r>
    </w:p>
  </w:endnote>
  <w:endnote w:id="48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United Techs. v. Mazer</w:t>
      </w:r>
      <w:r w:rsidRPr="00C9065B">
        <w:rPr>
          <w:rFonts w:ascii="Century Schoolbook" w:hAnsi="Century Schoolbook"/>
        </w:rPr>
        <w:t>, 556 F.3d 1260, 1278 (11</w:t>
      </w:r>
      <w:r w:rsidRPr="00C9065B">
        <w:rPr>
          <w:rFonts w:ascii="Century Schoolbook" w:hAnsi="Century Schoolbook"/>
          <w:vertAlign w:val="superscript"/>
        </w:rPr>
        <w:t>th</w:t>
      </w:r>
      <w:r w:rsidRPr="00C9065B">
        <w:rPr>
          <w:rFonts w:ascii="Century Schoolbook" w:hAnsi="Century Schoolbook"/>
        </w:rPr>
        <w:t xml:space="preserve"> Cir. 2009); </w:t>
      </w:r>
      <w:r w:rsidRPr="00C9065B">
        <w:rPr>
          <w:rFonts w:ascii="Century Schoolbook" w:hAnsi="Century Schoolbook"/>
          <w:i/>
        </w:rPr>
        <w:t>Scott v. State</w:t>
      </w:r>
      <w:r w:rsidRPr="00C9065B">
        <w:rPr>
          <w:rFonts w:ascii="Century Schoolbook" w:hAnsi="Century Schoolbook"/>
        </w:rPr>
        <w:t>, 281 Ga. 373, 379, 637 S.E.2d 652 (2006).</w:t>
      </w:r>
    </w:p>
  </w:endnote>
  <w:endnote w:id="48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O.C.G.A. §§ 24-8-803(6), (8).  </w:t>
      </w:r>
    </w:p>
  </w:endnote>
  <w:endnote w:id="49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S. Co. v. Hamburg</w:t>
      </w:r>
      <w:r w:rsidRPr="00C9065B">
        <w:rPr>
          <w:rFonts w:ascii="Century Schoolbook" w:hAnsi="Century Schoolbook"/>
        </w:rPr>
        <w:t xml:space="preserve">, 233 Ga. App. 135, 136, 503 S.E.2d 383 (1998) (addressing § 24-8-803(6)); </w:t>
      </w:r>
      <w:r w:rsidRPr="00C9065B">
        <w:rPr>
          <w:rFonts w:ascii="Century Schoolbook" w:hAnsi="Century Schoolbook"/>
          <w:i/>
        </w:rPr>
        <w:t>Douglas v. State</w:t>
      </w:r>
      <w:r w:rsidRPr="00C9065B">
        <w:rPr>
          <w:rFonts w:ascii="Century Schoolbook" w:hAnsi="Century Schoolbook"/>
        </w:rPr>
        <w:t xml:space="preserve">, 312 Ga. App. 585, 590, 718 S.E.2d 908 (2011) (addressing Rule 803(8)); </w:t>
      </w:r>
      <w:r w:rsidRPr="00C9065B">
        <w:rPr>
          <w:rFonts w:ascii="Century Schoolbook" w:hAnsi="Century Schoolbook"/>
          <w:i/>
        </w:rPr>
        <w:t>Angel Bus. Catalysts, LLC v. Bank of the Ozarks</w:t>
      </w:r>
      <w:r w:rsidRPr="00C9065B">
        <w:rPr>
          <w:rFonts w:ascii="Century Schoolbook" w:hAnsi="Century Schoolbook"/>
        </w:rPr>
        <w:t xml:space="preserve">, 316 Ga. App. 253, 255, 728 S.E.2d 854 (2012).  </w:t>
      </w:r>
    </w:p>
  </w:endnote>
  <w:endnote w:id="49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U.S. v. Glasser</w:t>
      </w:r>
      <w:r w:rsidRPr="00C9065B">
        <w:rPr>
          <w:rFonts w:ascii="Century Schoolbook" w:hAnsi="Century Schoolbook"/>
        </w:rPr>
        <w:t>, 773 F.2d 1553, 1559 (11</w:t>
      </w:r>
      <w:r w:rsidRPr="00C9065B">
        <w:rPr>
          <w:rFonts w:ascii="Century Schoolbook" w:hAnsi="Century Schoolbook"/>
          <w:vertAlign w:val="superscript"/>
        </w:rPr>
        <w:t>th</w:t>
      </w:r>
      <w:r w:rsidRPr="00C9065B">
        <w:rPr>
          <w:rFonts w:ascii="Century Schoolbook" w:hAnsi="Century Schoolbook"/>
        </w:rPr>
        <w:t xml:space="preserve"> Cir. 1985).</w:t>
      </w:r>
    </w:p>
  </w:endnote>
  <w:endnote w:id="49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O.C.G.A. § 24-8-803(8)(A), (B).  </w:t>
      </w:r>
    </w:p>
  </w:endnote>
  <w:endnote w:id="49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O.C.G.A. § 24-8-803(8)(C).  </w:t>
      </w:r>
    </w:p>
  </w:endnote>
  <w:endnote w:id="49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Adv. Comm. Note to Fed. R. Evid. 803(8).  </w:t>
      </w:r>
    </w:p>
  </w:endnote>
  <w:endnote w:id="49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 id.</w:t>
      </w:r>
    </w:p>
  </w:endnote>
  <w:endnote w:id="49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O.C.G.A. § 24-8-803(8)(C).  </w:t>
      </w:r>
    </w:p>
  </w:endnote>
  <w:endnote w:id="49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No. 08-CV-1597, 2012 WL 3614642 (N.D. Ill. Aug. 21, 2012).</w:t>
      </w:r>
    </w:p>
  </w:endnote>
  <w:endnote w:id="49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954 F.2d 1279 (7</w:t>
      </w:r>
      <w:r w:rsidRPr="00C9065B">
        <w:rPr>
          <w:rFonts w:ascii="Century Schoolbook" w:hAnsi="Century Schoolbook"/>
          <w:vertAlign w:val="superscript"/>
        </w:rPr>
        <w:t>th</w:t>
      </w:r>
      <w:r w:rsidRPr="00C9065B">
        <w:rPr>
          <w:rFonts w:ascii="Century Schoolbook" w:hAnsi="Century Schoolbook"/>
        </w:rPr>
        <w:t xml:space="preserve"> Cir. 1992).</w:t>
      </w:r>
    </w:p>
  </w:endnote>
  <w:endnote w:id="49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Wielgus</w:t>
      </w:r>
      <w:r w:rsidRPr="00C9065B">
        <w:rPr>
          <w:rFonts w:ascii="Century Schoolbook" w:hAnsi="Century Schoolbook"/>
        </w:rPr>
        <w:t xml:space="preserve">, 2012 WL 3614642 at *3.  </w:t>
      </w:r>
    </w:p>
  </w:endnote>
  <w:endnote w:id="50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30C </w:t>
      </w:r>
      <w:r w:rsidRPr="00C9065B">
        <w:rPr>
          <w:rFonts w:ascii="Century Schoolbook" w:hAnsi="Century Schoolbook"/>
          <w:smallCaps/>
        </w:rPr>
        <w:t>Fed. Prac. &amp; Proc. Evid</w:t>
      </w:r>
      <w:r w:rsidRPr="00C9065B">
        <w:rPr>
          <w:rFonts w:ascii="Century Schoolbook" w:hAnsi="Century Schoolbook"/>
        </w:rPr>
        <w:t xml:space="preserve">. § 7049 (collecting cases).  </w:t>
      </w:r>
    </w:p>
  </w:endnote>
  <w:endnote w:id="50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 id.</w:t>
      </w:r>
      <w:r w:rsidRPr="00C9065B">
        <w:rPr>
          <w:rFonts w:ascii="Century Schoolbook" w:hAnsi="Century Schoolbook"/>
        </w:rPr>
        <w:t xml:space="preserve"> at n.9.  </w:t>
      </w:r>
    </w:p>
  </w:endnote>
  <w:endnote w:id="50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4 </w:t>
      </w:r>
      <w:r w:rsidRPr="00C9065B">
        <w:rPr>
          <w:rFonts w:ascii="Century Schoolbook" w:hAnsi="Century Schoolbook"/>
          <w:smallCaps/>
        </w:rPr>
        <w:t>Federal Evidence</w:t>
      </w:r>
      <w:r w:rsidRPr="00C9065B">
        <w:rPr>
          <w:rFonts w:ascii="Century Schoolbook" w:hAnsi="Century Schoolbook"/>
        </w:rPr>
        <w:t xml:space="preserve"> § 8:86.  </w:t>
      </w:r>
    </w:p>
  </w:endnote>
  <w:endnote w:id="50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 8:89;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U.S. v. Pagan-Santini</w:t>
      </w:r>
      <w:r w:rsidRPr="00C9065B">
        <w:rPr>
          <w:rFonts w:ascii="Century Schoolbook" w:hAnsi="Century Schoolbook"/>
        </w:rPr>
        <w:t>, 451 F.3d 258, 264 (1</w:t>
      </w:r>
      <w:r w:rsidRPr="00C9065B">
        <w:rPr>
          <w:rFonts w:ascii="Century Schoolbook" w:hAnsi="Century Schoolbook"/>
          <w:vertAlign w:val="superscript"/>
        </w:rPr>
        <w:t>st</w:t>
      </w:r>
      <w:r w:rsidRPr="00C9065B">
        <w:rPr>
          <w:rFonts w:ascii="Century Schoolbook" w:hAnsi="Century Schoolbook"/>
        </w:rPr>
        <w:t xml:space="preserve"> Cir. 2006) (excluding tape of interview involving defendant and government agent, offered by defense; investigative findings provision does not apply, because defendant’s statement was not such a “finding”); </w:t>
      </w:r>
      <w:r w:rsidRPr="00C9065B">
        <w:rPr>
          <w:rFonts w:ascii="Century Schoolbook" w:hAnsi="Century Schoolbook"/>
          <w:i/>
        </w:rPr>
        <w:t>Parsons v. Honeywell, Inc.</w:t>
      </w:r>
      <w:r w:rsidRPr="00C9065B">
        <w:rPr>
          <w:rFonts w:ascii="Century Schoolbook" w:hAnsi="Century Schoolbook"/>
        </w:rPr>
        <w:t>, 929 F.2d 901, 907 (2</w:t>
      </w:r>
      <w:r w:rsidRPr="00C9065B">
        <w:rPr>
          <w:rFonts w:ascii="Century Schoolbook" w:hAnsi="Century Schoolbook"/>
          <w:vertAlign w:val="superscript"/>
        </w:rPr>
        <w:t>nd</w:t>
      </w:r>
      <w:r w:rsidRPr="00C9065B">
        <w:rPr>
          <w:rFonts w:ascii="Century Schoolbook" w:hAnsi="Century Schoolbook"/>
        </w:rPr>
        <w:t xml:space="preserve"> Cir. 1991) (after explosion, injured plaintiff told neighbor he smelled gas and shouldn’t have tried lighting water heater, and neighbor reported that statement to sheriff; sheriff’s report fit the exception, and plaintiff’s statement was excited utterance, but neighbor’s statement should not have been admitted).</w:t>
      </w:r>
    </w:p>
  </w:endnote>
  <w:endnote w:id="50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563 F.2d 632 (3</w:t>
      </w:r>
      <w:r w:rsidRPr="00C9065B">
        <w:rPr>
          <w:rFonts w:ascii="Century Schoolbook" w:hAnsi="Century Schoolbook"/>
          <w:vertAlign w:val="superscript"/>
        </w:rPr>
        <w:t>rd</w:t>
      </w:r>
      <w:r w:rsidRPr="00C9065B">
        <w:rPr>
          <w:rFonts w:ascii="Century Schoolbook" w:hAnsi="Century Schoolbook"/>
        </w:rPr>
        <w:t xml:space="preserve"> Cir. 1977).</w:t>
      </w:r>
    </w:p>
  </w:endnote>
  <w:endnote w:id="50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635.  </w:t>
      </w:r>
    </w:p>
  </w:endnote>
  <w:endnote w:id="50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636.  </w:t>
      </w:r>
    </w:p>
  </w:endnote>
  <w:endnote w:id="50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 xml:space="preserve">Id.   </w:t>
      </w:r>
    </w:p>
  </w:endnote>
  <w:endnote w:id="50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p>
  </w:endnote>
  <w:endnote w:id="50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r w:rsidRPr="00C9065B">
        <w:rPr>
          <w:rFonts w:ascii="Century Schoolbook" w:hAnsi="Century Schoolbook"/>
          <w:u w:val="single"/>
        </w:rPr>
        <w:t xml:space="preserve"> </w:t>
      </w:r>
    </w:p>
  </w:endnote>
  <w:endnote w:id="51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140 Fed. Appx. 170 (11</w:t>
      </w:r>
      <w:r w:rsidRPr="00C9065B">
        <w:rPr>
          <w:rFonts w:ascii="Century Schoolbook" w:hAnsi="Century Schoolbook"/>
          <w:vertAlign w:val="superscript"/>
        </w:rPr>
        <w:t>th</w:t>
      </w:r>
      <w:r w:rsidRPr="00C9065B">
        <w:rPr>
          <w:rFonts w:ascii="Century Schoolbook" w:hAnsi="Century Schoolbook"/>
        </w:rPr>
        <w:t xml:space="preserve"> Cir. 2005).</w:t>
      </w:r>
    </w:p>
  </w:endnote>
  <w:endnote w:id="51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140 Fed. Appx. at 174 n.5.  </w:t>
      </w:r>
    </w:p>
  </w:endnote>
  <w:endnote w:id="51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U.S. v. Ortiz</w:t>
      </w:r>
      <w:r w:rsidRPr="00C9065B">
        <w:rPr>
          <w:rFonts w:ascii="Century Schoolbook" w:hAnsi="Century Schoolbook"/>
        </w:rPr>
        <w:t>, 125 F.3d 630, 632 (8</w:t>
      </w:r>
      <w:r w:rsidRPr="00C9065B">
        <w:rPr>
          <w:rFonts w:ascii="Century Schoolbook" w:hAnsi="Century Schoolbook"/>
          <w:vertAlign w:val="superscript"/>
        </w:rPr>
        <w:t>th</w:t>
      </w:r>
      <w:r w:rsidRPr="00C9065B">
        <w:rPr>
          <w:rFonts w:ascii="Century Schoolbook" w:hAnsi="Century Schoolbook"/>
        </w:rPr>
        <w:t xml:space="preserve"> Cir. 1997) (DEA agent’s report containing informant’s statements was inadmissible double hearsay; report was “essentially a transcript of what the informant told the DEA agent” and did “not present ‘factual findings’” for purposes of Rule 803(8)).</w:t>
      </w:r>
    </w:p>
  </w:endnote>
  <w:endnote w:id="51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124 Fed. Appx. 336 (6</w:t>
      </w:r>
      <w:r w:rsidRPr="00C9065B">
        <w:rPr>
          <w:rFonts w:ascii="Century Schoolbook" w:hAnsi="Century Schoolbook"/>
          <w:vertAlign w:val="superscript"/>
        </w:rPr>
        <w:t>th</w:t>
      </w:r>
      <w:r w:rsidRPr="00C9065B">
        <w:rPr>
          <w:rFonts w:ascii="Century Schoolbook" w:hAnsi="Century Schoolbook"/>
        </w:rPr>
        <w:t xml:space="preserve"> Cir. 2005).</w:t>
      </w:r>
    </w:p>
  </w:endnote>
  <w:endnote w:id="51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124 Fed. Appx. at 343.  </w:t>
      </w:r>
    </w:p>
  </w:endnote>
  <w:endnote w:id="51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344.  </w:t>
      </w:r>
    </w:p>
  </w:endnote>
  <w:endnote w:id="51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p>
  </w:endnote>
  <w:endnote w:id="51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p>
  </w:endnote>
  <w:endnote w:id="51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345.    </w:t>
      </w:r>
    </w:p>
  </w:endnote>
  <w:endnote w:id="51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345-46;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U.S. v. Mackey</w:t>
      </w:r>
      <w:r w:rsidRPr="00C9065B">
        <w:rPr>
          <w:rFonts w:ascii="Century Schoolbook" w:hAnsi="Century Schoolbook"/>
        </w:rPr>
        <w:t>, 117 F.3d 24, 28-29 (1</w:t>
      </w:r>
      <w:r w:rsidRPr="00C9065B">
        <w:rPr>
          <w:rFonts w:ascii="Century Schoolbook" w:hAnsi="Century Schoolbook"/>
          <w:vertAlign w:val="superscript"/>
        </w:rPr>
        <w:t>st</w:t>
      </w:r>
      <w:r w:rsidRPr="00C9065B">
        <w:rPr>
          <w:rFonts w:ascii="Century Schoolbook" w:hAnsi="Century Schoolbook"/>
        </w:rPr>
        <w:t xml:space="preserve"> Cir. 1997) (“hearsay statements by third persons … are not admissible under [the public records] exception merely because they appear within public records”).</w:t>
      </w:r>
    </w:p>
  </w:endnote>
  <w:endnote w:id="52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954 F.2d 1279 (7</w:t>
      </w:r>
      <w:r w:rsidRPr="00C9065B">
        <w:rPr>
          <w:rFonts w:ascii="Century Schoolbook" w:hAnsi="Century Schoolbook"/>
          <w:vertAlign w:val="superscript"/>
        </w:rPr>
        <w:t>th</w:t>
      </w:r>
      <w:r w:rsidRPr="00C9065B">
        <w:rPr>
          <w:rFonts w:ascii="Century Schoolbook" w:hAnsi="Century Schoolbook"/>
        </w:rPr>
        <w:t xml:space="preserve"> Cir. 1992).</w:t>
      </w:r>
    </w:p>
  </w:endnote>
  <w:endnote w:id="52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1306.  </w:t>
      </w:r>
    </w:p>
  </w:endnote>
  <w:endnote w:id="52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p>
  </w:endnote>
  <w:endnote w:id="52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p>
  </w:endnote>
  <w:endnote w:id="52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1308.  </w:t>
      </w:r>
    </w:p>
  </w:endnote>
  <w:endnote w:id="52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w:t>
      </w:r>
    </w:p>
  </w:endnote>
  <w:endnote w:id="52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511 F.3d 707 (7</w:t>
      </w:r>
      <w:r w:rsidRPr="00C9065B">
        <w:rPr>
          <w:rFonts w:ascii="Century Schoolbook" w:hAnsi="Century Schoolbook"/>
          <w:vertAlign w:val="superscript"/>
        </w:rPr>
        <w:t>th</w:t>
      </w:r>
      <w:r w:rsidRPr="00C9065B">
        <w:rPr>
          <w:rFonts w:ascii="Century Schoolbook" w:hAnsi="Century Schoolbook"/>
        </w:rPr>
        <w:t xml:space="preserve"> Cir. 2007), </w:t>
      </w:r>
      <w:r w:rsidRPr="00C9065B">
        <w:rPr>
          <w:rFonts w:ascii="Century Schoolbook" w:hAnsi="Century Schoolbook"/>
          <w:i/>
        </w:rPr>
        <w:t>vacated on rhrg. en banc</w:t>
      </w:r>
      <w:r w:rsidRPr="00C9065B">
        <w:rPr>
          <w:rFonts w:ascii="Century Schoolbook" w:hAnsi="Century Schoolbook"/>
        </w:rPr>
        <w:t>, 549 F.3d 685 (2008).</w:t>
      </w:r>
    </w:p>
  </w:endnote>
  <w:endnote w:id="52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On July 16, 2008, the Seventh Circuit vacated its decision in </w:t>
      </w:r>
      <w:r w:rsidRPr="00C9065B">
        <w:rPr>
          <w:rFonts w:ascii="Century Schoolbook" w:hAnsi="Century Schoolbook"/>
          <w:i/>
        </w:rPr>
        <w:t>Boim</w:t>
      </w:r>
      <w:r w:rsidRPr="00C9065B">
        <w:rPr>
          <w:rFonts w:ascii="Century Schoolbook" w:hAnsi="Century Schoolbook"/>
        </w:rPr>
        <w:t xml:space="preserve"> when it agreed to hear the appeal en banc.  The en banc opinion, 549 F.3d 685, does not address the FBI memorandum or its admissibility and primarily considers the elements of a cause of action under 18 U.S.C. § 2333 against financial supporters of terrorism.  Although the opinion was vacated, </w:t>
      </w:r>
      <w:r w:rsidRPr="00C9065B">
        <w:rPr>
          <w:rFonts w:ascii="Century Schoolbook" w:hAnsi="Century Schoolbook"/>
          <w:i/>
        </w:rPr>
        <w:t>Boim</w:t>
      </w:r>
      <w:r w:rsidRPr="00C9065B">
        <w:rPr>
          <w:rFonts w:ascii="Century Schoolbook" w:hAnsi="Century Schoolbook"/>
        </w:rPr>
        <w:t xml:space="preserve"> is the Seventh Circuit’s latest word on this matter and suggests that, had the public records in </w:t>
      </w:r>
      <w:r w:rsidRPr="00C9065B">
        <w:rPr>
          <w:rFonts w:ascii="Century Schoolbook" w:hAnsi="Century Schoolbook"/>
          <w:i/>
        </w:rPr>
        <w:t>Amoco Cadiz</w:t>
      </w:r>
      <w:r w:rsidRPr="00C9065B">
        <w:rPr>
          <w:rFonts w:ascii="Century Schoolbook" w:hAnsi="Century Schoolbook"/>
        </w:rPr>
        <w:t xml:space="preserve"> contained information or statements that originated with third parties, they would not have been admissible under Rule 803(8).</w:t>
      </w:r>
    </w:p>
  </w:endnote>
  <w:endnote w:id="52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2012 WL 3614642 n.2.  </w:t>
      </w:r>
    </w:p>
  </w:endnote>
  <w:endnote w:id="52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898 F.2d 1452 (10</w:t>
      </w:r>
      <w:r w:rsidRPr="00C9065B">
        <w:rPr>
          <w:rFonts w:ascii="Century Schoolbook" w:hAnsi="Century Schoolbook"/>
          <w:vertAlign w:val="superscript"/>
        </w:rPr>
        <w:t>th</w:t>
      </w:r>
      <w:r w:rsidRPr="00C9065B">
        <w:rPr>
          <w:rFonts w:ascii="Century Schoolbook" w:hAnsi="Century Schoolbook"/>
        </w:rPr>
        <w:t xml:space="preserve"> Cir. 1990).</w:t>
      </w:r>
    </w:p>
  </w:endnote>
  <w:endnote w:id="53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at 1458.  </w:t>
      </w:r>
    </w:p>
  </w:endnote>
  <w:endnote w:id="53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McKinnon v. Skil Corp.</w:t>
      </w:r>
      <w:r w:rsidRPr="00C9065B">
        <w:rPr>
          <w:rFonts w:ascii="Century Schoolbook" w:hAnsi="Century Schoolbook"/>
        </w:rPr>
        <w:t>, 638 F.2d 270, 278 (1</w:t>
      </w:r>
      <w:r w:rsidRPr="00C9065B">
        <w:rPr>
          <w:rFonts w:ascii="Century Schoolbook" w:hAnsi="Century Schoolbook"/>
          <w:vertAlign w:val="superscript"/>
        </w:rPr>
        <w:t>st</w:t>
      </w:r>
      <w:r w:rsidRPr="00C9065B">
        <w:rPr>
          <w:rFonts w:ascii="Century Schoolbook" w:hAnsi="Century Schoolbook"/>
        </w:rPr>
        <w:t xml:space="preserve"> Cir. 1981).  </w:t>
      </w:r>
    </w:p>
  </w:endnote>
  <w:endnote w:id="53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Kloepfer</w:t>
      </w:r>
      <w:r w:rsidRPr="00C9065B">
        <w:rPr>
          <w:rFonts w:ascii="Century Schoolbook" w:hAnsi="Century Schoolbook"/>
        </w:rPr>
        <w:t>, 898 F.2d at 1458 (finding CPSC reports failed to meet “trustworthy” standards of Rule 803(8)).</w:t>
      </w:r>
    </w:p>
  </w:endnote>
  <w:endnote w:id="53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Another case that ruled on the admissibility of NEISS data in a products liability claim is </w:t>
      </w:r>
      <w:r w:rsidRPr="00C9065B">
        <w:rPr>
          <w:rFonts w:ascii="Century Schoolbook" w:hAnsi="Century Schoolbook"/>
          <w:i/>
        </w:rPr>
        <w:t>Jenks v. N.H. Motor Speedway</w:t>
      </w:r>
      <w:r w:rsidRPr="00C9065B">
        <w:rPr>
          <w:rFonts w:ascii="Century Schoolbook" w:hAnsi="Century Schoolbook"/>
        </w:rPr>
        <w:t xml:space="preserve">, No. 09-CV-205-JD, 2012 WL 274348 (D.N.H. Jan. 31, 2012), which the </w:t>
      </w:r>
      <w:r w:rsidRPr="00C9065B">
        <w:rPr>
          <w:rFonts w:ascii="Century Schoolbook" w:hAnsi="Century Schoolbook"/>
          <w:i/>
        </w:rPr>
        <w:t>Wielgus</w:t>
      </w:r>
      <w:r w:rsidRPr="00C9065B">
        <w:rPr>
          <w:rFonts w:ascii="Century Schoolbook" w:hAnsi="Century Schoolbook"/>
        </w:rPr>
        <w:t xml:space="preserve"> court cited.  The court in </w:t>
      </w:r>
      <w:r w:rsidRPr="00C9065B">
        <w:rPr>
          <w:rFonts w:ascii="Century Schoolbook" w:hAnsi="Century Schoolbook"/>
          <w:i/>
        </w:rPr>
        <w:t>Jenks</w:t>
      </w:r>
      <w:r w:rsidRPr="00C9065B">
        <w:rPr>
          <w:rFonts w:ascii="Century Schoolbook" w:hAnsi="Century Schoolbook"/>
        </w:rPr>
        <w:t xml:space="preserve"> held that evidence from NEISS of the number of accidents involving golf cars was admissible in a products liability case as a public record, because the Consumer Product Safety Act requires the CPSC to collect and disseminate injury data associated with consumer products, and NEISS is the mechanism through which the CPSC complies with that requirement.  Based solely on that statutory requirement, the court concluded that “the NEISS database appears to satisfy the requirements for a public record within the meaning of Rule 803(8).”  2012 WL 274348 at *2.  The </w:t>
      </w:r>
      <w:r w:rsidRPr="00C9065B">
        <w:rPr>
          <w:rFonts w:ascii="Century Schoolbook" w:hAnsi="Century Schoolbook"/>
          <w:i/>
        </w:rPr>
        <w:t>Jenks</w:t>
      </w:r>
      <w:r w:rsidRPr="00C9065B">
        <w:rPr>
          <w:rFonts w:ascii="Century Schoolbook" w:hAnsi="Century Schoolbook"/>
        </w:rPr>
        <w:t xml:space="preserve"> opinion seems to have relied on simplistic reasoning and on a cursory application of Rule 803(8), as is made clear by a more careful analysis of the other cases and authorities cited above.</w:t>
      </w:r>
    </w:p>
  </w:endnote>
  <w:endnote w:id="53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939 F.2d 260 (5</w:t>
      </w:r>
      <w:r w:rsidRPr="00C9065B">
        <w:rPr>
          <w:rFonts w:ascii="Century Schoolbook" w:hAnsi="Century Schoolbook"/>
          <w:vertAlign w:val="superscript"/>
        </w:rPr>
        <w:t>th</w:t>
      </w:r>
      <w:r w:rsidRPr="00C9065B">
        <w:rPr>
          <w:rFonts w:ascii="Century Schoolbook" w:hAnsi="Century Schoolbook"/>
        </w:rPr>
        <w:t xml:space="preserve"> Cir. 1991).</w:t>
      </w:r>
    </w:p>
  </w:endnote>
  <w:endnote w:id="53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 xml:space="preserve">Id. </w:t>
      </w:r>
      <w:r w:rsidRPr="00C9065B">
        <w:rPr>
          <w:rFonts w:ascii="Century Schoolbook" w:hAnsi="Century Schoolbook"/>
        </w:rPr>
        <w:t xml:space="preserve">at 271.  </w:t>
      </w:r>
    </w:p>
  </w:endnote>
  <w:endnote w:id="53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Id.</w:t>
      </w:r>
      <w:r w:rsidRPr="00C9065B">
        <w:rPr>
          <w:rFonts w:ascii="Century Schoolbook" w:hAnsi="Century Schoolbook"/>
        </w:rPr>
        <w:t xml:space="preserve"> (internal citation omitted).  </w:t>
      </w:r>
    </w:p>
  </w:endnote>
  <w:endnote w:id="53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T. Harris Young &amp; Assocs., Inc. v. Marquette Elecs., Inc.</w:t>
      </w:r>
      <w:r w:rsidRPr="00C9065B">
        <w:rPr>
          <w:rFonts w:ascii="Century Schoolbook" w:hAnsi="Century Schoolbook"/>
        </w:rPr>
        <w:t>, 931 F.2d 816, 828 (11</w:t>
      </w:r>
      <w:r w:rsidRPr="00C9065B">
        <w:rPr>
          <w:rFonts w:ascii="Century Schoolbook" w:hAnsi="Century Schoolbook"/>
          <w:vertAlign w:val="superscript"/>
        </w:rPr>
        <w:t>th</w:t>
      </w:r>
      <w:r w:rsidRPr="00C9065B">
        <w:rPr>
          <w:rFonts w:ascii="Century Schoolbook" w:hAnsi="Century Schoolbook"/>
        </w:rPr>
        <w:t xml:space="preserve"> Cir. 1991) (“For this exception to be available, all persons involved in the process must be acting in the regular course of business – otherwise an essential link in the trustworthiness chain is missing.”); </w:t>
      </w:r>
      <w:r w:rsidRPr="00C9065B">
        <w:rPr>
          <w:rFonts w:ascii="Century Schoolbook" w:hAnsi="Century Schoolbook"/>
          <w:i/>
        </w:rPr>
        <w:t>U.S. v. Baker</w:t>
      </w:r>
      <w:r w:rsidRPr="00C9065B">
        <w:rPr>
          <w:rFonts w:ascii="Century Schoolbook" w:hAnsi="Century Schoolbook"/>
        </w:rPr>
        <w:t>, 693 F.2d 183, 188 (D.C. Cir. 1982) (if source of information is an outsider, Rule 803(6) does not permit admission of business record; outsider’s statement must fall within another hearsay exception to be admissible “because it does not have the presumption of accuracy that statements made during the regular course of business have.”).</w:t>
      </w:r>
    </w:p>
  </w:endnote>
  <w:endnote w:id="53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GMC v. Moseley</w:t>
      </w:r>
      <w:r w:rsidRPr="00C9065B">
        <w:rPr>
          <w:rFonts w:ascii="Century Schoolbook" w:hAnsi="Century Schoolbook"/>
        </w:rPr>
        <w:t xml:space="preserve">, 213 Ga. App. 875, 877, 447 S.E.2d 302 (1994), </w:t>
      </w:r>
      <w:r w:rsidRPr="00C9065B">
        <w:rPr>
          <w:rFonts w:ascii="Century Schoolbook" w:hAnsi="Century Schoolbook"/>
          <w:i/>
        </w:rPr>
        <w:t>abrogated on other grounds by</w:t>
      </w:r>
      <w:r w:rsidRPr="00C9065B">
        <w:rPr>
          <w:rFonts w:ascii="Century Schoolbook" w:hAnsi="Century Schoolbook"/>
        </w:rPr>
        <w:t xml:space="preserve"> </w:t>
      </w:r>
      <w:r w:rsidRPr="00C9065B">
        <w:rPr>
          <w:rFonts w:ascii="Century Schoolbook" w:hAnsi="Century Schoolbook"/>
          <w:i/>
        </w:rPr>
        <w:t>Webster v. Boyett</w:t>
      </w:r>
      <w:r w:rsidRPr="00C9065B">
        <w:rPr>
          <w:rFonts w:ascii="Century Schoolbook" w:hAnsi="Century Schoolbook"/>
        </w:rPr>
        <w:t xml:space="preserve">, 269 Ga. 191, 496 S.E.2d 459 (1998).  </w:t>
      </w:r>
    </w:p>
  </w:endnote>
  <w:endnote w:id="53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Hessen ex rel. Allstate Ins. Co. v. Jaguar Cars, Inc.</w:t>
      </w:r>
      <w:r w:rsidRPr="00C9065B">
        <w:rPr>
          <w:rFonts w:ascii="Century Schoolbook" w:hAnsi="Century Schoolbook"/>
        </w:rPr>
        <w:t>, 915 F.2d 641, 649 (11</w:t>
      </w:r>
      <w:r w:rsidRPr="00C9065B">
        <w:rPr>
          <w:rFonts w:ascii="Century Schoolbook" w:hAnsi="Century Schoolbook"/>
          <w:vertAlign w:val="superscript"/>
        </w:rPr>
        <w:t>th</w:t>
      </w:r>
      <w:r w:rsidRPr="00C9065B">
        <w:rPr>
          <w:rFonts w:ascii="Century Schoolbook" w:hAnsi="Century Schoolbook"/>
        </w:rPr>
        <w:t xml:space="preserve"> Cir. 1990).  </w:t>
      </w:r>
    </w:p>
  </w:endnote>
  <w:endnote w:id="54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Moseley</w:t>
      </w:r>
      <w:r w:rsidRPr="00C9065B">
        <w:rPr>
          <w:rFonts w:ascii="Century Schoolbook" w:hAnsi="Century Schoolbook"/>
        </w:rPr>
        <w:t xml:space="preserve">, 213 Ga. App. at 877.  </w:t>
      </w:r>
    </w:p>
  </w:endnote>
  <w:endnote w:id="54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Cooper Tire &amp; Rubber Co. v. Crosby</w:t>
      </w:r>
      <w:r w:rsidRPr="00C9065B">
        <w:rPr>
          <w:rFonts w:ascii="Century Schoolbook" w:hAnsi="Century Schoolbook"/>
        </w:rPr>
        <w:t xml:space="preserve">, 273 Ga. 454, 455-56, 543 S.E.2d 21 (2001).   </w:t>
      </w:r>
    </w:p>
  </w:endnote>
  <w:endnote w:id="54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Ford Motor Co. v. Reese</w:t>
      </w:r>
      <w:r w:rsidRPr="00C9065B">
        <w:rPr>
          <w:rFonts w:ascii="Century Schoolbook" w:hAnsi="Century Schoolbook"/>
        </w:rPr>
        <w:t xml:space="preserve">, 300 Ga. App. 82, 89-90, 684 S.E.2d 279 (2009);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Uniroyal Goodrich Tire Co. v. Ford</w:t>
      </w:r>
      <w:r w:rsidRPr="00C9065B">
        <w:rPr>
          <w:rFonts w:ascii="Century Schoolbook" w:hAnsi="Century Schoolbook"/>
        </w:rPr>
        <w:t xml:space="preserve">, 218 Ga. App. 248, 260, 461 S.E.2d 877 (1995) (it was reversible error to admit tire adjustment data in products liability case without a “showing of similarity of the tires, defects or the causes thereof”);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Stovall v. DaimlerChrysler Motors Corp.</w:t>
      </w:r>
      <w:r w:rsidRPr="00C9065B">
        <w:rPr>
          <w:rFonts w:ascii="Century Schoolbook" w:hAnsi="Century Schoolbook"/>
        </w:rPr>
        <w:t xml:space="preserve">, 270 Ga. App. 791, 793, 608 S.E.2d 245 (2004) (evidence of thirteen accidents involving sudden acceleration in other vehicles was not substantially similar to alleged sudden acceleration that caused motorist’s accident, and thus was not relevant in motorist’s products liability action against automobile manufacturer; motorist’s own expert testified as to numerous possible causes for sudden acceleration and that cross-over circuit faults were probable cause of motorist’s collision, but he could not identify what caused sudden acceleration in other accidents).  </w:t>
      </w:r>
    </w:p>
  </w:endnote>
  <w:endnote w:id="54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Barker v. Deere &amp; Co.</w:t>
      </w:r>
      <w:r w:rsidRPr="00C9065B">
        <w:rPr>
          <w:rFonts w:ascii="Century Schoolbook" w:hAnsi="Century Schoolbook"/>
        </w:rPr>
        <w:t>, 60 F.3d 158, 163 (3</w:t>
      </w:r>
      <w:r w:rsidRPr="00C9065B">
        <w:rPr>
          <w:rFonts w:ascii="Century Schoolbook" w:hAnsi="Century Schoolbook"/>
          <w:vertAlign w:val="superscript"/>
        </w:rPr>
        <w:t>rd</w:t>
      </w:r>
      <w:r w:rsidRPr="00C9065B">
        <w:rPr>
          <w:rFonts w:ascii="Century Schoolbook" w:hAnsi="Century Schoolbook"/>
        </w:rPr>
        <w:t xml:space="preserve"> Cir. 1995).  </w:t>
      </w:r>
    </w:p>
  </w:endnote>
  <w:endnote w:id="54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Peterson v. Auto Wash Mfg. Supply Co.</w:t>
      </w:r>
      <w:r w:rsidRPr="00C9065B">
        <w:rPr>
          <w:rFonts w:ascii="Century Schoolbook" w:hAnsi="Century Schoolbook"/>
        </w:rPr>
        <w:t>, 676 F.2d 949, 953 (8</w:t>
      </w:r>
      <w:r w:rsidRPr="00C9065B">
        <w:rPr>
          <w:rFonts w:ascii="Century Schoolbook" w:hAnsi="Century Schoolbook"/>
          <w:vertAlign w:val="superscript"/>
        </w:rPr>
        <w:t>th</w:t>
      </w:r>
      <w:r w:rsidRPr="00C9065B">
        <w:rPr>
          <w:rFonts w:ascii="Century Schoolbook" w:hAnsi="Century Schoolbook"/>
        </w:rPr>
        <w:t xml:space="preserve"> Cir. 1982).  </w:t>
      </w:r>
    </w:p>
  </w:endnote>
  <w:endnote w:id="54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Barker</w:t>
      </w:r>
      <w:r w:rsidRPr="00C9065B">
        <w:rPr>
          <w:rFonts w:ascii="Century Schoolbook" w:hAnsi="Century Schoolbook"/>
        </w:rPr>
        <w:t xml:space="preserve">, 60 F.3d at 162;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Nachtsheim v. Beech Aircraft Corp.</w:t>
      </w:r>
      <w:r w:rsidRPr="00C9065B">
        <w:rPr>
          <w:rFonts w:ascii="Century Schoolbook" w:hAnsi="Century Schoolbook"/>
        </w:rPr>
        <w:t>, 847 F.2d 1261, 1268 (7</w:t>
      </w:r>
      <w:r w:rsidRPr="00C9065B">
        <w:rPr>
          <w:rFonts w:ascii="Century Schoolbook" w:hAnsi="Century Schoolbook"/>
          <w:vertAlign w:val="superscript"/>
        </w:rPr>
        <w:t>th</w:t>
      </w:r>
      <w:r w:rsidRPr="00C9065B">
        <w:rPr>
          <w:rFonts w:ascii="Century Schoolbook" w:hAnsi="Century Schoolbook"/>
        </w:rPr>
        <w:t xml:space="preserve"> Cir. 1988) (noting the “foundational requirement ... is especially important in cases ... where the evidence is proffered to show the existence of a dangerous condition or causation”).</w:t>
      </w:r>
    </w:p>
  </w:endnote>
  <w:endnote w:id="54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Kloepfer</w:t>
      </w:r>
      <w:r w:rsidRPr="00C9065B">
        <w:rPr>
          <w:rFonts w:ascii="Century Schoolbook" w:hAnsi="Century Schoolbook"/>
        </w:rPr>
        <w:t xml:space="preserve">, 898 F.2d at 1458 (affirming exclusion of CPSC report because it contained information on all types of all-terrain vehicles instead of just the three-wheelers at issue in that case, and because data was not limited to the make, model, year or manufacturer at issue in that case); </w:t>
      </w:r>
      <w:r w:rsidRPr="00C9065B">
        <w:rPr>
          <w:rFonts w:ascii="Century Schoolbook" w:hAnsi="Century Schoolbook"/>
          <w:i/>
        </w:rPr>
        <w:t>Kontz v. K-Mart Corp.</w:t>
      </w:r>
      <w:r w:rsidRPr="00C9065B">
        <w:rPr>
          <w:rFonts w:ascii="Century Schoolbook" w:hAnsi="Century Schoolbook"/>
        </w:rPr>
        <w:t>, 712 F.2d 1302, 1304 (8</w:t>
      </w:r>
      <w:r w:rsidRPr="00C9065B">
        <w:rPr>
          <w:rFonts w:ascii="Century Schoolbook" w:hAnsi="Century Schoolbook"/>
          <w:vertAlign w:val="superscript"/>
        </w:rPr>
        <w:t>th</w:t>
      </w:r>
      <w:r w:rsidRPr="00C9065B">
        <w:rPr>
          <w:rFonts w:ascii="Century Schoolbook" w:hAnsi="Century Schoolbook"/>
        </w:rPr>
        <w:t xml:space="preserve"> Cir. 1983) (in case involving allegedly defective folding beach chair, trial court did not abuse its discretion in excluding CPSC study showing 8,000 injuries a year from folding beach chairs, “especially in the absence of proof of similarity of circumstances”).  </w:t>
      </w:r>
    </w:p>
  </w:endnote>
  <w:endnote w:id="547">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e.g.</w:t>
      </w:r>
      <w:r w:rsidRPr="00C9065B">
        <w:rPr>
          <w:rFonts w:ascii="Century Schoolbook" w:hAnsi="Century Schoolbook"/>
        </w:rPr>
        <w:t xml:space="preserve">, Case No. 110108639, “58 yr old male cut finger on table saw;” Case No. 110132847 “80 yom using table saw slipped, cut finger, finger laceration” ; Case No. 110147633, “17 yom cut lt thumb on table saw @ school.”  Proving the particular circumstances of the other accidents reported in the NEISS database is crucial to establishing substantial similarity.  </w:t>
      </w:r>
    </w:p>
  </w:endnote>
  <w:endnote w:id="548">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Reese</w:t>
      </w:r>
      <w:r w:rsidRPr="00C9065B">
        <w:rPr>
          <w:rFonts w:ascii="Century Schoolbook" w:hAnsi="Century Schoolbook"/>
        </w:rPr>
        <w:t xml:space="preserve">, 300 Ga. App. at 89-90.  </w:t>
      </w:r>
    </w:p>
  </w:endnote>
  <w:endnote w:id="549">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e.g.</w:t>
      </w:r>
      <w:r w:rsidRPr="00C9065B">
        <w:rPr>
          <w:rFonts w:ascii="Century Schoolbook" w:hAnsi="Century Schoolbook"/>
        </w:rPr>
        <w:t xml:space="preserve">, Case No. 110932907, “48 yom lifted a table saw onto truck … lumbar strain” ; Case No. 110400814, “26 y/o male using table saw and got something in eye; corneal abrasion” ; Case No. 110845990, “20 yom putting a tv set on a shelf in his garage and fell off the ladder onto a table saw, laceration lower arm.”  </w:t>
      </w:r>
    </w:p>
  </w:endnote>
  <w:endnote w:id="550">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O.C.G.A. § 24-4-403.  </w:t>
      </w:r>
    </w:p>
  </w:endnote>
  <w:endnote w:id="551">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First Bancorp Mortg. Corp. v. Giddens</w:t>
      </w:r>
      <w:r w:rsidRPr="00C9065B">
        <w:rPr>
          <w:rFonts w:ascii="Century Schoolbook" w:hAnsi="Century Schoolbook"/>
        </w:rPr>
        <w:t>, 251 Ga. App. 676, 678, 555 S.E.2d 53 (2001).</w:t>
      </w:r>
    </w:p>
  </w:endnote>
  <w:endnote w:id="552">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Wolf v. Proctor &amp; Gamble Co.</w:t>
      </w:r>
      <w:r w:rsidRPr="00C9065B">
        <w:rPr>
          <w:rFonts w:ascii="Century Schoolbook" w:hAnsi="Century Schoolbook"/>
        </w:rPr>
        <w:t xml:space="preserve">, 555 F. Supp. 613, 622 (D.N.J. 1982) (“There is also the danger that in considering these other complaints, the jury might confuse the issues in the case and lose sight of the actual injury being litigated.”);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Crump v. Versa Prods., Inc.</w:t>
      </w:r>
      <w:r w:rsidRPr="00C9065B">
        <w:rPr>
          <w:rFonts w:ascii="Century Schoolbook" w:hAnsi="Century Schoolbook"/>
        </w:rPr>
        <w:t>, 400 F.3d 1104, 1109 (8</w:t>
      </w:r>
      <w:r w:rsidRPr="00C9065B">
        <w:rPr>
          <w:rFonts w:ascii="Century Schoolbook" w:hAnsi="Century Schoolbook"/>
          <w:vertAlign w:val="superscript"/>
        </w:rPr>
        <w:t>th</w:t>
      </w:r>
      <w:r w:rsidRPr="00C9065B">
        <w:rPr>
          <w:rFonts w:ascii="Century Schoolbook" w:hAnsi="Century Schoolbook"/>
        </w:rPr>
        <w:t xml:space="preserve"> Cir. 2005) (“Although evidence of substantially similar incidents may be admitted in a product liability case, evidence of other injuries may also raise extraneous controversial points, lead to a confusion of issues, and present undue prejudice disproportionate to its usefulness.”); </w:t>
      </w:r>
      <w:r w:rsidRPr="00C9065B">
        <w:rPr>
          <w:rFonts w:ascii="Century Schoolbook" w:hAnsi="Century Schoolbook"/>
          <w:bCs/>
          <w:i/>
          <w:color w:val="000000"/>
          <w:kern w:val="36"/>
        </w:rPr>
        <w:t>Heath v. Suzuki Motor Corp.</w:t>
      </w:r>
      <w:r w:rsidRPr="00C9065B">
        <w:rPr>
          <w:rFonts w:ascii="Century Schoolbook" w:hAnsi="Century Schoolbook"/>
          <w:bCs/>
          <w:color w:val="000000"/>
          <w:kern w:val="36"/>
        </w:rPr>
        <w:t xml:space="preserve">, </w:t>
      </w:r>
      <w:r w:rsidRPr="00C9065B">
        <w:rPr>
          <w:rFonts w:ascii="Century Schoolbook" w:hAnsi="Century Schoolbook"/>
        </w:rPr>
        <w:t>126 F.3d 1391, 1396 (11</w:t>
      </w:r>
      <w:r w:rsidRPr="00C9065B">
        <w:rPr>
          <w:rFonts w:ascii="Century Schoolbook" w:hAnsi="Century Schoolbook"/>
          <w:vertAlign w:val="superscript"/>
        </w:rPr>
        <w:t>th</w:t>
      </w:r>
      <w:r w:rsidRPr="00C9065B">
        <w:rPr>
          <w:rFonts w:ascii="Century Schoolbook" w:hAnsi="Century Schoolbook"/>
        </w:rPr>
        <w:t xml:space="preserve"> Cir. 1997) (evidence that “is apt to confuse or mislead the jury” is inadmissible).  </w:t>
      </w:r>
    </w:p>
  </w:endnote>
  <w:endnote w:id="553">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Knauff</w:t>
      </w:r>
      <w:r w:rsidRPr="00C9065B">
        <w:rPr>
          <w:rFonts w:ascii="Century Schoolbook" w:hAnsi="Century Schoolbook"/>
        </w:rPr>
        <w:t xml:space="preserve">, 2010 WL 114014 at *4.  </w:t>
      </w:r>
    </w:p>
  </w:endnote>
  <w:endnote w:id="554">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Banks v. ICI Ams., Inc.</w:t>
      </w:r>
      <w:r w:rsidRPr="00C9065B">
        <w:rPr>
          <w:rFonts w:ascii="Century Schoolbook" w:hAnsi="Century Schoolbook"/>
        </w:rPr>
        <w:t xml:space="preserve">, 264 Ga. 732, 736 n.6, 450 S.E.2d 671 (1994);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also</w:t>
      </w:r>
      <w:r w:rsidRPr="00C9065B">
        <w:rPr>
          <w:rFonts w:ascii="Century Schoolbook" w:hAnsi="Century Schoolbook"/>
        </w:rPr>
        <w:t xml:space="preserve"> </w:t>
      </w:r>
      <w:r w:rsidRPr="00C9065B">
        <w:rPr>
          <w:rFonts w:ascii="Century Schoolbook" w:hAnsi="Century Schoolbook"/>
          <w:i/>
        </w:rPr>
        <w:t>Kersey v. Dolgencorp LLC</w:t>
      </w:r>
      <w:r w:rsidRPr="00C9065B">
        <w:rPr>
          <w:rFonts w:ascii="Century Schoolbook" w:hAnsi="Century Schoolbook"/>
        </w:rPr>
        <w:t xml:space="preserve">, No. 1:09-CV-898-RWS, 2011 WL 1670886, *3 (N.D. Ga. May 3, 2011); </w:t>
      </w:r>
      <w:r w:rsidRPr="00C9065B">
        <w:rPr>
          <w:rFonts w:ascii="Century Schoolbook" w:hAnsi="Century Schoolbook"/>
          <w:i/>
        </w:rPr>
        <w:t>Mascarenas v. Cooper Tire &amp; Rubber Co.</w:t>
      </w:r>
      <w:r w:rsidRPr="00C9065B">
        <w:rPr>
          <w:rFonts w:ascii="Century Schoolbook" w:hAnsi="Century Schoolbook"/>
        </w:rPr>
        <w:t xml:space="preserve">, 643 F. Supp. 2d 1363, 1369 (S.D. Ga. 2009); </w:t>
      </w:r>
      <w:r w:rsidRPr="00C9065B">
        <w:rPr>
          <w:rFonts w:ascii="Century Schoolbook" w:hAnsi="Century Schoolbook"/>
          <w:i/>
        </w:rPr>
        <w:t>Mize v. HJC Corp.</w:t>
      </w:r>
      <w:r w:rsidRPr="00C9065B">
        <w:rPr>
          <w:rFonts w:ascii="Century Schoolbook" w:hAnsi="Century Schoolbook"/>
        </w:rPr>
        <w:t xml:space="preserve">, No. CIV-A-103CV2397-JEC, 2006 WL 2639477, *3 (N.D. Ga. Sept. 13, 2006); </w:t>
      </w:r>
      <w:r w:rsidRPr="00C9065B">
        <w:rPr>
          <w:rFonts w:ascii="Century Schoolbook" w:hAnsi="Century Schoolbook"/>
          <w:i/>
        </w:rPr>
        <w:t>Kelley v. Hedwin Corp.</w:t>
      </w:r>
      <w:r w:rsidRPr="00C9065B">
        <w:rPr>
          <w:rFonts w:ascii="Century Schoolbook" w:hAnsi="Century Schoolbook"/>
        </w:rPr>
        <w:t xml:space="preserve">, 308 Ga. App. 509, 512, 707 S.E.2d 895 (2011); </w:t>
      </w:r>
      <w:r w:rsidRPr="00C9065B">
        <w:rPr>
          <w:rFonts w:ascii="Century Schoolbook" w:hAnsi="Century Schoolbook"/>
          <w:i/>
        </w:rPr>
        <w:t>Bryant v. Hoffmann-La Roche, Inc.</w:t>
      </w:r>
      <w:r w:rsidRPr="00C9065B">
        <w:rPr>
          <w:rFonts w:ascii="Century Schoolbook" w:hAnsi="Century Schoolbook"/>
        </w:rPr>
        <w:t xml:space="preserve">, 262 Ga. App. 401, 409, 585 S.E.2d 723 (2003); </w:t>
      </w:r>
      <w:r w:rsidRPr="00C9065B">
        <w:rPr>
          <w:rFonts w:ascii="Century Schoolbook" w:hAnsi="Century Schoolbook"/>
          <w:i/>
        </w:rPr>
        <w:t>Moore v. ECI Mgmt.</w:t>
      </w:r>
      <w:r w:rsidRPr="00C9065B">
        <w:rPr>
          <w:rFonts w:ascii="Century Schoolbook" w:hAnsi="Century Schoolbook"/>
        </w:rPr>
        <w:t xml:space="preserve">, 246 Ga. App. 601, 605, 542 S.E.2d 115 (2000); </w:t>
      </w:r>
      <w:r w:rsidRPr="00C9065B">
        <w:rPr>
          <w:rFonts w:ascii="Century Schoolbook" w:hAnsi="Century Schoolbook"/>
          <w:i/>
        </w:rPr>
        <w:t xml:space="preserve">Dean v. Toyota Indus. Equip. Mfg., Inc., </w:t>
      </w:r>
      <w:r w:rsidRPr="00C9065B">
        <w:rPr>
          <w:rFonts w:ascii="Century Schoolbook" w:hAnsi="Century Schoolbook"/>
        </w:rPr>
        <w:t xml:space="preserve">246 Ga. App. 255, 259, 540 S.E.2d 233 (2000); </w:t>
      </w:r>
      <w:r w:rsidRPr="00C9065B">
        <w:rPr>
          <w:rFonts w:ascii="Century Schoolbook" w:hAnsi="Century Schoolbook"/>
          <w:i/>
        </w:rPr>
        <w:t>Bodymasters Sports Indus. v. Wimberley</w:t>
      </w:r>
      <w:r w:rsidRPr="00C9065B">
        <w:rPr>
          <w:rFonts w:ascii="Century Schoolbook" w:hAnsi="Century Schoolbook"/>
        </w:rPr>
        <w:t xml:space="preserve">, 232 Ga. App. 170, 172, 501 S.E.2d 556 (1998).  </w:t>
      </w:r>
    </w:p>
  </w:endnote>
  <w:endnote w:id="555">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Hazard Screening Report dated June 2003, p. 13 n.5; p. 16.  </w:t>
      </w:r>
    </w:p>
  </w:endnote>
  <w:endnote w:id="556">
    <w:p w:rsidR="009053EE" w:rsidRPr="00C9065B"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w:t>
      </w:r>
      <w:r w:rsidRPr="00C9065B">
        <w:rPr>
          <w:rFonts w:ascii="Century Schoolbook" w:hAnsi="Century Schoolbook"/>
          <w:i/>
        </w:rPr>
        <w:t>See</w:t>
      </w:r>
      <w:r w:rsidRPr="00C9065B">
        <w:rPr>
          <w:rFonts w:ascii="Century Schoolbook" w:hAnsi="Century Schoolbook"/>
        </w:rPr>
        <w:t xml:space="preserve"> </w:t>
      </w:r>
      <w:r w:rsidRPr="00C9065B">
        <w:rPr>
          <w:rFonts w:ascii="Century Schoolbook" w:hAnsi="Century Schoolbook"/>
          <w:i/>
        </w:rPr>
        <w:t>Wielgus v. Ryobi Techs., Inc.</w:t>
      </w:r>
      <w:r w:rsidRPr="00C9065B">
        <w:rPr>
          <w:rFonts w:ascii="Century Schoolbook" w:hAnsi="Century Schoolbook"/>
        </w:rPr>
        <w:t xml:space="preserve">, No. 08-CV-1597, 2012 WL 3643682, *15 (N.D. Ill. Aug. 23, 2012).  </w:t>
      </w:r>
    </w:p>
  </w:endnote>
  <w:endnote w:id="557">
    <w:p w:rsidR="009053EE" w:rsidRPr="009414F8" w:rsidRDefault="009053EE" w:rsidP="00C9065B">
      <w:pPr>
        <w:pStyle w:val="EndnoteText"/>
        <w:spacing w:afterLines="120" w:after="288"/>
        <w:jc w:val="both"/>
        <w:rPr>
          <w:rFonts w:ascii="Century Schoolbook" w:hAnsi="Century Schoolbook"/>
        </w:rPr>
      </w:pPr>
      <w:r w:rsidRPr="00C9065B">
        <w:rPr>
          <w:rStyle w:val="EndnoteReference"/>
          <w:rFonts w:ascii="Century Schoolbook" w:hAnsi="Century Schoolbook"/>
        </w:rPr>
        <w:endnoteRef/>
      </w:r>
      <w:r w:rsidRPr="00C9065B">
        <w:rPr>
          <w:rFonts w:ascii="Century Schoolbook" w:hAnsi="Century Schoolbook"/>
        </w:rPr>
        <w:t xml:space="preserve"> 2012 WL 3643682 at *15.</w:t>
      </w:r>
    </w:p>
  </w:endnote>
  <w:endnote w:id="558">
    <w:p w:rsidR="009053EE" w:rsidRPr="0016656A" w:rsidRDefault="009053EE" w:rsidP="00075FE4">
      <w:pPr>
        <w:spacing w:afterLines="120" w:after="288"/>
        <w:jc w:val="both"/>
        <w:rPr>
          <w:rFonts w:ascii="Century Schoolbook" w:hAnsi="Century Schoolbook"/>
          <w:sz w:val="20"/>
          <w:szCs w:val="20"/>
        </w:rPr>
      </w:pPr>
      <w:r w:rsidRPr="0016656A">
        <w:rPr>
          <w:rFonts w:ascii="Century Schoolbook" w:hAnsi="Century Schoolbook"/>
          <w:sz w:val="20"/>
          <w:szCs w:val="20"/>
          <w:vertAlign w:val="superscript"/>
        </w:rPr>
        <w:endnoteRef/>
      </w:r>
      <w:r w:rsidRPr="0016656A">
        <w:rPr>
          <w:rFonts w:ascii="Century Schoolbook" w:hAnsi="Century Schoolbook"/>
          <w:sz w:val="20"/>
          <w:szCs w:val="20"/>
        </w:rPr>
        <w:t xml:space="preserve"> HOS regulations are governed by 49 C.F.R. Parts 385, 386, 390, and 395.  Significantly, the HOS regulations were not only developed by the Federal Motor Carrier Safety Association (a part of the United States Department of Transportation) but are also subject to FMCSA’s enforcement and jurisdiction.  These regulations, however, do not apply to the private transportation of passengers.  Essentially, HOS regulations focus on when and how long CMVs are allowed to drive by placing specific limits on the amount of time one drives a CMV and the total hours one can drive before being precluded from driving.</w:t>
      </w:r>
    </w:p>
  </w:endnote>
  <w:endnote w:id="559">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390.5.  For other areas of federal regulation, the FMCSA’s definition of a CMV varies (</w:t>
      </w:r>
      <w:r w:rsidRPr="0016656A">
        <w:rPr>
          <w:rFonts w:ascii="Century Schoolbook" w:hAnsi="Century Schoolbook"/>
          <w:i/>
        </w:rPr>
        <w:t>e.g.</w:t>
      </w:r>
      <w:r w:rsidRPr="0016656A">
        <w:rPr>
          <w:rFonts w:ascii="Century Schoolbook" w:hAnsi="Century Schoolbook"/>
        </w:rPr>
        <w:t>, for drug and alcohol regulations and commercial driver’s license (CDL) requirements).</w:t>
      </w:r>
    </w:p>
  </w:endnote>
  <w:endnote w:id="560">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One does not necessarily require a commercial driver’s license (CDL) to operate this class of vehicles.  This is explained in greater detail within Section III. B.</w:t>
      </w:r>
    </w:p>
  </w:endnote>
  <w:endnote w:id="561">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Exceptions to the distinction between interstate and intrastate exists when dealing with the transportation of hazardous materials.  For more information on this, see the Hazardous Material Regulations, at 49 C.F.R. §§ 171-179.</w:t>
      </w:r>
    </w:p>
  </w:endnote>
  <w:endnote w:id="562">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Pub. L. 109-59, August 10, 2005, 119 Stat. 1144.</w:t>
      </w:r>
    </w:p>
  </w:endnote>
  <w:endnote w:id="563">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w:t>
      </w:r>
      <w:r w:rsidRPr="0016656A">
        <w:rPr>
          <w:rFonts w:ascii="Century Schoolbook" w:hAnsi="Century Schoolbook"/>
          <w:u w:val="single"/>
        </w:rPr>
        <w:t>Progressive Cas. Ins. Co. v. Hoover</w:t>
      </w:r>
      <w:r w:rsidRPr="0016656A">
        <w:rPr>
          <w:rFonts w:ascii="Century Schoolbook" w:hAnsi="Century Schoolbook"/>
        </w:rPr>
        <w:t>, 809 A.2d 353 (Pa. 2002).</w:t>
      </w:r>
    </w:p>
  </w:endnote>
  <w:endnote w:id="564">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w:t>
      </w:r>
      <w:r w:rsidRPr="0016656A">
        <w:rPr>
          <w:rFonts w:ascii="Century Schoolbook" w:hAnsi="Century Schoolbook"/>
          <w:i/>
        </w:rPr>
        <w:t>Georgia Department of Public Safety Transportation Rulebook</w:t>
      </w:r>
      <w:r w:rsidRPr="0016656A">
        <w:rPr>
          <w:rFonts w:ascii="Century Schoolbook" w:hAnsi="Century Schoolbook"/>
        </w:rPr>
        <w:t>, at chapter 1-1(d).</w:t>
      </w:r>
    </w:p>
  </w:endnote>
  <w:endnote w:id="565">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This includes sections 350 (Commercial Motor Carrier Safety Assistance Program), 365 (Rules Governing Applications for Operating Authority), 376 (Lease and Interchange of Vehicles), 382 (Controlled Substance and Alcohol Use and Testing), 383 (Commercial Drivers License Standards; Requirements and Penalties), 385 (Safety Fitness Procedures), 386 (Rules of Practice for Motor Carrier, Intermodal Equipment Provider, Broker, Freight Forwarder, and Hazardous Materials Proceedings), 387 (Minimum Levels of Financial Responsibility for Motor Carriers), 390 (Federal Motor Carrier Safety Regulations; General), 391 (Qualifications of Drivers), 392 (Driving of Commercial Motor Vehicles), 393 (Parts and Accessories Necessary for Safe Operation), 395 (Hours of Service of Drivers), 396 (Inspection, Repair, and Maintenance), 397 (Transportation of Hazardous Materials; Driving and Parking Rules) and as amended.</w:t>
      </w:r>
    </w:p>
  </w:endnote>
  <w:endnote w:id="566">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FMCSA § 390.5</w:t>
      </w:r>
    </w:p>
  </w:endnote>
  <w:endnote w:id="567">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There was quite a bit of disdain throughout the industry regarding the multiple implementation dates of the Final Rule’s provisions, which many leading associations (</w:t>
      </w:r>
      <w:r w:rsidRPr="0016656A">
        <w:rPr>
          <w:rFonts w:ascii="Century Schoolbook" w:hAnsi="Century Schoolbook"/>
          <w:i/>
        </w:rPr>
        <w:t>e.g.</w:t>
      </w:r>
      <w:r w:rsidRPr="0016656A">
        <w:rPr>
          <w:rFonts w:ascii="Century Schoolbook" w:hAnsi="Century Schoolbook"/>
        </w:rPr>
        <w:t>, the Commercial Vehicle Safety Alliance) believed would place an unnecessary burden on industry and the enforcement community, as training would need to be revised twice.  Additionally, the prevailing belief was that (60) days (</w:t>
      </w:r>
      <w:r w:rsidRPr="0016656A">
        <w:rPr>
          <w:rFonts w:ascii="Century Schoolbook" w:hAnsi="Century Schoolbook"/>
          <w:i/>
        </w:rPr>
        <w:t>i.e.</w:t>
      </w:r>
      <w:r w:rsidRPr="0016656A">
        <w:rPr>
          <w:rFonts w:ascii="Century Schoolbook" w:hAnsi="Century Schoolbook"/>
        </w:rPr>
        <w:t>, the amount of time between the publishing of the Final Rule and initial effective date of certain provisions for February 27, 2012) would be an insufficient amount of time for the enforcement community to conduct the necessary training and for industry to make its necessary software updates.</w:t>
      </w:r>
    </w:p>
  </w:endnote>
  <w:endnote w:id="568">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The term “driving time” </w:t>
      </w:r>
      <w:r w:rsidRPr="0016656A">
        <w:rPr>
          <w:rFonts w:ascii="Century Schoolbook" w:hAnsi="Century Schoolbook"/>
          <w:color w:val="000000"/>
          <w:shd w:val="clear" w:color="auto" w:fill="FFFFFF"/>
        </w:rPr>
        <w:t xml:space="preserve">is defined as all time spent at the driving controls of a commercial motor vehicle in operation.  49 C.F.R. </w:t>
      </w:r>
      <w:r w:rsidRPr="0016656A">
        <w:rPr>
          <w:rFonts w:ascii="Century Schoolbook" w:hAnsi="Century Schoolbook"/>
          <w:bCs/>
          <w:color w:val="000000"/>
          <w:shd w:val="clear" w:color="auto" w:fill="FFFFFF"/>
        </w:rPr>
        <w:t>§ 395.2.  The definition and interpretation of “driving time” is addressed in more depth in Section III.C.</w:t>
      </w:r>
    </w:p>
  </w:endnote>
  <w:endnote w:id="569">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  Also note that “off-duty” time does not extend the 14-hour period regarding daily limits.</w:t>
      </w:r>
    </w:p>
  </w:endnote>
  <w:endnote w:id="570">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There are some exceptions to this rule which are outlined in 49 C.F.R. § 395.1(e)(2).  </w:t>
      </w:r>
    </w:p>
  </w:endnote>
  <w:endnote w:id="571">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395.3(a)(2).</w:t>
      </w:r>
    </w:p>
  </w:endnote>
  <w:endnote w:id="572">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If a driver has a sleeper berth in his MVC, he may be able to utilize it to rest and, as a result, extend this 14-hour limit.</w:t>
      </w:r>
    </w:p>
  </w:endnote>
  <w:endnote w:id="573">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395.3(a)(3)(ii).</w:t>
      </w:r>
    </w:p>
  </w:endnote>
  <w:endnote w:id="574">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395.1(e)(2).</w:t>
      </w:r>
    </w:p>
  </w:endnote>
  <w:endnote w:id="575">
    <w:p w:rsidR="009053EE" w:rsidRPr="0016656A" w:rsidRDefault="009053EE" w:rsidP="00D9365B">
      <w:pPr>
        <w:pStyle w:val="EndnoteText"/>
        <w:tabs>
          <w:tab w:val="left" w:pos="360"/>
        </w:tabs>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i/>
        </w:rPr>
        <w:t>See</w:t>
      </w:r>
      <w:r>
        <w:rPr>
          <w:rFonts w:ascii="Century Schoolbook" w:hAnsi="Century Schoolbook"/>
          <w:i/>
        </w:rPr>
        <w:t xml:space="preserve"> </w:t>
      </w:r>
      <w:r w:rsidRPr="0016656A">
        <w:rPr>
          <w:rFonts w:ascii="Century Schoolbook" w:hAnsi="Century Schoolbook"/>
        </w:rPr>
        <w:t>http://www.fmcsa.dot.gov/registration-licensing/cdl/cdl.htm.</w:t>
      </w:r>
    </w:p>
  </w:endnote>
  <w:endnote w:id="576">
    <w:p w:rsidR="009053EE" w:rsidRPr="0016656A" w:rsidRDefault="009053EE" w:rsidP="00075FE4">
      <w:pPr>
        <w:pStyle w:val="EndnoteText"/>
        <w:spacing w:afterLines="120" w:after="288"/>
        <w:jc w:val="both"/>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There exists an exception to this rule with respect to towing vehicles, which is not addressed in this article.</w:t>
      </w:r>
    </w:p>
  </w:endnote>
  <w:endnote w:id="577">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395.1(e)(2).</w:t>
      </w:r>
    </w:p>
    <w:p w:rsidR="009053EE" w:rsidRPr="0016656A" w:rsidRDefault="009053EE" w:rsidP="00075FE4">
      <w:pPr>
        <w:pStyle w:val="EndnoteText"/>
        <w:spacing w:afterLines="120" w:after="288"/>
        <w:rPr>
          <w:rFonts w:ascii="Century Schoolbook" w:hAnsi="Century Schoolbook"/>
        </w:rPr>
      </w:pPr>
    </w:p>
  </w:endnote>
  <w:endnote w:id="578">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395.3(c).</w:t>
      </w:r>
    </w:p>
  </w:endnote>
  <w:endnote w:id="579">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w:t>
      </w:r>
      <w:r w:rsidRPr="0016656A">
        <w:rPr>
          <w:rFonts w:ascii="Century Schoolbook" w:hAnsi="Century Schoolbook"/>
          <w:i/>
        </w:rPr>
        <w:t>Id.</w:t>
      </w:r>
    </w:p>
  </w:endnote>
  <w:endnote w:id="580">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395.3(d).</w:t>
      </w:r>
    </w:p>
  </w:endnote>
  <w:endnote w:id="581">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395.2.</w:t>
      </w:r>
    </w:p>
  </w:endnote>
  <w:endnote w:id="582">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O.C.G.A. § 40-6-391.</w:t>
      </w:r>
    </w:p>
  </w:endnote>
  <w:endnote w:id="583">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395.2.</w:t>
      </w:r>
    </w:p>
  </w:endnote>
  <w:endnote w:id="584">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395.1(e).</w:t>
      </w:r>
    </w:p>
  </w:endnote>
  <w:endnote w:id="585">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w:t>
      </w:r>
      <w:r w:rsidRPr="0016656A">
        <w:rPr>
          <w:rFonts w:ascii="Century Schoolbook" w:hAnsi="Century Schoolbook"/>
          <w:i/>
        </w:rPr>
        <w:t>Id.</w:t>
      </w:r>
    </w:p>
  </w:endnote>
  <w:endnote w:id="586">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395.3(a)(3)(ii).</w:t>
      </w:r>
    </w:p>
  </w:endnote>
  <w:endnote w:id="587">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395.3(c).</w:t>
      </w:r>
    </w:p>
  </w:endnote>
  <w:endnote w:id="588">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395.3(d).</w:t>
      </w:r>
    </w:p>
  </w:endnote>
  <w:endnote w:id="589">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395.3(a)(3)(i).</w:t>
      </w:r>
    </w:p>
  </w:endnote>
  <w:endnote w:id="590">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395.3(a)(1).</w:t>
      </w:r>
    </w:p>
  </w:endnote>
  <w:endnote w:id="591">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395.3(a)(3)(ii).</w:t>
      </w:r>
    </w:p>
  </w:endnote>
  <w:endnote w:id="592">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395.3(a)(2).</w:t>
      </w:r>
    </w:p>
  </w:endnote>
  <w:endnote w:id="593">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395.3(c).</w:t>
      </w:r>
    </w:p>
  </w:endnote>
  <w:endnote w:id="594">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395.3(d).</w:t>
      </w:r>
    </w:p>
  </w:endnote>
  <w:endnote w:id="595">
    <w:p w:rsidR="009053EE" w:rsidRPr="0016656A" w:rsidRDefault="009053EE" w:rsidP="00075FE4">
      <w:pPr>
        <w:pStyle w:val="EndnoteText"/>
        <w:spacing w:afterLines="120" w:after="288"/>
        <w:rPr>
          <w:rFonts w:ascii="Century Schoolbook" w:hAnsi="Century Schoolbook"/>
        </w:rPr>
      </w:pPr>
      <w:r w:rsidRPr="0016656A">
        <w:rPr>
          <w:rStyle w:val="EndnoteReference"/>
          <w:rFonts w:ascii="Century Schoolbook" w:hAnsi="Century Schoolbook"/>
        </w:rPr>
        <w:endnoteRef/>
      </w:r>
      <w:r w:rsidRPr="0016656A">
        <w:rPr>
          <w:rFonts w:ascii="Century Schoolbook" w:hAnsi="Century Schoolbook"/>
        </w:rPr>
        <w:t xml:space="preserve"> 49 C.F.R. § 395.3(c)(2).  This change was based upon a study pertaining to circadian rhythms.</w:t>
      </w:r>
    </w:p>
  </w:endnote>
  <w:endnote w:id="596">
    <w:p w:rsidR="009053EE" w:rsidRDefault="009053EE" w:rsidP="00075FE4">
      <w:pPr>
        <w:pStyle w:val="EndnoteText"/>
        <w:spacing w:afterLines="120" w:after="288"/>
      </w:pPr>
      <w:r w:rsidRPr="0016656A">
        <w:rPr>
          <w:rStyle w:val="EndnoteReference"/>
          <w:rFonts w:ascii="Century Schoolbook" w:hAnsi="Century Schoolbook"/>
        </w:rPr>
        <w:endnoteRef/>
      </w:r>
      <w:r w:rsidRPr="0016656A">
        <w:rPr>
          <w:rFonts w:ascii="Century Schoolbook" w:hAnsi="Century Schoolbook"/>
        </w:rPr>
        <w:t xml:space="preserve"> 49 C.F.R. Part 386, App. B (a).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EE" w:rsidRDefault="009053EE" w:rsidP="00B61C27">
    <w:pPr>
      <w:pStyle w:val="Footer"/>
      <w:jc w:val="right"/>
    </w:pPr>
    <w:r>
      <w:rPr>
        <w:noProof/>
      </w:rPr>
      <mc:AlternateContent>
        <mc:Choice Requires="wpg">
          <w:drawing>
            <wp:inline distT="0" distB="0" distL="0" distR="0" wp14:anchorId="7D71EE99" wp14:editId="16DB6C67">
              <wp:extent cx="418465" cy="221615"/>
              <wp:effectExtent l="0" t="0" r="635" b="0"/>
              <wp:docPr id="4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78" name="Text Box 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3EE" w:rsidRPr="00B61C27" w:rsidRDefault="009053EE">
                            <w:pPr>
                              <w:jc w:val="center"/>
                              <w:rPr>
                                <w:rFonts w:ascii="Century Schoolbook" w:hAnsi="Century Schoolbook"/>
                                <w:szCs w:val="18"/>
                              </w:rPr>
                            </w:pPr>
                            <w:r w:rsidRPr="00B61C27">
                              <w:rPr>
                                <w:rFonts w:ascii="Century Schoolbook" w:hAnsi="Century Schoolbook"/>
                              </w:rPr>
                              <w:fldChar w:fldCharType="begin"/>
                            </w:r>
                            <w:r w:rsidRPr="00B61C27">
                              <w:rPr>
                                <w:rFonts w:ascii="Century Schoolbook" w:hAnsi="Century Schoolbook"/>
                              </w:rPr>
                              <w:instrText xml:space="preserve"> PAGE    \* MERGEFORMAT </w:instrText>
                            </w:r>
                            <w:r w:rsidRPr="00B61C27">
                              <w:rPr>
                                <w:rFonts w:ascii="Century Schoolbook" w:hAnsi="Century Schoolbook"/>
                              </w:rPr>
                              <w:fldChar w:fldCharType="separate"/>
                            </w:r>
                            <w:r w:rsidR="0057796D" w:rsidRPr="0057796D">
                              <w:rPr>
                                <w:rFonts w:ascii="Century Schoolbook" w:hAnsi="Century Schoolbook"/>
                                <w:i/>
                                <w:iCs/>
                                <w:noProof/>
                                <w:sz w:val="18"/>
                                <w:szCs w:val="18"/>
                              </w:rPr>
                              <w:t>i</w:t>
                            </w:r>
                            <w:r w:rsidRPr="00B61C27">
                              <w:rPr>
                                <w:rFonts w:ascii="Century Schoolbook" w:hAnsi="Century Schoolbook"/>
                                <w:i/>
                                <w:iCs/>
                                <w:noProof/>
                                <w:sz w:val="18"/>
                                <w:szCs w:val="18"/>
                              </w:rPr>
                              <w:fldChar w:fldCharType="end"/>
                            </w:r>
                          </w:p>
                        </w:txbxContent>
                      </wps:txbx>
                      <wps:bodyPr rot="0" vert="horz" wrap="square" lIns="0" tIns="0" rIns="0" bIns="0" anchor="t" anchorCtr="0" upright="1">
                        <a:noAutofit/>
                      </wps:bodyPr>
                    </wps:wsp>
                    <wpg:grpSp>
                      <wpg:cNvPr id="479" name="Group 4"/>
                      <wpg:cNvGrpSpPr>
                        <a:grpSpLocks/>
                      </wpg:cNvGrpSpPr>
                      <wpg:grpSpPr bwMode="auto">
                        <a:xfrm>
                          <a:off x="5494" y="739"/>
                          <a:ext cx="372" cy="72"/>
                          <a:chOff x="5486" y="739"/>
                          <a:chExt cx="372" cy="72"/>
                        </a:xfrm>
                      </wpg:grpSpPr>
                      <wps:wsp>
                        <wps:cNvPr id="224"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">
              <v:shapetype id="_x0000_t202" coordsize="21600,21600" o:spt="202" path="m,l,21600r21600,l21600,xe">
                <v:stroke joinstyle="miter"/>
                <v:path gradientshapeok="t" o:connecttype="rect"/>
              </v:shapetype>
              <v:shape id="Text Box 3" o:spid="_x0000_s1027" type="#_x0000_t202" style="position:absolute;left:5351;top:80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9053EE" w:rsidRPr="00B61C27" w:rsidRDefault="009053EE">
                      <w:pPr>
                        <w:jc w:val="center"/>
                        <w:rPr>
                          <w:rFonts w:ascii="Century Schoolbook" w:hAnsi="Century Schoolbook"/>
                          <w:szCs w:val="18"/>
                        </w:rPr>
                      </w:pPr>
                      <w:r w:rsidRPr="00B61C27">
                        <w:rPr>
                          <w:rFonts w:ascii="Century Schoolbook" w:hAnsi="Century Schoolbook"/>
                        </w:rPr>
                        <w:fldChar w:fldCharType="begin"/>
                      </w:r>
                      <w:r w:rsidRPr="00B61C27">
                        <w:rPr>
                          <w:rFonts w:ascii="Century Schoolbook" w:hAnsi="Century Schoolbook"/>
                        </w:rPr>
                        <w:instrText xml:space="preserve"> PAGE    \* MERGEFORMAT </w:instrText>
                      </w:r>
                      <w:r w:rsidRPr="00B61C27">
                        <w:rPr>
                          <w:rFonts w:ascii="Century Schoolbook" w:hAnsi="Century Schoolbook"/>
                        </w:rPr>
                        <w:fldChar w:fldCharType="separate"/>
                      </w:r>
                      <w:r w:rsidR="0057796D" w:rsidRPr="0057796D">
                        <w:rPr>
                          <w:rFonts w:ascii="Century Schoolbook" w:hAnsi="Century Schoolbook"/>
                          <w:i/>
                          <w:iCs/>
                          <w:noProof/>
                          <w:sz w:val="18"/>
                          <w:szCs w:val="18"/>
                        </w:rPr>
                        <w:t>i</w:t>
                      </w:r>
                      <w:r w:rsidRPr="00B61C27">
                        <w:rPr>
                          <w:rFonts w:ascii="Century Schoolbook" w:hAnsi="Century Schoolbook"/>
                          <w:i/>
                          <w:iCs/>
                          <w:noProof/>
                          <w:sz w:val="18"/>
                          <w:szCs w:val="18"/>
                        </w:rPr>
                        <w:fldChar w:fldCharType="end"/>
                      </w:r>
                    </w:p>
                  </w:txbxContent>
                </v:textbox>
              </v:shape>
              <v:group id="Group 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oval id="Oval 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8ycMA&#10;AADcAAAADwAAAGRycy9kb3ducmV2LnhtbESPQWvCQBSE7wX/w/KE3urGUKREV9FASq+JevD2zD6T&#10;YPZtyK5J/PduodDjMDPfMJvdZFoxUO8aywqWiwgEcWl1w5WC0zH7+ALhPLLG1jIpeJKD3Xb2tsFE&#10;25FzGgpfiQBhl6CC2vsukdKVNRl0C9sRB+9me4M+yL6SuscxwE0r4yhaSYMNh4UaO0prKu/Fwyho&#10;vu3ynB2K3F2GVSr37fVgz1el3ufTfg3C0+T/w3/tH60gjj/h90w4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8ycMAAADcAAAADwAAAAAAAAAAAAAAAACYAgAAZHJzL2Rv&#10;d25yZXYueG1sUEsFBgAAAAAEAAQA9QAAAIgDAAAAAA==&#10;" fillcolor="#84a2c6" stroked="f"/>
                <v:oval id="Oval 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TV8QA&#10;AADcAAAADwAAAGRycy9kb3ducmV2LnhtbESPQWvCQBSE74X+h+UJvdWNOQSbuooGIl6N5uDtmX1N&#10;gtm3IbtN0n/fLQg9DjPzDbPZzaYTIw2utaxgtYxAEFdWt1wruF7y9zUI55E1dpZJwQ852G1fXzaY&#10;ajvxmcbC1yJA2KWooPG+T6V0VUMG3dL2xMH7soNBH+RQSz3gFOCmk3EUJdJgy2GhwZ6yhqpH8W0U&#10;tEe7KvNDcXa3McnkvrsfbHlX6m0x7z9BeJr9f/jZPmkFcfwB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01fEAAAA3AAAAA8AAAAAAAAAAAAAAAAAmAIAAGRycy9k&#10;b3ducmV2LnhtbFBLBQYAAAAABAAEAPUAAACJAwAAAAA=&#10;" fillcolor="#84a2c6" stroked="f"/>
                <v:oval id="Oval 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sF70A&#10;AADcAAAADwAAAGRycy9kb3ducmV2LnhtbERPvQrCMBDeBd8hnOCmqQoi1SgqKK5WO7idzdkWm0tp&#10;Yq1vbwbB8eP7X206U4mWGldaVjAZRyCIM6tLzhVcL4fRAoTzyBory6TgQw42635vhbG2bz5Tm/hc&#10;hBB2MSoovK9jKV1WkEE3tjVx4B62MegDbHKpG3yHcFPJaRTNpcGSQ0OBNe0Lyp7Jyygoj3aSHnbJ&#10;2d3a+V5uq/vOpnelhoNuuwThqfN/8c990gqms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nsF70AAADcAAAADwAAAAAAAAAAAAAAAACYAgAAZHJzL2Rvd25yZXYu&#10;eG1sUEsFBgAAAAAEAAQA9QAAAIIDAAAAAA==&#10;" fillcolor="#84a2c6" stroked="f"/>
              </v:group>
              <w10:anchorlock/>
            </v:group>
          </w:pict>
        </mc:Fallback>
      </mc:AlternateContent>
    </w:r>
  </w:p>
  <w:p w:rsidR="009053EE" w:rsidRPr="004333A2" w:rsidRDefault="009053EE" w:rsidP="00B61C27">
    <w:pPr>
      <w:pStyle w:val="Footer"/>
      <w:rPr>
        <w:rFonts w:ascii="Century Schoolbook" w:hAnsi="Century Schoolbook"/>
        <w:sz w:val="18"/>
        <w:szCs w:val="18"/>
      </w:rPr>
    </w:pPr>
    <w:r w:rsidRPr="004333A2">
      <w:rPr>
        <w:rFonts w:ascii="Century Schoolbook" w:hAnsi="Century Schoolbook"/>
        <w:sz w:val="18"/>
        <w:szCs w:val="18"/>
      </w:rPr>
      <w:t xml:space="preserve">Georgia </w:t>
    </w:r>
    <w:r>
      <w:rPr>
        <w:rFonts w:ascii="Century Schoolbook" w:hAnsi="Century Schoolbook"/>
        <w:sz w:val="18"/>
        <w:szCs w:val="18"/>
      </w:rPr>
      <w:t>Defense Lawyers Association – 2013 Law Journal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558773"/>
      <w:docPartObj>
        <w:docPartGallery w:val="Page Numbers (Bottom of Page)"/>
        <w:docPartUnique/>
      </w:docPartObj>
    </w:sdtPr>
    <w:sdtEndPr/>
    <w:sdtContent>
      <w:p w:rsidR="001345E8" w:rsidRDefault="001345E8" w:rsidP="001345E8">
        <w:pPr>
          <w:pStyle w:val="Footer"/>
          <w:jc w:val="right"/>
        </w:pPr>
        <w:r>
          <w:rPr>
            <w:noProof/>
          </w:rPr>
          <mc:AlternateContent>
            <mc:Choice Requires="wpg">
              <w:drawing>
                <wp:inline distT="0" distB="0" distL="0" distR="0" wp14:anchorId="7ADA78D1" wp14:editId="2A59DC1E">
                  <wp:extent cx="418465" cy="221615"/>
                  <wp:effectExtent l="0" t="0" r="635" b="0"/>
                  <wp:docPr id="45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56"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5E8" w:rsidRDefault="001345E8">
                                <w:pPr>
                                  <w:jc w:val="center"/>
                                  <w:rPr>
                                    <w:szCs w:val="18"/>
                                  </w:rPr>
                                </w:pPr>
                                <w:r>
                                  <w:fldChar w:fldCharType="begin"/>
                                </w:r>
                                <w:r>
                                  <w:instrText xml:space="preserve"> PAGE    \* MERGEFORMAT </w:instrText>
                                </w:r>
                                <w:r>
                                  <w:fldChar w:fldCharType="separate"/>
                                </w:r>
                                <w:r w:rsidR="0057796D" w:rsidRPr="0057796D">
                                  <w:rPr>
                                    <w:i/>
                                    <w:iCs/>
                                    <w:noProof/>
                                    <w:sz w:val="18"/>
                                    <w:szCs w:val="18"/>
                                  </w:rPr>
                                  <w:t>139</w:t>
                                </w:r>
                                <w:r>
                                  <w:rPr>
                                    <w:i/>
                                    <w:iCs/>
                                    <w:noProof/>
                                    <w:sz w:val="18"/>
                                    <w:szCs w:val="18"/>
                                  </w:rPr>
                                  <w:fldChar w:fldCharType="end"/>
                                </w:r>
                              </w:p>
                            </w:txbxContent>
                          </wps:txbx>
                          <wps:bodyPr rot="0" vert="horz" wrap="square" lIns="0" tIns="0" rIns="0" bIns="0" anchor="ctr" anchorCtr="0" upright="1">
                            <a:noAutofit/>
                          </wps:bodyPr>
                        </wps:wsp>
                        <wpg:grpSp>
                          <wpg:cNvPr id="458" name="Group 64"/>
                          <wpg:cNvGrpSpPr>
                            <a:grpSpLocks/>
                          </wpg:cNvGrpSpPr>
                          <wpg:grpSpPr bwMode="auto">
                            <a:xfrm>
                              <a:off x="5494" y="739"/>
                              <a:ext cx="372" cy="72"/>
                              <a:chOff x="5486" y="739"/>
                              <a:chExt cx="372" cy="72"/>
                            </a:xfrm>
                          </wpg:grpSpPr>
                          <wps:wsp>
                            <wps:cNvPr id="459"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3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CoNm1uBwQAAM0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33"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mwcMA&#10;AADcAAAADwAAAGRycy9kb3ducmV2LnhtbESPzarCMBSE9xd8h3AENxdNlatINYo/+LNxUfUBDs2x&#10;LTYnpYla79MbQXA5zMw3zHTemFLcqXaFZQX9XgSCOLW64EzB+bTpjkE4j6yxtEwKnuRgPmv9TDHW&#10;9sEJ3Y8+EwHCLkYFufdVLKVLczLoerYiDt7F1gZ9kHUmdY2PADelHETRSBosOCzkWNEqp/R6vBkF&#10;tEjs/+HqtiZZrlfbS8H0K3dKddrNYgLCU+O/4U97rxX8DUf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mwcMAAADcAAAADwAAAAAAAAAAAAAAAACYAgAAZHJzL2Rv&#10;d25yZXYueG1sUEsFBgAAAAAEAAQA9QAAAIgDAAAAAA==&#10;" filled="f" stroked="f">
                    <v:textbox inset="0,0,0,0">
                      <w:txbxContent>
                        <w:p w:rsidR="001345E8" w:rsidRDefault="001345E8">
                          <w:pPr>
                            <w:jc w:val="center"/>
                            <w:rPr>
                              <w:szCs w:val="18"/>
                            </w:rPr>
                          </w:pPr>
                          <w:r>
                            <w:fldChar w:fldCharType="begin"/>
                          </w:r>
                          <w:r>
                            <w:instrText xml:space="preserve"> PAGE    \* MERGEFORMAT </w:instrText>
                          </w:r>
                          <w:r>
                            <w:fldChar w:fldCharType="separate"/>
                          </w:r>
                          <w:r w:rsidR="0057796D" w:rsidRPr="0057796D">
                            <w:rPr>
                              <w:i/>
                              <w:iCs/>
                              <w:noProof/>
                              <w:sz w:val="18"/>
                              <w:szCs w:val="18"/>
                            </w:rPr>
                            <w:t>139</w:t>
                          </w:r>
                          <w:r>
                            <w:rPr>
                              <w:i/>
                              <w:iCs/>
                              <w:noProof/>
                              <w:sz w:val="18"/>
                              <w:szCs w:val="18"/>
                            </w:rPr>
                            <w:fldChar w:fldCharType="end"/>
                          </w:r>
                        </w:p>
                      </w:txbxContent>
                    </v:textbox>
                  </v:shape>
                  <v:group id="Group 64" o:spid="_x0000_s1034"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oval id="Oval 65" o:spid="_x0000_s1035"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i0sMA&#10;AADcAAAADwAAAGRycy9kb3ducmV2LnhtbESPQYvCMBSE7wv+h/AEb2taUdFqKiooe7W7Hrw9m2db&#10;bF5KE2v99xthYY/DzHzDrDe9qUVHrassK4jHEQji3OqKCwU/34fPBQjnkTXWlknBixxs0sHHGhNt&#10;n3yiLvOFCBB2CSoovW8SKV1ekkE3tg1x8G62NeiDbAupW3wGuKnlJIrm0mDFYaHEhvYl5ffsYRRU&#10;RxufD7vs5C7dfC+39XVnz1elRsN+uwLhqff/4b/2l1YwnS3h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di0sMAAADcAAAADwAAAAAAAAAAAAAAAACYAgAAZHJzL2Rv&#10;d25yZXYueG1sUEsFBgAAAAAEAAQA9QAAAIgDAAAAAA==&#10;" fillcolor="#84a2c6" stroked="f"/>
                    <v:oval id="Oval 66" o:spid="_x0000_s1036"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8r0A&#10;AADcAAAADwAAAGRycy9kb3ducmV2LnhtbERPvQrCMBDeBd8hnOCmqSJFqlFUUFytOridzdkWm0tp&#10;Yq1vbwbB8eP7X647U4mWGldaVjAZRyCIM6tLzhVczvvRHITzyBory6TgQw7Wq35viYm2bz5Rm/pc&#10;hBB2CSoovK8TKV1WkEE3tjVx4B62MegDbHKpG3yHcFPJaRTF0mDJoaHAmnYFZc/0ZRSUBzu57rfp&#10;yd3aeCc31X1rr3elhoNuswDhqfN/8c991ApmcZgfzo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EB8r0AAADcAAAADwAAAAAAAAAAAAAAAACYAgAAZHJzL2Rvd25yZXYu&#10;eG1sUEsFBgAAAAAEAAQA9QAAAIIDAAAAAA==&#10;" fillcolor="#84a2c6" stroked="f"/>
                    <v:oval id="Oval 67" o:spid="_x0000_s1037"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kacEA&#10;AADcAAAADwAAAGRycy9kb3ducmV2LnhtbESPQYvCMBSE7wv+h/AEb2takbJUo6igeLXqwduzebbF&#10;5qU0sdZ/bwRhj8PMfMPMl72pRUetqywriMcRCOLc6ooLBafj9vcPhPPIGmvLpOBFDpaLwc8cU22f&#10;fKAu84UIEHYpKii9b1IpXV6SQTe2DXHwbrY16INsC6lbfAa4qeUkihJpsOKwUGJDm5Lye/YwCqqd&#10;jc/bdXZwly7ZyFV9XdvzVanRsF/NQHjq/X/4295rBdMkh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tpGnBAAAA3AAAAA8AAAAAAAAAAAAAAAAAmAIAAGRycy9kb3du&#10;cmV2LnhtbFBLBQYAAAAABAAEAPUAAACGAwAAAAA=&#10;" fillcolor="#84a2c6" stroked="f"/>
                  </v:group>
                  <w10:anchorlock/>
                </v:group>
              </w:pict>
            </mc:Fallback>
          </mc:AlternateContent>
        </w:r>
      </w:p>
      <w:p w:rsidR="001345E8" w:rsidRPr="004333A2" w:rsidRDefault="001345E8" w:rsidP="001345E8">
        <w:pPr>
          <w:pStyle w:val="Footer"/>
          <w:rPr>
            <w:rFonts w:ascii="Century Schoolbook" w:hAnsi="Century Schoolbook"/>
            <w:sz w:val="18"/>
            <w:szCs w:val="18"/>
          </w:rPr>
        </w:pPr>
        <w:r w:rsidRPr="004333A2">
          <w:rPr>
            <w:rFonts w:ascii="Century Schoolbook" w:hAnsi="Century Schoolbook"/>
            <w:sz w:val="18"/>
            <w:szCs w:val="18"/>
          </w:rPr>
          <w:t xml:space="preserve">Georgia </w:t>
        </w:r>
        <w:r>
          <w:rPr>
            <w:rFonts w:ascii="Century Schoolbook" w:hAnsi="Century Schoolbook"/>
            <w:sz w:val="18"/>
            <w:szCs w:val="18"/>
          </w:rPr>
          <w:t>Defense Lawyers Association – 2013 Law Journal</w:t>
        </w:r>
      </w:p>
      <w:p w:rsidR="001345E8" w:rsidRDefault="001D32A6" w:rsidP="001345E8">
        <w:pPr>
          <w:pStyle w:val="Footer"/>
        </w:pPr>
      </w:p>
    </w:sdtContent>
  </w:sdt>
  <w:p w:rsidR="009053EE" w:rsidRPr="001E245A" w:rsidRDefault="009053EE" w:rsidP="001E245A">
    <w:pPr>
      <w:pStyle w:val="Footer"/>
      <w:jc w:val="right"/>
      <w:rPr>
        <w:rFonts w:ascii="Century Schoolbook" w:hAnsi="Century Schoolbook"/>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EE" w:rsidRDefault="009053EE" w:rsidP="000926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53EE" w:rsidRDefault="009053EE" w:rsidP="00092694">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EE" w:rsidRDefault="009053EE" w:rsidP="00A61C7F">
    <w:pPr>
      <w:pStyle w:val="Footer"/>
      <w:jc w:val="right"/>
      <w:rPr>
        <w:rFonts w:ascii="Century Schoolbook" w:hAnsi="Century Schoolbook"/>
        <w:sz w:val="18"/>
        <w:szCs w:val="18"/>
      </w:rPr>
    </w:pPr>
  </w:p>
  <w:p w:rsidR="009053EE" w:rsidRDefault="009053EE" w:rsidP="00A61C7F">
    <w:pPr>
      <w:pStyle w:val="Footer"/>
      <w:jc w:val="right"/>
      <w:rPr>
        <w:rFonts w:ascii="Century Schoolbook" w:hAnsi="Century Schoolbook"/>
        <w:sz w:val="18"/>
        <w:szCs w:val="18"/>
      </w:rPr>
    </w:pPr>
    <w:r w:rsidRPr="00A61C7F">
      <w:rPr>
        <w:rFonts w:ascii="Century Schoolbook" w:hAnsi="Century Schoolbook"/>
        <w:noProof/>
        <w:sz w:val="18"/>
        <w:szCs w:val="18"/>
      </w:rPr>
      <mc:AlternateContent>
        <mc:Choice Requires="wpg">
          <w:drawing>
            <wp:inline distT="0" distB="0" distL="0" distR="0" wp14:anchorId="410E7A34" wp14:editId="6372E74B">
              <wp:extent cx="418465" cy="221615"/>
              <wp:effectExtent l="0" t="0" r="635"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4" name="Text Box 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3EE" w:rsidRPr="00A61C7F" w:rsidRDefault="009053EE" w:rsidP="00A61C7F">
                            <w:pPr>
                              <w:jc w:val="center"/>
                              <w:rPr>
                                <w:rFonts w:ascii="Century Schoolbook" w:hAnsi="Century Schoolbook"/>
                                <w:szCs w:val="18"/>
                              </w:rPr>
                            </w:pPr>
                            <w:r w:rsidRPr="00A61C7F">
                              <w:rPr>
                                <w:rFonts w:ascii="Century Schoolbook" w:hAnsi="Century Schoolbook"/>
                              </w:rPr>
                              <w:fldChar w:fldCharType="begin"/>
                            </w:r>
                            <w:r w:rsidRPr="00A61C7F">
                              <w:rPr>
                                <w:rFonts w:ascii="Century Schoolbook" w:hAnsi="Century Schoolbook"/>
                              </w:rPr>
                              <w:instrText xml:space="preserve"> PAGE    \* MERGEFORMAT </w:instrText>
                            </w:r>
                            <w:r w:rsidRPr="00A61C7F">
                              <w:rPr>
                                <w:rFonts w:ascii="Century Schoolbook" w:hAnsi="Century Schoolbook"/>
                              </w:rPr>
                              <w:fldChar w:fldCharType="separate"/>
                            </w:r>
                            <w:r w:rsidR="0057796D" w:rsidRPr="0057796D">
                              <w:rPr>
                                <w:rFonts w:ascii="Century Schoolbook" w:hAnsi="Century Schoolbook"/>
                                <w:i/>
                                <w:iCs/>
                                <w:noProof/>
                                <w:sz w:val="18"/>
                                <w:szCs w:val="18"/>
                              </w:rPr>
                              <w:t>44</w:t>
                            </w:r>
                            <w:r w:rsidRPr="00A61C7F">
                              <w:rPr>
                                <w:rFonts w:ascii="Century Schoolbook" w:hAnsi="Century Schoolbook"/>
                                <w:i/>
                                <w:iCs/>
                                <w:noProof/>
                                <w:sz w:val="18"/>
                                <w:szCs w:val="18"/>
                              </w:rPr>
                              <w:fldChar w:fldCharType="end"/>
                            </w:r>
                          </w:p>
                        </w:txbxContent>
                      </wps:txbx>
                      <wps:bodyPr rot="0" vert="horz" wrap="square" lIns="0" tIns="0" rIns="0" bIns="0" anchor="t" anchorCtr="0" upright="1">
                        <a:noAutofit/>
                      </wps:bodyPr>
                    </wps:wsp>
                    <wpg:grpSp>
                      <wpg:cNvPr id="17" name="Group 4"/>
                      <wpg:cNvGrpSpPr>
                        <a:grpSpLocks/>
                      </wpg:cNvGrpSpPr>
                      <wpg:grpSpPr bwMode="auto">
                        <a:xfrm>
                          <a:off x="5494" y="739"/>
                          <a:ext cx="372" cy="72"/>
                          <a:chOff x="5486" y="739"/>
                          <a:chExt cx="372" cy="72"/>
                        </a:xfrm>
                      </wpg:grpSpPr>
                      <wps:wsp>
                        <wps:cNvPr id="18" name="Oval 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_x0000_s103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">
              <v:shapetype id="_x0000_t202" coordsize="21600,21600" o:spt="202" path="m,l,21600r21600,l21600,xe">
                <v:stroke joinstyle="miter"/>
                <v:path gradientshapeok="t" o:connecttype="rect"/>
              </v:shapetype>
              <v:shape id="Text Box 3" o:spid="_x0000_s1039" type="#_x0000_t202" style="position:absolute;left:5351;top:80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9053EE" w:rsidRPr="00A61C7F" w:rsidRDefault="009053EE" w:rsidP="00A61C7F">
                      <w:pPr>
                        <w:jc w:val="center"/>
                        <w:rPr>
                          <w:rFonts w:ascii="Century Schoolbook" w:hAnsi="Century Schoolbook"/>
                          <w:szCs w:val="18"/>
                        </w:rPr>
                      </w:pPr>
                      <w:r w:rsidRPr="00A61C7F">
                        <w:rPr>
                          <w:rFonts w:ascii="Century Schoolbook" w:hAnsi="Century Schoolbook"/>
                        </w:rPr>
                        <w:fldChar w:fldCharType="begin"/>
                      </w:r>
                      <w:r w:rsidRPr="00A61C7F">
                        <w:rPr>
                          <w:rFonts w:ascii="Century Schoolbook" w:hAnsi="Century Schoolbook"/>
                        </w:rPr>
                        <w:instrText xml:space="preserve"> PAGE    \* MERGEFORMAT </w:instrText>
                      </w:r>
                      <w:r w:rsidRPr="00A61C7F">
                        <w:rPr>
                          <w:rFonts w:ascii="Century Schoolbook" w:hAnsi="Century Schoolbook"/>
                        </w:rPr>
                        <w:fldChar w:fldCharType="separate"/>
                      </w:r>
                      <w:r w:rsidR="0057796D" w:rsidRPr="0057796D">
                        <w:rPr>
                          <w:rFonts w:ascii="Century Schoolbook" w:hAnsi="Century Schoolbook"/>
                          <w:i/>
                          <w:iCs/>
                          <w:noProof/>
                          <w:sz w:val="18"/>
                          <w:szCs w:val="18"/>
                        </w:rPr>
                        <w:t>44</w:t>
                      </w:r>
                      <w:r w:rsidRPr="00A61C7F">
                        <w:rPr>
                          <w:rFonts w:ascii="Century Schoolbook" w:hAnsi="Century Schoolbook"/>
                          <w:i/>
                          <w:iCs/>
                          <w:noProof/>
                          <w:sz w:val="18"/>
                          <w:szCs w:val="18"/>
                        </w:rPr>
                        <w:fldChar w:fldCharType="end"/>
                      </w:r>
                    </w:p>
                  </w:txbxContent>
                </v:textbox>
              </v:shape>
              <v:group id="Group 4" o:spid="_x0000_s104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5" o:spid="_x0000_s1041"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TpMMA&#10;AADbAAAADwAAAGRycy9kb3ducmV2LnhtbESPMW/CQAyF90r9DydXYiuXdIiqwIEAKagraTOwmZxJ&#10;InK+KHeE8O/roVI3W+/5vc/r7ex6NdEYOs8G0mUCirj2tuPGwM938f4JKkRki71nMvCkANvN68sa&#10;c+sffKKpjI2SEA45GmhjHHKtQ92Sw7D0A7FoVz86jLKOjbYjPiTc9fojSTLtsGNpaHGgQ0v1rbw7&#10;A93Rp1WxL0/hPGUHvesve19djFm8zbsVqEhz/Df/XX9ZwRdY+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TpMMAAADbAAAADwAAAAAAAAAAAAAAAACYAgAAZHJzL2Rv&#10;d25yZXYueG1sUEsFBgAAAAAEAAQA9QAAAIgDAAAAAA==&#10;" fillcolor="#84a2c6" stroked="f"/>
                <v:oval id="Oval 6" o:spid="_x0000_s1042"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P7wA&#10;AADbAAAADwAAAGRycy9kb3ducmV2LnhtbERPzQ7BQBC+S7zDZiRubDkIZQkS4qo4uI3uaBvd2aa7&#10;qt7eSiRu8+X7ncWqNaVoqHaFZQWjYQSCOLW64EzB+bQbTEE4j6yxtEwK3uRgtex2Fhhr++IjNYnP&#10;RAhhF6OC3PsqltKlORl0Q1sRB+5ua4M+wDqTusZXCDelHEfRRBosODTkWNE2p/SRPI2CYm9Hl90m&#10;ObprM9nKdXnb2MtNqX6vXc9BeGr9X/xzH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9zY/vAAAANsAAAAPAAAAAAAAAAAAAAAAAJgCAABkcnMvZG93bnJldi54&#10;bWxQSwUGAAAAAAQABAD1AAAAgQMAAAAA&#10;" fillcolor="#84a2c6" stroked="f"/>
                <v:oval id="Oval 7" o:spid="_x0000_s1043"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H7wA&#10;AADbAAAADwAAAGRycy9kb3ducmV2LnhtbERPvQrCMBDeBd8hnOCmqQ4i1ViqoLhadXA7m7MtNpfS&#10;xFrf3gyC48f3v056U4uOWldZVjCbRiCIc6srLhRczvvJEoTzyBpry6TgQw6SzXCwxljbN5+oy3wh&#10;Qgi7GBWU3jexlC4vyaCb2oY4cA/bGvQBtoXULb5DuKnlPIoW0mDFoaHEhnYl5c/sZRRUBzu77rfZ&#10;yd26xU6m9X1rr3elxqM+XYHw1Pu/+Oc+ag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oVUfvAAAANsAAAAPAAAAAAAAAAAAAAAAAJgCAABkcnMvZG93bnJldi54&#10;bWxQSwUGAAAAAAQABAD1AAAAgQMAAAAA&#10;" fillcolor="#84a2c6" stroked="f"/>
              </v:group>
              <w10:anchorlock/>
            </v:group>
          </w:pict>
        </mc:Fallback>
      </mc:AlternateContent>
    </w:r>
  </w:p>
  <w:p w:rsidR="009053EE" w:rsidRPr="004333A2" w:rsidRDefault="009053EE" w:rsidP="00A61C7F">
    <w:pPr>
      <w:pStyle w:val="Footer"/>
      <w:rPr>
        <w:rFonts w:ascii="Century Schoolbook" w:hAnsi="Century Schoolbook"/>
        <w:sz w:val="18"/>
        <w:szCs w:val="18"/>
      </w:rPr>
    </w:pPr>
    <w:r w:rsidRPr="004333A2">
      <w:rPr>
        <w:rFonts w:ascii="Century Schoolbook" w:hAnsi="Century Schoolbook"/>
        <w:sz w:val="18"/>
        <w:szCs w:val="18"/>
      </w:rPr>
      <w:t xml:space="preserve">Georgia </w:t>
    </w:r>
    <w:r>
      <w:rPr>
        <w:rFonts w:ascii="Century Schoolbook" w:hAnsi="Century Schoolbook"/>
        <w:sz w:val="18"/>
        <w:szCs w:val="18"/>
      </w:rPr>
      <w:t>Defense Lawyers Association – 2013 Law Journal</w:t>
    </w:r>
  </w:p>
  <w:p w:rsidR="009053EE" w:rsidRDefault="009053EE" w:rsidP="0009269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517214"/>
      <w:docPartObj>
        <w:docPartGallery w:val="Page Numbers (Bottom of Page)"/>
        <w:docPartUnique/>
      </w:docPartObj>
    </w:sdtPr>
    <w:sdtEndPr/>
    <w:sdtContent>
      <w:p w:rsidR="009053EE" w:rsidRDefault="009053EE" w:rsidP="009F3013">
        <w:pPr>
          <w:pStyle w:val="Footer"/>
          <w:jc w:val="right"/>
        </w:pPr>
      </w:p>
      <w:p w:rsidR="009053EE" w:rsidRDefault="009053EE" w:rsidP="009F3013">
        <w:pPr>
          <w:pStyle w:val="Footer"/>
          <w:jc w:val="right"/>
        </w:pPr>
        <w:r>
          <w:rPr>
            <w:noProof/>
          </w:rPr>
          <mc:AlternateContent>
            <mc:Choice Requires="wpg">
              <w:drawing>
                <wp:inline distT="0" distB="0" distL="0" distR="0" wp14:anchorId="4A20103F" wp14:editId="4B1C1F39">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53EE" w:rsidRPr="009F3013" w:rsidRDefault="009053EE" w:rsidP="009F3013">
                                <w:pPr>
                                  <w:jc w:val="center"/>
                                  <w:rPr>
                                    <w:rFonts w:ascii="Century Schoolbook" w:hAnsi="Century Schoolbook"/>
                                    <w:szCs w:val="18"/>
                                  </w:rPr>
                                </w:pPr>
                                <w:r w:rsidRPr="009F3013">
                                  <w:rPr>
                                    <w:rFonts w:ascii="Century Schoolbook" w:hAnsi="Century Schoolbook"/>
                                  </w:rPr>
                                  <w:fldChar w:fldCharType="begin"/>
                                </w:r>
                                <w:r w:rsidRPr="009F3013">
                                  <w:rPr>
                                    <w:rFonts w:ascii="Century Schoolbook" w:hAnsi="Century Schoolbook"/>
                                  </w:rPr>
                                  <w:instrText xml:space="preserve"> PAGE    \* MERGEFORMAT </w:instrText>
                                </w:r>
                                <w:r w:rsidRPr="009F3013">
                                  <w:rPr>
                                    <w:rFonts w:ascii="Century Schoolbook" w:hAnsi="Century Schoolbook"/>
                                  </w:rPr>
                                  <w:fldChar w:fldCharType="separate"/>
                                </w:r>
                                <w:r w:rsidR="0057796D" w:rsidRPr="0057796D">
                                  <w:rPr>
                                    <w:rFonts w:ascii="Century Schoolbook" w:hAnsi="Century Schoolbook"/>
                                    <w:i/>
                                    <w:iCs/>
                                    <w:noProof/>
                                    <w:sz w:val="18"/>
                                    <w:szCs w:val="18"/>
                                  </w:rPr>
                                  <w:t>137</w:t>
                                </w:r>
                                <w:r w:rsidRPr="009F3013">
                                  <w:rPr>
                                    <w:rFonts w:ascii="Century Schoolbook" w:hAnsi="Century Schoolbook"/>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_x0000_s104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7oBwQAAM0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BHXp7oBwQAAM0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45"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inset="0,0,0,0">
                      <w:txbxContent>
                        <w:p w:rsidR="009053EE" w:rsidRPr="009F3013" w:rsidRDefault="009053EE" w:rsidP="009F3013">
                          <w:pPr>
                            <w:jc w:val="center"/>
                            <w:rPr>
                              <w:rFonts w:ascii="Century Schoolbook" w:hAnsi="Century Schoolbook"/>
                              <w:szCs w:val="18"/>
                            </w:rPr>
                          </w:pPr>
                          <w:r w:rsidRPr="009F3013">
                            <w:rPr>
                              <w:rFonts w:ascii="Century Schoolbook" w:hAnsi="Century Schoolbook"/>
                            </w:rPr>
                            <w:fldChar w:fldCharType="begin"/>
                          </w:r>
                          <w:r w:rsidRPr="009F3013">
                            <w:rPr>
                              <w:rFonts w:ascii="Century Schoolbook" w:hAnsi="Century Schoolbook"/>
                            </w:rPr>
                            <w:instrText xml:space="preserve"> PAGE    \* MERGEFORMAT </w:instrText>
                          </w:r>
                          <w:r w:rsidRPr="009F3013">
                            <w:rPr>
                              <w:rFonts w:ascii="Century Schoolbook" w:hAnsi="Century Schoolbook"/>
                            </w:rPr>
                            <w:fldChar w:fldCharType="separate"/>
                          </w:r>
                          <w:r w:rsidR="0057796D" w:rsidRPr="0057796D">
                            <w:rPr>
                              <w:rFonts w:ascii="Century Schoolbook" w:hAnsi="Century Schoolbook"/>
                              <w:i/>
                              <w:iCs/>
                              <w:noProof/>
                              <w:sz w:val="18"/>
                              <w:szCs w:val="18"/>
                            </w:rPr>
                            <w:t>137</w:t>
                          </w:r>
                          <w:r w:rsidRPr="009F3013">
                            <w:rPr>
                              <w:rFonts w:ascii="Century Schoolbook" w:hAnsi="Century Schoolbook"/>
                              <w:i/>
                              <w:iCs/>
                              <w:noProof/>
                              <w:sz w:val="18"/>
                              <w:szCs w:val="18"/>
                            </w:rPr>
                            <w:fldChar w:fldCharType="end"/>
                          </w:r>
                        </w:p>
                      </w:txbxContent>
                    </v:textbox>
                  </v:shape>
                  <v:group id="Group 64" o:spid="_x0000_s1046"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1047"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1048"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1049"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anchorlock/>
                </v:group>
              </w:pict>
            </mc:Fallback>
          </mc:AlternateContent>
        </w:r>
      </w:p>
      <w:p w:rsidR="009053EE" w:rsidRPr="004333A2" w:rsidRDefault="009053EE" w:rsidP="009F3013">
        <w:pPr>
          <w:pStyle w:val="Footer"/>
          <w:rPr>
            <w:rFonts w:ascii="Century Schoolbook" w:hAnsi="Century Schoolbook"/>
            <w:sz w:val="18"/>
            <w:szCs w:val="18"/>
          </w:rPr>
        </w:pPr>
        <w:r w:rsidRPr="004333A2">
          <w:rPr>
            <w:rFonts w:ascii="Century Schoolbook" w:hAnsi="Century Schoolbook"/>
            <w:sz w:val="18"/>
            <w:szCs w:val="18"/>
          </w:rPr>
          <w:t xml:space="preserve">Georgia </w:t>
        </w:r>
        <w:r>
          <w:rPr>
            <w:rFonts w:ascii="Century Schoolbook" w:hAnsi="Century Schoolbook"/>
            <w:sz w:val="18"/>
            <w:szCs w:val="18"/>
          </w:rPr>
          <w:t>Defense Lawyers Association – 2013 Law Journal</w:t>
        </w:r>
      </w:p>
      <w:p w:rsidR="009053EE" w:rsidRDefault="001D32A6" w:rsidP="009F3013">
        <w:pPr>
          <w:pStyle w:val="Footer"/>
        </w:pPr>
      </w:p>
    </w:sdtContent>
  </w:sdt>
  <w:p w:rsidR="009053EE" w:rsidRPr="009F3013" w:rsidRDefault="009053EE" w:rsidP="009F301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EE" w:rsidRDefault="009053EE" w:rsidP="00392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53EE" w:rsidRDefault="009053E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EE" w:rsidRDefault="009053EE" w:rsidP="00392C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53EE" w:rsidRDefault="00905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2A6" w:rsidRDefault="001D32A6" w:rsidP="0090503A">
      <w:pPr>
        <w:spacing w:after="0" w:line="240" w:lineRule="auto"/>
      </w:pPr>
      <w:r>
        <w:separator/>
      </w:r>
    </w:p>
  </w:footnote>
  <w:footnote w:type="continuationSeparator" w:id="0">
    <w:p w:rsidR="001D32A6" w:rsidRDefault="001D32A6" w:rsidP="00905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929D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A0296F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E9A79B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F14908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07CD1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3C8674D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3D09A5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02E56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5181A56"/>
    <w:lvl w:ilvl="0">
      <w:start w:val="1"/>
      <w:numFmt w:val="decimal"/>
      <w:pStyle w:val="ListNumber"/>
      <w:lvlText w:val="%1."/>
      <w:lvlJc w:val="left"/>
      <w:pPr>
        <w:tabs>
          <w:tab w:val="num" w:pos="360"/>
        </w:tabs>
        <w:ind w:left="360" w:hanging="360"/>
      </w:pPr>
    </w:lvl>
  </w:abstractNum>
  <w:abstractNum w:abstractNumId="9">
    <w:nsid w:val="FFFFFF89"/>
    <w:multiLevelType w:val="singleLevel"/>
    <w:tmpl w:val="07AA78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14F5E"/>
    <w:multiLevelType w:val="hybridMultilevel"/>
    <w:tmpl w:val="DDC2E982"/>
    <w:lvl w:ilvl="0" w:tplc="AEAA57EE">
      <w:start w:val="16"/>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3190B6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05984981"/>
    <w:multiLevelType w:val="hybridMultilevel"/>
    <w:tmpl w:val="6E006D48"/>
    <w:lvl w:ilvl="0" w:tplc="0409000F">
      <w:start w:val="1"/>
      <w:numFmt w:val="decimal"/>
      <w:lvlText w:val="%1."/>
      <w:lvlJc w:val="left"/>
      <w:pPr>
        <w:tabs>
          <w:tab w:val="num" w:pos="780"/>
        </w:tabs>
        <w:ind w:left="780" w:hanging="360"/>
      </w:pPr>
      <w:rPr>
        <w:rFonts w:hint="default"/>
        <w:b w:val="0"/>
      </w:rPr>
    </w:lvl>
    <w:lvl w:ilvl="1" w:tplc="CF407C66">
      <w:start w:val="1"/>
      <w:numFmt w:val="lowerLetter"/>
      <w:lvlText w:val="%2."/>
      <w:lvlJc w:val="left"/>
      <w:pPr>
        <w:tabs>
          <w:tab w:val="num" w:pos="1860"/>
        </w:tabs>
        <w:ind w:left="1860" w:hanging="720"/>
      </w:pPr>
      <w:rPr>
        <w:rFonts w:hint="default"/>
        <w:b w:val="0"/>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06453921"/>
    <w:multiLevelType w:val="hybridMultilevel"/>
    <w:tmpl w:val="8002674C"/>
    <w:lvl w:ilvl="0" w:tplc="0090FA0A">
      <w:start w:val="1"/>
      <w:numFmt w:val="upperRoman"/>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C46FD6"/>
    <w:multiLevelType w:val="hybridMultilevel"/>
    <w:tmpl w:val="48C2C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EA5ADE"/>
    <w:multiLevelType w:val="hybridMultilevel"/>
    <w:tmpl w:val="32126BD2"/>
    <w:lvl w:ilvl="0" w:tplc="E9F06040">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6BA105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D24360F"/>
    <w:multiLevelType w:val="hybridMultilevel"/>
    <w:tmpl w:val="855CAF7C"/>
    <w:lvl w:ilvl="0" w:tplc="99363DB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9878CE"/>
    <w:multiLevelType w:val="hybridMultilevel"/>
    <w:tmpl w:val="ADC25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250CC9"/>
    <w:multiLevelType w:val="hybridMultilevel"/>
    <w:tmpl w:val="49E40172"/>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5C39C2"/>
    <w:multiLevelType w:val="hybridMultilevel"/>
    <w:tmpl w:val="DA9AF524"/>
    <w:lvl w:ilvl="0" w:tplc="04090019">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nsid w:val="4E026B68"/>
    <w:multiLevelType w:val="hybridMultilevel"/>
    <w:tmpl w:val="80A02230"/>
    <w:lvl w:ilvl="0" w:tplc="7C86A228">
      <w:start w:val="1"/>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5C8251F"/>
    <w:multiLevelType w:val="multilevel"/>
    <w:tmpl w:val="1CBE14D2"/>
    <w:lvl w:ilvl="0">
      <w:start w:val="1"/>
      <w:numFmt w:val="upperRoman"/>
      <w:lvlText w:val="%1."/>
      <w:lvlJc w:val="left"/>
      <w:pPr>
        <w:tabs>
          <w:tab w:val="num" w:pos="720"/>
        </w:tabs>
        <w:ind w:left="720" w:hanging="720"/>
      </w:pPr>
      <w:rPr>
        <w:caps w:val="0"/>
        <w:color w:val="auto"/>
        <w:u w:val="none"/>
      </w:rPr>
    </w:lvl>
    <w:lvl w:ilvl="1">
      <w:start w:val="1"/>
      <w:numFmt w:val="upperLetter"/>
      <w:lvlText w:val="%2."/>
      <w:lvlJc w:val="left"/>
      <w:pPr>
        <w:tabs>
          <w:tab w:val="num" w:pos="1440"/>
        </w:tabs>
        <w:ind w:left="1440" w:hanging="720"/>
      </w:pPr>
      <w:rPr>
        <w:caps w:val="0"/>
        <w:color w:val="auto"/>
        <w:u w:val="none"/>
      </w:rPr>
    </w:lvl>
    <w:lvl w:ilvl="2">
      <w:start w:val="1"/>
      <w:numFmt w:val="decimal"/>
      <w:lvlText w:val="%3."/>
      <w:lvlJc w:val="left"/>
      <w:pPr>
        <w:tabs>
          <w:tab w:val="num" w:pos="2160"/>
        </w:tabs>
        <w:ind w:left="2160" w:hanging="720"/>
      </w:pPr>
      <w:rPr>
        <w:caps w:val="0"/>
        <w:color w:val="auto"/>
        <w:u w:val="none"/>
      </w:rPr>
    </w:lvl>
    <w:lvl w:ilvl="3">
      <w:start w:val="1"/>
      <w:numFmt w:val="lowerLetter"/>
      <w:lvlText w:val="%4."/>
      <w:lvlJc w:val="left"/>
      <w:pPr>
        <w:tabs>
          <w:tab w:val="num" w:pos="2880"/>
        </w:tabs>
        <w:ind w:left="2880" w:hanging="720"/>
      </w:pPr>
      <w:rPr>
        <w:caps w:val="0"/>
        <w:color w:val="auto"/>
        <w:u w:val="none"/>
      </w:rPr>
    </w:lvl>
    <w:lvl w:ilvl="4">
      <w:start w:val="1"/>
      <w:numFmt w:val="lowerRoman"/>
      <w:lvlText w:val="%5."/>
      <w:lvlJc w:val="left"/>
      <w:pPr>
        <w:tabs>
          <w:tab w:val="num" w:pos="3600"/>
        </w:tabs>
        <w:ind w:left="3600" w:hanging="720"/>
      </w:pPr>
      <w:rPr>
        <w:caps w:val="0"/>
        <w:color w:val="auto"/>
        <w:u w:val="none"/>
      </w:rPr>
    </w:lvl>
    <w:lvl w:ilvl="5">
      <w:start w:val="1"/>
      <w:numFmt w:val="lowerLetter"/>
      <w:lvlText w:val="(%6)"/>
      <w:lvlJc w:val="left"/>
      <w:pPr>
        <w:tabs>
          <w:tab w:val="num" w:pos="4320"/>
        </w:tabs>
        <w:ind w:left="4320" w:hanging="720"/>
      </w:pPr>
      <w:rPr>
        <w:caps w:val="0"/>
        <w:color w:val="auto"/>
        <w:u w:val="none"/>
      </w:rPr>
    </w:lvl>
    <w:lvl w:ilvl="6">
      <w:start w:val="1"/>
      <w:numFmt w:val="decimal"/>
      <w:lvlText w:val="(%7)"/>
      <w:lvlJc w:val="left"/>
      <w:pPr>
        <w:tabs>
          <w:tab w:val="num" w:pos="5040"/>
        </w:tabs>
        <w:ind w:left="5040" w:hanging="720"/>
      </w:pPr>
      <w:rPr>
        <w:caps w:val="0"/>
        <w:color w:val="auto"/>
        <w:u w:val="none"/>
      </w:rPr>
    </w:lvl>
    <w:lvl w:ilvl="7">
      <w:start w:val="1"/>
      <w:numFmt w:val="lowerRoman"/>
      <w:lvlText w:val="%8)"/>
      <w:lvlJc w:val="left"/>
      <w:pPr>
        <w:tabs>
          <w:tab w:val="num" w:pos="5760"/>
        </w:tabs>
        <w:ind w:left="5760" w:hanging="720"/>
      </w:pPr>
      <w:rPr>
        <w:caps w:val="0"/>
        <w:color w:val="auto"/>
        <w:u w:val="none"/>
      </w:rPr>
    </w:lvl>
    <w:lvl w:ilvl="8">
      <w:start w:val="1"/>
      <w:numFmt w:val="lowerLetter"/>
      <w:lvlText w:val="%9)"/>
      <w:lvlJc w:val="left"/>
      <w:pPr>
        <w:tabs>
          <w:tab w:val="num" w:pos="6480"/>
        </w:tabs>
        <w:ind w:left="6480" w:hanging="720"/>
      </w:pPr>
      <w:rPr>
        <w:caps w:val="0"/>
        <w:color w:val="auto"/>
        <w:u w:val="none"/>
      </w:rPr>
    </w:lvl>
  </w:abstractNum>
  <w:abstractNum w:abstractNumId="23">
    <w:nsid w:val="5ADC7703"/>
    <w:multiLevelType w:val="hybridMultilevel"/>
    <w:tmpl w:val="A6F492B2"/>
    <w:lvl w:ilvl="0" w:tplc="3D7E6182">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184A65"/>
    <w:multiLevelType w:val="hybridMultilevel"/>
    <w:tmpl w:val="1C648F8C"/>
    <w:lvl w:ilvl="0" w:tplc="FF34058C">
      <w:start w:val="2"/>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7DFF02F5"/>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4"/>
  </w:num>
  <w:num w:numId="3">
    <w:abstractNumId w:val="23"/>
  </w:num>
  <w:num w:numId="4">
    <w:abstractNumId w:val="20"/>
  </w:num>
  <w:num w:numId="5">
    <w:abstractNumId w:val="9"/>
  </w:num>
  <w:num w:numId="6">
    <w:abstractNumId w:val="22"/>
  </w:num>
  <w:num w:numId="7">
    <w:abstractNumId w:val="10"/>
  </w:num>
  <w:num w:numId="8">
    <w:abstractNumId w:val="25"/>
  </w:num>
  <w:num w:numId="9">
    <w:abstractNumId w:val="16"/>
  </w:num>
  <w:num w:numId="10">
    <w:abstractNumId w:val="11"/>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9"/>
  </w:num>
  <w:num w:numId="23">
    <w:abstractNumId w:val="13"/>
  </w:num>
  <w:num w:numId="24">
    <w:abstractNumId w:val="15"/>
  </w:num>
  <w:num w:numId="25">
    <w:abstractNumId w:val="17"/>
  </w:num>
  <w:num w:numId="26">
    <w:abstractNumId w:val="1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documentProtection w:edit="readOnly" w:enforcement="1"/>
  <w:defaultTabStop w:val="720"/>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2EB"/>
    <w:rsid w:val="00013514"/>
    <w:rsid w:val="00044ECB"/>
    <w:rsid w:val="00075FE4"/>
    <w:rsid w:val="00086D69"/>
    <w:rsid w:val="000912EC"/>
    <w:rsid w:val="00092694"/>
    <w:rsid w:val="00092EA6"/>
    <w:rsid w:val="000946D2"/>
    <w:rsid w:val="000A1FA0"/>
    <w:rsid w:val="000B18CB"/>
    <w:rsid w:val="000C0C20"/>
    <w:rsid w:val="000D7B32"/>
    <w:rsid w:val="000E1982"/>
    <w:rsid w:val="0012060A"/>
    <w:rsid w:val="00123CB2"/>
    <w:rsid w:val="001345E8"/>
    <w:rsid w:val="00136195"/>
    <w:rsid w:val="00153A04"/>
    <w:rsid w:val="001612DA"/>
    <w:rsid w:val="001722DB"/>
    <w:rsid w:val="0017250F"/>
    <w:rsid w:val="00184A52"/>
    <w:rsid w:val="00191435"/>
    <w:rsid w:val="0019181F"/>
    <w:rsid w:val="001920CF"/>
    <w:rsid w:val="001B053B"/>
    <w:rsid w:val="001B3576"/>
    <w:rsid w:val="001D1881"/>
    <w:rsid w:val="001D23EC"/>
    <w:rsid w:val="001D32A6"/>
    <w:rsid w:val="001E245A"/>
    <w:rsid w:val="00202417"/>
    <w:rsid w:val="00203931"/>
    <w:rsid w:val="00205EDD"/>
    <w:rsid w:val="0021088B"/>
    <w:rsid w:val="00223634"/>
    <w:rsid w:val="0023036C"/>
    <w:rsid w:val="00236836"/>
    <w:rsid w:val="00236DD5"/>
    <w:rsid w:val="00237D7A"/>
    <w:rsid w:val="00244577"/>
    <w:rsid w:val="002467AD"/>
    <w:rsid w:val="00246F66"/>
    <w:rsid w:val="002535FF"/>
    <w:rsid w:val="002607FA"/>
    <w:rsid w:val="002636AE"/>
    <w:rsid w:val="00265FE3"/>
    <w:rsid w:val="002829D2"/>
    <w:rsid w:val="002A2565"/>
    <w:rsid w:val="002A6B6C"/>
    <w:rsid w:val="002A708E"/>
    <w:rsid w:val="002B0D59"/>
    <w:rsid w:val="002B499B"/>
    <w:rsid w:val="002C3751"/>
    <w:rsid w:val="002D5665"/>
    <w:rsid w:val="002F5994"/>
    <w:rsid w:val="002F7507"/>
    <w:rsid w:val="002F75A3"/>
    <w:rsid w:val="002F77D6"/>
    <w:rsid w:val="00316DC1"/>
    <w:rsid w:val="00323493"/>
    <w:rsid w:val="0033544E"/>
    <w:rsid w:val="00341BCB"/>
    <w:rsid w:val="00345058"/>
    <w:rsid w:val="003522D9"/>
    <w:rsid w:val="00390203"/>
    <w:rsid w:val="00392C0B"/>
    <w:rsid w:val="00394533"/>
    <w:rsid w:val="003A30D6"/>
    <w:rsid w:val="003A38BC"/>
    <w:rsid w:val="003A4EF4"/>
    <w:rsid w:val="003B7992"/>
    <w:rsid w:val="003E1523"/>
    <w:rsid w:val="003E47A7"/>
    <w:rsid w:val="003F419C"/>
    <w:rsid w:val="003F772A"/>
    <w:rsid w:val="00414008"/>
    <w:rsid w:val="00424BE1"/>
    <w:rsid w:val="004333A2"/>
    <w:rsid w:val="00437562"/>
    <w:rsid w:val="0045011C"/>
    <w:rsid w:val="00453322"/>
    <w:rsid w:val="00461145"/>
    <w:rsid w:val="00470535"/>
    <w:rsid w:val="00470DD1"/>
    <w:rsid w:val="00477C32"/>
    <w:rsid w:val="00494765"/>
    <w:rsid w:val="004A08C1"/>
    <w:rsid w:val="004A20DA"/>
    <w:rsid w:val="004B1298"/>
    <w:rsid w:val="004B1B48"/>
    <w:rsid w:val="004B397A"/>
    <w:rsid w:val="004B5336"/>
    <w:rsid w:val="004B6774"/>
    <w:rsid w:val="004B6889"/>
    <w:rsid w:val="004B6D63"/>
    <w:rsid w:val="004E338E"/>
    <w:rsid w:val="00514DB5"/>
    <w:rsid w:val="0053169E"/>
    <w:rsid w:val="00565D5A"/>
    <w:rsid w:val="00566873"/>
    <w:rsid w:val="0057796D"/>
    <w:rsid w:val="00583044"/>
    <w:rsid w:val="00595D17"/>
    <w:rsid w:val="00595E54"/>
    <w:rsid w:val="005A457C"/>
    <w:rsid w:val="005A61E8"/>
    <w:rsid w:val="005A6C33"/>
    <w:rsid w:val="005C27FD"/>
    <w:rsid w:val="005C3E72"/>
    <w:rsid w:val="005C6218"/>
    <w:rsid w:val="005C69D8"/>
    <w:rsid w:val="005D30E6"/>
    <w:rsid w:val="005E00ED"/>
    <w:rsid w:val="00601B5C"/>
    <w:rsid w:val="00603B91"/>
    <w:rsid w:val="00607352"/>
    <w:rsid w:val="0061548D"/>
    <w:rsid w:val="00622CB7"/>
    <w:rsid w:val="00622CDD"/>
    <w:rsid w:val="00623B3E"/>
    <w:rsid w:val="00662C70"/>
    <w:rsid w:val="00670F6B"/>
    <w:rsid w:val="006A01D2"/>
    <w:rsid w:val="006A7CD0"/>
    <w:rsid w:val="006C406D"/>
    <w:rsid w:val="006F344B"/>
    <w:rsid w:val="00703F63"/>
    <w:rsid w:val="00714B68"/>
    <w:rsid w:val="0071563F"/>
    <w:rsid w:val="00746BB0"/>
    <w:rsid w:val="00753298"/>
    <w:rsid w:val="007A1286"/>
    <w:rsid w:val="007B2A71"/>
    <w:rsid w:val="007C2E8B"/>
    <w:rsid w:val="007F4D92"/>
    <w:rsid w:val="00805054"/>
    <w:rsid w:val="00812099"/>
    <w:rsid w:val="00813C1F"/>
    <w:rsid w:val="00817093"/>
    <w:rsid w:val="00842395"/>
    <w:rsid w:val="008503CC"/>
    <w:rsid w:val="00851CEA"/>
    <w:rsid w:val="0086667D"/>
    <w:rsid w:val="0087315F"/>
    <w:rsid w:val="00875BEC"/>
    <w:rsid w:val="00896C7E"/>
    <w:rsid w:val="008A0A9A"/>
    <w:rsid w:val="008A602D"/>
    <w:rsid w:val="008B3E3D"/>
    <w:rsid w:val="008B4F6C"/>
    <w:rsid w:val="008C199D"/>
    <w:rsid w:val="008D1F5F"/>
    <w:rsid w:val="008F05D1"/>
    <w:rsid w:val="008F2B2C"/>
    <w:rsid w:val="0090503A"/>
    <w:rsid w:val="009053EE"/>
    <w:rsid w:val="00910262"/>
    <w:rsid w:val="009147E7"/>
    <w:rsid w:val="00915AEB"/>
    <w:rsid w:val="00917D35"/>
    <w:rsid w:val="009232C7"/>
    <w:rsid w:val="0093623D"/>
    <w:rsid w:val="0095640D"/>
    <w:rsid w:val="0095715E"/>
    <w:rsid w:val="009658BD"/>
    <w:rsid w:val="00970AC1"/>
    <w:rsid w:val="00977C98"/>
    <w:rsid w:val="00984EAB"/>
    <w:rsid w:val="00993646"/>
    <w:rsid w:val="009A111A"/>
    <w:rsid w:val="009B076E"/>
    <w:rsid w:val="009B150A"/>
    <w:rsid w:val="009B167A"/>
    <w:rsid w:val="009B62EB"/>
    <w:rsid w:val="009B6E16"/>
    <w:rsid w:val="009C147F"/>
    <w:rsid w:val="009C498C"/>
    <w:rsid w:val="009E4E65"/>
    <w:rsid w:val="009E7551"/>
    <w:rsid w:val="009F2D27"/>
    <w:rsid w:val="009F3013"/>
    <w:rsid w:val="00A006F1"/>
    <w:rsid w:val="00A02874"/>
    <w:rsid w:val="00A07AFF"/>
    <w:rsid w:val="00A174C5"/>
    <w:rsid w:val="00A1761D"/>
    <w:rsid w:val="00A27972"/>
    <w:rsid w:val="00A32E3A"/>
    <w:rsid w:val="00A52DBC"/>
    <w:rsid w:val="00A55B37"/>
    <w:rsid w:val="00A60AA9"/>
    <w:rsid w:val="00A61C7F"/>
    <w:rsid w:val="00A62147"/>
    <w:rsid w:val="00A807C2"/>
    <w:rsid w:val="00A87D6F"/>
    <w:rsid w:val="00A93951"/>
    <w:rsid w:val="00AA0979"/>
    <w:rsid w:val="00AB16BD"/>
    <w:rsid w:val="00AC7CD3"/>
    <w:rsid w:val="00AD1C65"/>
    <w:rsid w:val="00AD3A25"/>
    <w:rsid w:val="00AD78F1"/>
    <w:rsid w:val="00AE3D1A"/>
    <w:rsid w:val="00AF7BEC"/>
    <w:rsid w:val="00B00781"/>
    <w:rsid w:val="00B22767"/>
    <w:rsid w:val="00B315D6"/>
    <w:rsid w:val="00B33397"/>
    <w:rsid w:val="00B40EFB"/>
    <w:rsid w:val="00B61C27"/>
    <w:rsid w:val="00B6585F"/>
    <w:rsid w:val="00B70DC9"/>
    <w:rsid w:val="00B72D4A"/>
    <w:rsid w:val="00B750F3"/>
    <w:rsid w:val="00B77E1B"/>
    <w:rsid w:val="00B94BF8"/>
    <w:rsid w:val="00BA506A"/>
    <w:rsid w:val="00BC1EAA"/>
    <w:rsid w:val="00BC6DBB"/>
    <w:rsid w:val="00BE512E"/>
    <w:rsid w:val="00C15911"/>
    <w:rsid w:val="00C279A3"/>
    <w:rsid w:val="00C304AC"/>
    <w:rsid w:val="00C407E0"/>
    <w:rsid w:val="00C52644"/>
    <w:rsid w:val="00C64286"/>
    <w:rsid w:val="00C80CB6"/>
    <w:rsid w:val="00C815FF"/>
    <w:rsid w:val="00C87515"/>
    <w:rsid w:val="00C9065B"/>
    <w:rsid w:val="00CA5938"/>
    <w:rsid w:val="00CA5B74"/>
    <w:rsid w:val="00CB0A42"/>
    <w:rsid w:val="00CB37A0"/>
    <w:rsid w:val="00CB516E"/>
    <w:rsid w:val="00CC1D41"/>
    <w:rsid w:val="00CC5181"/>
    <w:rsid w:val="00CE7703"/>
    <w:rsid w:val="00CF2FAD"/>
    <w:rsid w:val="00CF4FAC"/>
    <w:rsid w:val="00D02DA8"/>
    <w:rsid w:val="00D158BF"/>
    <w:rsid w:val="00D2532B"/>
    <w:rsid w:val="00D40664"/>
    <w:rsid w:val="00D50F8E"/>
    <w:rsid w:val="00D605ED"/>
    <w:rsid w:val="00D61CE7"/>
    <w:rsid w:val="00D64F42"/>
    <w:rsid w:val="00D66B31"/>
    <w:rsid w:val="00D70037"/>
    <w:rsid w:val="00D878F1"/>
    <w:rsid w:val="00D93441"/>
    <w:rsid w:val="00D9365B"/>
    <w:rsid w:val="00DD1B71"/>
    <w:rsid w:val="00E16721"/>
    <w:rsid w:val="00E20551"/>
    <w:rsid w:val="00E36D5B"/>
    <w:rsid w:val="00E44C1C"/>
    <w:rsid w:val="00E476E2"/>
    <w:rsid w:val="00E579FE"/>
    <w:rsid w:val="00E57DB9"/>
    <w:rsid w:val="00E6143D"/>
    <w:rsid w:val="00E649EB"/>
    <w:rsid w:val="00E83C3B"/>
    <w:rsid w:val="00EE0379"/>
    <w:rsid w:val="00EE2953"/>
    <w:rsid w:val="00F16FA8"/>
    <w:rsid w:val="00F34F60"/>
    <w:rsid w:val="00F376F5"/>
    <w:rsid w:val="00F45985"/>
    <w:rsid w:val="00F5587A"/>
    <w:rsid w:val="00F559C3"/>
    <w:rsid w:val="00F63FAA"/>
    <w:rsid w:val="00F67E1B"/>
    <w:rsid w:val="00F67E92"/>
    <w:rsid w:val="00F75871"/>
    <w:rsid w:val="00F875F1"/>
    <w:rsid w:val="00F918B6"/>
    <w:rsid w:val="00FC0582"/>
    <w:rsid w:val="00FD52D9"/>
    <w:rsid w:val="00FD5969"/>
    <w:rsid w:val="00FE60BD"/>
    <w:rsid w:val="00FF1B1D"/>
    <w:rsid w:val="00FF4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B6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52D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BBodyText2"/>
    <w:link w:val="Heading3Char"/>
    <w:qFormat/>
    <w:rsid w:val="00C9065B"/>
    <w:pPr>
      <w:tabs>
        <w:tab w:val="num" w:pos="2160"/>
      </w:tabs>
      <w:spacing w:after="240" w:line="240" w:lineRule="auto"/>
      <w:ind w:left="2160" w:hanging="720"/>
      <w:outlineLvl w:val="2"/>
    </w:pPr>
    <w:rPr>
      <w:rFonts w:ascii="Times New Roman" w:eastAsia="Times New Roman" w:hAnsi="Times New Roman" w:cs="Times New Roman"/>
      <w:b/>
      <w:bCs/>
      <w:sz w:val="28"/>
      <w:szCs w:val="26"/>
    </w:rPr>
  </w:style>
  <w:style w:type="paragraph" w:styleId="Heading4">
    <w:name w:val="heading 4"/>
    <w:basedOn w:val="Normal"/>
    <w:next w:val="BBBodyText2"/>
    <w:link w:val="Heading4Char"/>
    <w:qFormat/>
    <w:rsid w:val="00C9065B"/>
    <w:pPr>
      <w:tabs>
        <w:tab w:val="num" w:pos="2880"/>
      </w:tabs>
      <w:spacing w:after="240" w:line="240" w:lineRule="auto"/>
      <w:ind w:left="2880" w:hanging="720"/>
      <w:outlineLvl w:val="3"/>
    </w:pPr>
    <w:rPr>
      <w:rFonts w:ascii="Times New Roman" w:eastAsia="Times New Roman" w:hAnsi="Times New Roman" w:cs="Times New Roman"/>
      <w:bCs/>
      <w:sz w:val="28"/>
      <w:szCs w:val="28"/>
      <w:u w:val="single"/>
    </w:rPr>
  </w:style>
  <w:style w:type="paragraph" w:styleId="Heading5">
    <w:name w:val="heading 5"/>
    <w:basedOn w:val="Normal"/>
    <w:next w:val="BBBodyText2"/>
    <w:link w:val="Heading5Char"/>
    <w:qFormat/>
    <w:rsid w:val="00C9065B"/>
    <w:pPr>
      <w:tabs>
        <w:tab w:val="num" w:pos="3600"/>
      </w:tabs>
      <w:spacing w:after="240" w:line="240" w:lineRule="auto"/>
      <w:ind w:left="3600" w:hanging="720"/>
      <w:outlineLvl w:val="4"/>
    </w:pPr>
    <w:rPr>
      <w:rFonts w:ascii="Times New Roman" w:eastAsia="Times New Roman" w:hAnsi="Times New Roman" w:cs="Times New Roman"/>
      <w:bCs/>
      <w:iCs/>
      <w:sz w:val="24"/>
      <w:szCs w:val="26"/>
    </w:rPr>
  </w:style>
  <w:style w:type="paragraph" w:styleId="Heading6">
    <w:name w:val="heading 6"/>
    <w:basedOn w:val="Normal"/>
    <w:next w:val="BBBodyText2"/>
    <w:link w:val="Heading6Char"/>
    <w:qFormat/>
    <w:rsid w:val="00C9065B"/>
    <w:pPr>
      <w:tabs>
        <w:tab w:val="num" w:pos="4320"/>
      </w:tabs>
      <w:spacing w:after="240" w:line="240" w:lineRule="auto"/>
      <w:ind w:left="4320" w:hanging="720"/>
      <w:outlineLvl w:val="5"/>
    </w:pPr>
    <w:rPr>
      <w:rFonts w:ascii="Times New Roman" w:eastAsia="Times New Roman" w:hAnsi="Times New Roman" w:cs="Times New Roman"/>
      <w:bCs/>
      <w:sz w:val="24"/>
    </w:rPr>
  </w:style>
  <w:style w:type="paragraph" w:styleId="Heading7">
    <w:name w:val="heading 7"/>
    <w:basedOn w:val="Normal"/>
    <w:next w:val="BBBodyText2"/>
    <w:link w:val="Heading7Char"/>
    <w:qFormat/>
    <w:rsid w:val="00C9065B"/>
    <w:pPr>
      <w:tabs>
        <w:tab w:val="num" w:pos="5040"/>
      </w:tabs>
      <w:spacing w:after="240" w:line="240" w:lineRule="auto"/>
      <w:ind w:left="5040" w:hanging="720"/>
      <w:outlineLvl w:val="6"/>
    </w:pPr>
    <w:rPr>
      <w:rFonts w:ascii="Times New Roman" w:eastAsia="Times New Roman" w:hAnsi="Times New Roman" w:cs="Times New Roman"/>
      <w:sz w:val="24"/>
      <w:szCs w:val="24"/>
    </w:rPr>
  </w:style>
  <w:style w:type="paragraph" w:styleId="Heading8">
    <w:name w:val="heading 8"/>
    <w:basedOn w:val="Normal"/>
    <w:next w:val="BBBodyText2"/>
    <w:link w:val="Heading8Char"/>
    <w:qFormat/>
    <w:rsid w:val="00C9065B"/>
    <w:pPr>
      <w:tabs>
        <w:tab w:val="num" w:pos="5760"/>
      </w:tabs>
      <w:spacing w:after="240" w:line="240" w:lineRule="auto"/>
      <w:ind w:left="5760" w:hanging="720"/>
      <w:outlineLvl w:val="7"/>
    </w:pPr>
    <w:rPr>
      <w:rFonts w:ascii="Times New Roman" w:eastAsia="Times New Roman" w:hAnsi="Times New Roman" w:cs="Times New Roman"/>
      <w:iCs/>
      <w:sz w:val="24"/>
      <w:szCs w:val="24"/>
    </w:rPr>
  </w:style>
  <w:style w:type="paragraph" w:styleId="Heading9">
    <w:name w:val="heading 9"/>
    <w:basedOn w:val="Normal"/>
    <w:next w:val="BBBodyText2"/>
    <w:link w:val="Heading9Char"/>
    <w:qFormat/>
    <w:rsid w:val="00C9065B"/>
    <w:pPr>
      <w:tabs>
        <w:tab w:val="num" w:pos="6480"/>
      </w:tabs>
      <w:spacing w:after="240" w:line="240" w:lineRule="auto"/>
      <w:ind w:left="6480" w:hanging="720"/>
      <w:outlineLvl w:val="8"/>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2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B62EB"/>
    <w:pPr>
      <w:outlineLvl w:val="9"/>
    </w:pPr>
    <w:rPr>
      <w:lang w:eastAsia="ja-JP"/>
    </w:rPr>
  </w:style>
  <w:style w:type="paragraph" w:styleId="TOC2">
    <w:name w:val="toc 2"/>
    <w:basedOn w:val="Normal"/>
    <w:next w:val="Normal"/>
    <w:autoRedefine/>
    <w:uiPriority w:val="39"/>
    <w:unhideWhenUsed/>
    <w:qFormat/>
    <w:rsid w:val="00246F66"/>
    <w:pPr>
      <w:spacing w:after="100"/>
      <w:ind w:left="220"/>
    </w:pPr>
    <w:rPr>
      <w:rFonts w:ascii="Century Schoolbook" w:eastAsiaTheme="minorEastAsia" w:hAnsi="Century Schoolbook"/>
      <w:i/>
      <w:sz w:val="20"/>
      <w:lang w:eastAsia="ja-JP"/>
    </w:rPr>
  </w:style>
  <w:style w:type="paragraph" w:styleId="TOC1">
    <w:name w:val="toc 1"/>
    <w:basedOn w:val="GDLA"/>
    <w:autoRedefine/>
    <w:uiPriority w:val="39"/>
    <w:unhideWhenUsed/>
    <w:qFormat/>
    <w:rsid w:val="004B6889"/>
    <w:pPr>
      <w:tabs>
        <w:tab w:val="right" w:leader="dot" w:pos="9350"/>
      </w:tabs>
      <w:spacing w:before="120" w:after="180"/>
      <w:jc w:val="left"/>
    </w:pPr>
    <w:rPr>
      <w:rFonts w:eastAsiaTheme="minorEastAsia"/>
      <w:noProof/>
      <w:sz w:val="22"/>
      <w:lang w:eastAsia="ja-JP"/>
    </w:rPr>
  </w:style>
  <w:style w:type="paragraph" w:styleId="TOC3">
    <w:name w:val="toc 3"/>
    <w:basedOn w:val="Normal"/>
    <w:next w:val="Normal"/>
    <w:autoRedefine/>
    <w:uiPriority w:val="39"/>
    <w:unhideWhenUsed/>
    <w:qFormat/>
    <w:rsid w:val="00203931"/>
    <w:pPr>
      <w:spacing w:after="100"/>
      <w:ind w:left="440"/>
    </w:pPr>
    <w:rPr>
      <w:rFonts w:ascii="Century Schoolbook" w:eastAsiaTheme="minorEastAsia" w:hAnsi="Century Schoolbook"/>
      <w:b/>
      <w:sz w:val="18"/>
      <w:lang w:eastAsia="ja-JP"/>
    </w:rPr>
  </w:style>
  <w:style w:type="paragraph" w:styleId="BalloonText">
    <w:name w:val="Balloon Text"/>
    <w:basedOn w:val="Normal"/>
    <w:link w:val="BalloonTextChar"/>
    <w:semiHidden/>
    <w:unhideWhenUsed/>
    <w:rsid w:val="009B6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2EB"/>
    <w:rPr>
      <w:rFonts w:ascii="Tahoma" w:hAnsi="Tahoma" w:cs="Tahoma"/>
      <w:sz w:val="16"/>
      <w:szCs w:val="16"/>
    </w:rPr>
  </w:style>
  <w:style w:type="paragraph" w:styleId="NoSpacing">
    <w:name w:val="No Spacing"/>
    <w:link w:val="NoSpacingChar"/>
    <w:uiPriority w:val="1"/>
    <w:qFormat/>
    <w:rsid w:val="009B62E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62EB"/>
    <w:rPr>
      <w:rFonts w:eastAsiaTheme="minorEastAsia"/>
      <w:lang w:eastAsia="ja-JP"/>
    </w:rPr>
  </w:style>
  <w:style w:type="paragraph" w:styleId="Header">
    <w:name w:val="header"/>
    <w:basedOn w:val="Normal"/>
    <w:link w:val="HeaderChar"/>
    <w:unhideWhenUsed/>
    <w:rsid w:val="00905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03A"/>
  </w:style>
  <w:style w:type="paragraph" w:styleId="Footer">
    <w:name w:val="footer"/>
    <w:basedOn w:val="Normal"/>
    <w:link w:val="FooterChar"/>
    <w:uiPriority w:val="99"/>
    <w:unhideWhenUsed/>
    <w:rsid w:val="00905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03A"/>
  </w:style>
  <w:style w:type="paragraph" w:customStyle="1" w:styleId="D345FF3D873148C5AE3FBF3267827368">
    <w:name w:val="D345FF3D873148C5AE3FBF3267827368"/>
    <w:rsid w:val="0090503A"/>
    <w:rPr>
      <w:rFonts w:eastAsiaTheme="minorEastAsia"/>
      <w:lang w:eastAsia="ja-JP"/>
    </w:rPr>
  </w:style>
  <w:style w:type="paragraph" w:styleId="EndnoteText">
    <w:name w:val="endnote text"/>
    <w:basedOn w:val="Normal"/>
    <w:link w:val="EndnoteTextChar"/>
    <w:rsid w:val="00414008"/>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414008"/>
    <w:rPr>
      <w:rFonts w:ascii="Times New Roman" w:eastAsia="Times New Roman" w:hAnsi="Times New Roman" w:cs="Times New Roman"/>
      <w:sz w:val="20"/>
      <w:szCs w:val="20"/>
    </w:rPr>
  </w:style>
  <w:style w:type="character" w:styleId="EndnoteReference">
    <w:name w:val="endnote reference"/>
    <w:basedOn w:val="DefaultParagraphFont"/>
    <w:rsid w:val="00414008"/>
    <w:rPr>
      <w:vertAlign w:val="superscript"/>
    </w:rPr>
  </w:style>
  <w:style w:type="paragraph" w:customStyle="1" w:styleId="GDLA">
    <w:name w:val="GDLA"/>
    <w:basedOn w:val="Normal"/>
    <w:qFormat/>
    <w:rsid w:val="00E16721"/>
    <w:pPr>
      <w:spacing w:after="0"/>
      <w:jc w:val="center"/>
    </w:pPr>
    <w:rPr>
      <w:rFonts w:ascii="Century Schoolbook" w:hAnsi="Century Schoolbook"/>
      <w:b/>
      <w:sz w:val="28"/>
      <w:szCs w:val="28"/>
    </w:rPr>
  </w:style>
  <w:style w:type="character" w:styleId="Hyperlink">
    <w:name w:val="Hyperlink"/>
    <w:basedOn w:val="DefaultParagraphFont"/>
    <w:uiPriority w:val="99"/>
    <w:unhideWhenUsed/>
    <w:rsid w:val="00E16721"/>
    <w:rPr>
      <w:color w:val="0000FF" w:themeColor="hyperlink"/>
      <w:u w:val="single"/>
    </w:rPr>
  </w:style>
  <w:style w:type="character" w:styleId="PageNumber">
    <w:name w:val="page number"/>
    <w:basedOn w:val="DefaultParagraphFont"/>
    <w:unhideWhenUsed/>
    <w:rsid w:val="003522D9"/>
  </w:style>
  <w:style w:type="table" w:styleId="TableGrid">
    <w:name w:val="Table Grid"/>
    <w:basedOn w:val="TableNormal"/>
    <w:rsid w:val="003522D9"/>
    <w:pPr>
      <w:spacing w:after="0" w:line="240" w:lineRule="auto"/>
    </w:pPr>
    <w:rPr>
      <w:rFonts w:ascii="Times New Roman" w:eastAsia="MS Mincho"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link w:val="AuthorChar"/>
    <w:qFormat/>
    <w:rsid w:val="00A52DBC"/>
    <w:pPr>
      <w:spacing w:after="0"/>
      <w:jc w:val="center"/>
    </w:pPr>
    <w:rPr>
      <w:rFonts w:ascii="Century Schoolbook" w:hAnsi="Century Schoolbook"/>
      <w:sz w:val="24"/>
      <w:szCs w:val="24"/>
    </w:rPr>
  </w:style>
  <w:style w:type="character" w:customStyle="1" w:styleId="Heading2Char">
    <w:name w:val="Heading 2 Char"/>
    <w:basedOn w:val="DefaultParagraphFont"/>
    <w:link w:val="Heading2"/>
    <w:uiPriority w:val="9"/>
    <w:semiHidden/>
    <w:rsid w:val="00A52DBC"/>
    <w:rPr>
      <w:rFonts w:asciiTheme="majorHAnsi" w:eastAsiaTheme="majorEastAsia" w:hAnsiTheme="majorHAnsi" w:cstheme="majorBidi"/>
      <w:b/>
      <w:bCs/>
      <w:color w:val="4F81BD" w:themeColor="accent1"/>
      <w:sz w:val="26"/>
      <w:szCs w:val="26"/>
    </w:rPr>
  </w:style>
  <w:style w:type="character" w:customStyle="1" w:styleId="AuthorChar">
    <w:name w:val="Author Char"/>
    <w:basedOn w:val="DefaultParagraphFont"/>
    <w:link w:val="Author"/>
    <w:rsid w:val="00A52DBC"/>
    <w:rPr>
      <w:rFonts w:ascii="Century Schoolbook" w:hAnsi="Century Schoolbook"/>
      <w:sz w:val="24"/>
      <w:szCs w:val="24"/>
    </w:rPr>
  </w:style>
  <w:style w:type="paragraph" w:customStyle="1" w:styleId="BodyText05">
    <w:name w:val="Body Text 0.5"/>
    <w:basedOn w:val="Normal"/>
    <w:qFormat/>
    <w:rsid w:val="00153A04"/>
    <w:pPr>
      <w:spacing w:before="240" w:after="0" w:line="240" w:lineRule="auto"/>
      <w:ind w:firstLine="720"/>
    </w:pPr>
    <w:rPr>
      <w:rFonts w:ascii="Times New Roman" w:eastAsia="Times New Roman" w:hAnsi="Times New Roman" w:cs="Times New Roman"/>
      <w:sz w:val="24"/>
      <w:szCs w:val="24"/>
    </w:rPr>
  </w:style>
  <w:style w:type="character" w:customStyle="1" w:styleId="ssit">
    <w:name w:val="ss_it"/>
    <w:basedOn w:val="DefaultParagraphFont"/>
    <w:rsid w:val="00092694"/>
  </w:style>
  <w:style w:type="character" w:customStyle="1" w:styleId="ssrfcpassagedeactivated">
    <w:name w:val="ss_rfcpassage_deactivated"/>
    <w:basedOn w:val="DefaultParagraphFont"/>
    <w:rsid w:val="00092694"/>
  </w:style>
  <w:style w:type="character" w:customStyle="1" w:styleId="ssun">
    <w:name w:val="ss_un"/>
    <w:basedOn w:val="DefaultParagraphFont"/>
    <w:rsid w:val="00092694"/>
  </w:style>
  <w:style w:type="character" w:styleId="Emphasis">
    <w:name w:val="Emphasis"/>
    <w:qFormat/>
    <w:rsid w:val="00FE60BD"/>
    <w:rPr>
      <w:i/>
      <w:iCs/>
    </w:rPr>
  </w:style>
  <w:style w:type="character" w:customStyle="1" w:styleId="Heading3Char">
    <w:name w:val="Heading 3 Char"/>
    <w:basedOn w:val="DefaultParagraphFont"/>
    <w:link w:val="Heading3"/>
    <w:rsid w:val="00C9065B"/>
    <w:rPr>
      <w:rFonts w:ascii="Times New Roman" w:eastAsia="Times New Roman" w:hAnsi="Times New Roman" w:cs="Times New Roman"/>
      <w:b/>
      <w:bCs/>
      <w:sz w:val="28"/>
      <w:szCs w:val="26"/>
    </w:rPr>
  </w:style>
  <w:style w:type="character" w:customStyle="1" w:styleId="Heading4Char">
    <w:name w:val="Heading 4 Char"/>
    <w:basedOn w:val="DefaultParagraphFont"/>
    <w:link w:val="Heading4"/>
    <w:rsid w:val="00C9065B"/>
    <w:rPr>
      <w:rFonts w:ascii="Times New Roman" w:eastAsia="Times New Roman" w:hAnsi="Times New Roman" w:cs="Times New Roman"/>
      <w:bCs/>
      <w:sz w:val="28"/>
      <w:szCs w:val="28"/>
      <w:u w:val="single"/>
    </w:rPr>
  </w:style>
  <w:style w:type="character" w:customStyle="1" w:styleId="Heading5Char">
    <w:name w:val="Heading 5 Char"/>
    <w:basedOn w:val="DefaultParagraphFont"/>
    <w:link w:val="Heading5"/>
    <w:rsid w:val="00C9065B"/>
    <w:rPr>
      <w:rFonts w:ascii="Times New Roman" w:eastAsia="Times New Roman" w:hAnsi="Times New Roman" w:cs="Times New Roman"/>
      <w:bCs/>
      <w:iCs/>
      <w:sz w:val="24"/>
      <w:szCs w:val="26"/>
    </w:rPr>
  </w:style>
  <w:style w:type="character" w:customStyle="1" w:styleId="Heading6Char">
    <w:name w:val="Heading 6 Char"/>
    <w:basedOn w:val="DefaultParagraphFont"/>
    <w:link w:val="Heading6"/>
    <w:rsid w:val="00C9065B"/>
    <w:rPr>
      <w:rFonts w:ascii="Times New Roman" w:eastAsia="Times New Roman" w:hAnsi="Times New Roman" w:cs="Times New Roman"/>
      <w:bCs/>
      <w:sz w:val="24"/>
    </w:rPr>
  </w:style>
  <w:style w:type="character" w:customStyle="1" w:styleId="Heading7Char">
    <w:name w:val="Heading 7 Char"/>
    <w:basedOn w:val="DefaultParagraphFont"/>
    <w:link w:val="Heading7"/>
    <w:rsid w:val="00C9065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9065B"/>
    <w:rPr>
      <w:rFonts w:ascii="Times New Roman" w:eastAsia="Times New Roman" w:hAnsi="Times New Roman" w:cs="Times New Roman"/>
      <w:iCs/>
      <w:sz w:val="24"/>
      <w:szCs w:val="24"/>
    </w:rPr>
  </w:style>
  <w:style w:type="character" w:customStyle="1" w:styleId="Heading9Char">
    <w:name w:val="Heading 9 Char"/>
    <w:basedOn w:val="DefaultParagraphFont"/>
    <w:link w:val="Heading9"/>
    <w:rsid w:val="00C9065B"/>
    <w:rPr>
      <w:rFonts w:ascii="Times New Roman" w:eastAsia="Times New Roman" w:hAnsi="Times New Roman" w:cs="Times New Roman"/>
      <w:sz w:val="24"/>
    </w:rPr>
  </w:style>
  <w:style w:type="paragraph" w:customStyle="1" w:styleId="THBODY1default">
    <w:name w:val="*TH BODY 1 default"/>
    <w:basedOn w:val="Normal"/>
    <w:rsid w:val="00C9065B"/>
    <w:pPr>
      <w:spacing w:after="240" w:line="240" w:lineRule="auto"/>
    </w:pPr>
    <w:rPr>
      <w:rFonts w:ascii="Times New Roman" w:eastAsia="Times New Roman" w:hAnsi="Times New Roman" w:cs="Times New Roman"/>
      <w:color w:val="000000"/>
      <w:sz w:val="24"/>
      <w:szCs w:val="24"/>
    </w:rPr>
  </w:style>
  <w:style w:type="paragraph" w:customStyle="1" w:styleId="BBBodyText2">
    <w:name w:val="BB Body Text 2"/>
    <w:basedOn w:val="Normal"/>
    <w:link w:val="BBBodyText2Char"/>
    <w:rsid w:val="00C9065B"/>
    <w:pPr>
      <w:spacing w:after="0" w:line="480" w:lineRule="auto"/>
      <w:ind w:firstLine="720"/>
      <w:jc w:val="both"/>
    </w:pPr>
    <w:rPr>
      <w:rFonts w:ascii="Times New Roman" w:eastAsia="Times New Roman" w:hAnsi="Times New Roman" w:cs="Times New Roman"/>
      <w:sz w:val="28"/>
      <w:szCs w:val="24"/>
    </w:rPr>
  </w:style>
  <w:style w:type="character" w:customStyle="1" w:styleId="BBBodyText2Char">
    <w:name w:val="BB Body Text 2 Char"/>
    <w:link w:val="BBBodyText2"/>
    <w:rsid w:val="00C9065B"/>
    <w:rPr>
      <w:rFonts w:ascii="Times New Roman" w:eastAsia="Times New Roman" w:hAnsi="Times New Roman" w:cs="Times New Roman"/>
      <w:sz w:val="28"/>
      <w:szCs w:val="24"/>
    </w:rPr>
  </w:style>
  <w:style w:type="paragraph" w:customStyle="1" w:styleId="SingleSpacing">
    <w:name w:val="Single Spacing"/>
    <w:basedOn w:val="Normal"/>
    <w:rsid w:val="00C9065B"/>
    <w:pPr>
      <w:spacing w:after="0" w:line="240" w:lineRule="auto"/>
    </w:pPr>
    <w:rPr>
      <w:rFonts w:ascii="Courier New" w:eastAsia="Times New Roman" w:hAnsi="Courier New" w:cs="Times New Roman"/>
      <w:sz w:val="24"/>
      <w:szCs w:val="24"/>
    </w:rPr>
  </w:style>
  <w:style w:type="paragraph" w:customStyle="1" w:styleId="PleadingTitleCentered">
    <w:name w:val="Pleading Title Centered"/>
    <w:basedOn w:val="Normal"/>
    <w:rsid w:val="00C9065B"/>
    <w:pPr>
      <w:keepNext/>
      <w:keepLines/>
      <w:spacing w:before="240" w:after="240" w:line="240" w:lineRule="auto"/>
      <w:jc w:val="center"/>
    </w:pPr>
    <w:rPr>
      <w:rFonts w:ascii="Courier New" w:eastAsia="Times New Roman" w:hAnsi="Courier New" w:cs="Times New Roman"/>
      <w:b/>
      <w:caps/>
      <w:sz w:val="24"/>
      <w:szCs w:val="24"/>
      <w:u w:val="single"/>
    </w:rPr>
  </w:style>
  <w:style w:type="paragraph" w:customStyle="1" w:styleId="border">
    <w:name w:val="border"/>
    <w:basedOn w:val="Normal"/>
    <w:rsid w:val="00C9065B"/>
    <w:pPr>
      <w:widowControl w:val="0"/>
      <w:spacing w:after="0" w:line="240" w:lineRule="auto"/>
      <w:jc w:val="center"/>
    </w:pPr>
    <w:rPr>
      <w:rFonts w:ascii="Courier New" w:eastAsia="Times New Roman" w:hAnsi="Courier New" w:cs="Times New Roman"/>
      <w:sz w:val="24"/>
      <w:szCs w:val="24"/>
    </w:rPr>
  </w:style>
  <w:style w:type="paragraph" w:styleId="FootnoteText">
    <w:name w:val="footnote text"/>
    <w:basedOn w:val="Normal"/>
    <w:link w:val="FootnoteTextChar"/>
    <w:semiHidden/>
    <w:rsid w:val="00C9065B"/>
    <w:pPr>
      <w:spacing w:after="0" w:line="240" w:lineRule="auto"/>
      <w:ind w:firstLine="720"/>
      <w:jc w:val="both"/>
    </w:pPr>
    <w:rPr>
      <w:rFonts w:ascii="Times New Roman" w:eastAsia="Times New Roman" w:hAnsi="Times New Roman" w:cs="Times New Roman"/>
      <w:sz w:val="28"/>
      <w:szCs w:val="20"/>
    </w:rPr>
  </w:style>
  <w:style w:type="character" w:customStyle="1" w:styleId="FootnoteTextChar">
    <w:name w:val="Footnote Text Char"/>
    <w:basedOn w:val="DefaultParagraphFont"/>
    <w:link w:val="FootnoteText"/>
    <w:semiHidden/>
    <w:rsid w:val="00C9065B"/>
    <w:rPr>
      <w:rFonts w:ascii="Times New Roman" w:eastAsia="Times New Roman" w:hAnsi="Times New Roman" w:cs="Times New Roman"/>
      <w:sz w:val="28"/>
      <w:szCs w:val="20"/>
    </w:rPr>
  </w:style>
  <w:style w:type="character" w:styleId="FootnoteReference">
    <w:name w:val="footnote reference"/>
    <w:semiHidden/>
    <w:rsid w:val="00C9065B"/>
    <w:rPr>
      <w:vertAlign w:val="superscript"/>
    </w:rPr>
  </w:style>
  <w:style w:type="paragraph" w:customStyle="1" w:styleId="BBSignature">
    <w:name w:val="BB Signature"/>
    <w:basedOn w:val="Normal"/>
    <w:rsid w:val="00C9065B"/>
    <w:pPr>
      <w:keepNext/>
      <w:spacing w:after="0" w:line="240" w:lineRule="auto"/>
      <w:ind w:left="4320"/>
    </w:pPr>
    <w:rPr>
      <w:rFonts w:ascii="Courier New" w:eastAsia="Times New Roman" w:hAnsi="Courier New" w:cs="Courier New"/>
      <w:sz w:val="24"/>
      <w:szCs w:val="24"/>
    </w:rPr>
  </w:style>
  <w:style w:type="paragraph" w:customStyle="1" w:styleId="BBSignatureNI">
    <w:name w:val="BB Signature NI"/>
    <w:basedOn w:val="BBSignature"/>
    <w:rsid w:val="00C9065B"/>
    <w:pPr>
      <w:ind w:left="0"/>
    </w:pPr>
  </w:style>
  <w:style w:type="paragraph" w:customStyle="1" w:styleId="BBMainHeading">
    <w:name w:val="BB Main Heading"/>
    <w:basedOn w:val="Normal"/>
    <w:next w:val="Normal"/>
    <w:rsid w:val="00C9065B"/>
    <w:pPr>
      <w:keepNext/>
      <w:spacing w:after="240" w:line="240" w:lineRule="auto"/>
      <w:jc w:val="center"/>
    </w:pPr>
    <w:rPr>
      <w:rFonts w:ascii="Courier New" w:eastAsia="Times New Roman" w:hAnsi="Courier New" w:cs="Courier New"/>
      <w:b/>
      <w:caps/>
      <w:sz w:val="24"/>
      <w:szCs w:val="24"/>
      <w:u w:val="single"/>
    </w:rPr>
  </w:style>
  <w:style w:type="paragraph" w:customStyle="1" w:styleId="ByLine">
    <w:name w:val="ByLine"/>
    <w:basedOn w:val="Normal"/>
    <w:rsid w:val="00C9065B"/>
    <w:pPr>
      <w:tabs>
        <w:tab w:val="left" w:pos="4320"/>
        <w:tab w:val="left" w:pos="5040"/>
        <w:tab w:val="left" w:pos="9360"/>
      </w:tabs>
      <w:spacing w:after="0" w:line="240" w:lineRule="auto"/>
      <w:ind w:left="5040" w:hanging="5040"/>
    </w:pPr>
    <w:rPr>
      <w:rFonts w:ascii="Courier New" w:eastAsia="Times New Roman" w:hAnsi="Courier New" w:cs="Times New Roman"/>
      <w:noProof/>
      <w:sz w:val="24"/>
      <w:szCs w:val="24"/>
    </w:rPr>
  </w:style>
  <w:style w:type="paragraph" w:customStyle="1" w:styleId="BBAddress">
    <w:name w:val="BB Address"/>
    <w:basedOn w:val="Normal"/>
    <w:rsid w:val="00C9065B"/>
    <w:pPr>
      <w:spacing w:after="0" w:line="240" w:lineRule="auto"/>
      <w:ind w:left="4320"/>
    </w:pPr>
    <w:rPr>
      <w:rFonts w:ascii="Courier New" w:eastAsia="Times New Roman" w:hAnsi="Courier New" w:cs="Courier New"/>
      <w:sz w:val="24"/>
      <w:szCs w:val="24"/>
    </w:rPr>
  </w:style>
  <w:style w:type="paragraph" w:styleId="ListBullet">
    <w:name w:val="List Bullet"/>
    <w:basedOn w:val="Normal"/>
    <w:rsid w:val="00C9065B"/>
    <w:pPr>
      <w:numPr>
        <w:numId w:val="5"/>
      </w:numPr>
      <w:spacing w:after="0" w:line="240" w:lineRule="auto"/>
      <w:contextualSpacing/>
    </w:pPr>
    <w:rPr>
      <w:rFonts w:ascii="Times New Roman" w:eastAsia="Times New Roman" w:hAnsi="Times New Roman" w:cs="Times New Roman"/>
      <w:sz w:val="24"/>
      <w:szCs w:val="24"/>
    </w:rPr>
  </w:style>
  <w:style w:type="character" w:styleId="FollowedHyperlink">
    <w:name w:val="FollowedHyperlink"/>
    <w:rsid w:val="00C9065B"/>
    <w:rPr>
      <w:color w:val="800080"/>
      <w:u w:val="single"/>
    </w:rPr>
  </w:style>
  <w:style w:type="paragraph" w:customStyle="1" w:styleId="BBBodyText">
    <w:name w:val="BB Body Text"/>
    <w:basedOn w:val="Normal"/>
    <w:rsid w:val="00C9065B"/>
    <w:pPr>
      <w:spacing w:after="240" w:line="240" w:lineRule="auto"/>
      <w:ind w:firstLine="720"/>
      <w:jc w:val="both"/>
    </w:pPr>
    <w:rPr>
      <w:rFonts w:ascii="Times New Roman" w:eastAsia="Times New Roman" w:hAnsi="Times New Roman" w:cs="Times New Roman"/>
      <w:sz w:val="24"/>
      <w:szCs w:val="24"/>
    </w:rPr>
  </w:style>
  <w:style w:type="paragraph" w:customStyle="1" w:styleId="BBDoubleIndent">
    <w:name w:val="BB Double Indent"/>
    <w:basedOn w:val="Normal"/>
    <w:next w:val="BBBodyText"/>
    <w:rsid w:val="00C9065B"/>
    <w:pPr>
      <w:spacing w:after="240" w:line="240" w:lineRule="auto"/>
      <w:ind w:left="720" w:right="720"/>
      <w:jc w:val="both"/>
    </w:pPr>
    <w:rPr>
      <w:rFonts w:ascii="Times New Roman" w:eastAsia="Times New Roman" w:hAnsi="Times New Roman" w:cs="Times New Roman"/>
      <w:sz w:val="24"/>
      <w:szCs w:val="24"/>
    </w:rPr>
  </w:style>
  <w:style w:type="paragraph" w:customStyle="1" w:styleId="CourtName">
    <w:name w:val="Court Name"/>
    <w:basedOn w:val="Normal"/>
    <w:link w:val="CourtNameChar"/>
    <w:rsid w:val="00C9065B"/>
    <w:pPr>
      <w:spacing w:after="360" w:line="240" w:lineRule="auto"/>
      <w:contextualSpacing/>
      <w:jc w:val="center"/>
    </w:pPr>
    <w:rPr>
      <w:rFonts w:ascii="Times New Roman" w:eastAsia="Times New Roman" w:hAnsi="Times New Roman" w:cs="Times New Roman"/>
      <w:b/>
      <w:bCs/>
      <w:caps/>
      <w:sz w:val="24"/>
      <w:szCs w:val="24"/>
    </w:rPr>
  </w:style>
  <w:style w:type="paragraph" w:customStyle="1" w:styleId="BBSignatureLine">
    <w:name w:val="BB Signature Line"/>
    <w:basedOn w:val="Normal"/>
    <w:rsid w:val="00C9065B"/>
    <w:pPr>
      <w:tabs>
        <w:tab w:val="right" w:pos="9360"/>
      </w:tabs>
      <w:spacing w:after="0" w:line="240" w:lineRule="auto"/>
      <w:ind w:left="4320"/>
      <w:jc w:val="both"/>
    </w:pPr>
    <w:rPr>
      <w:rFonts w:ascii="Times New Roman" w:eastAsia="Times New Roman" w:hAnsi="Times New Roman" w:cs="Times New Roman"/>
      <w:sz w:val="28"/>
      <w:szCs w:val="24"/>
      <w:u w:val="single"/>
    </w:rPr>
  </w:style>
  <w:style w:type="paragraph" w:customStyle="1" w:styleId="BBSignatureCap">
    <w:name w:val="BB Signature Cap"/>
    <w:basedOn w:val="BBSignatureNI"/>
    <w:rsid w:val="00C9065B"/>
    <w:rPr>
      <w:rFonts w:ascii="Times New Roman" w:hAnsi="Times New Roman"/>
      <w:caps/>
      <w:sz w:val="28"/>
    </w:rPr>
  </w:style>
  <w:style w:type="paragraph" w:styleId="BodyTextIndent">
    <w:name w:val="Body Text Indent"/>
    <w:basedOn w:val="Normal"/>
    <w:link w:val="BodyTextIndentChar"/>
    <w:rsid w:val="00C9065B"/>
    <w:pPr>
      <w:suppressAutoHyphens/>
      <w:spacing w:after="0" w:line="480" w:lineRule="auto"/>
      <w:ind w:firstLine="720"/>
      <w:jc w:val="both"/>
    </w:pPr>
    <w:rPr>
      <w:rFonts w:ascii="Times New Roman" w:eastAsia="Times New Roman" w:hAnsi="Times New Roman" w:cs="Times New Roman"/>
      <w:spacing w:val="-2"/>
      <w:sz w:val="24"/>
      <w:szCs w:val="20"/>
    </w:rPr>
  </w:style>
  <w:style w:type="character" w:customStyle="1" w:styleId="BodyTextIndentChar">
    <w:name w:val="Body Text Indent Char"/>
    <w:basedOn w:val="DefaultParagraphFont"/>
    <w:link w:val="BodyTextIndent"/>
    <w:rsid w:val="00C9065B"/>
    <w:rPr>
      <w:rFonts w:ascii="Times New Roman" w:eastAsia="Times New Roman" w:hAnsi="Times New Roman" w:cs="Times New Roman"/>
      <w:spacing w:val="-2"/>
      <w:sz w:val="24"/>
      <w:szCs w:val="20"/>
    </w:rPr>
  </w:style>
  <w:style w:type="character" w:customStyle="1" w:styleId="searchterm">
    <w:name w:val="searchterm"/>
    <w:basedOn w:val="DefaultParagraphFont"/>
    <w:rsid w:val="00C9065B"/>
  </w:style>
  <w:style w:type="character" w:customStyle="1" w:styleId="starpage">
    <w:name w:val="starpage"/>
    <w:basedOn w:val="DefaultParagraphFont"/>
    <w:rsid w:val="00C9065B"/>
  </w:style>
  <w:style w:type="character" w:customStyle="1" w:styleId="DocID">
    <w:name w:val="DocID"/>
    <w:rsid w:val="00C9065B"/>
    <w:rPr>
      <w:rFonts w:ascii="Times New Roman" w:hAnsi="Times New Roman" w:cs="Times New Roman"/>
      <w:b w:val="0"/>
      <w:i w:val="0"/>
      <w:vanish w:val="0"/>
      <w:color w:val="000000"/>
      <w:sz w:val="12"/>
      <w:szCs w:val="28"/>
      <w:u w:val="none"/>
    </w:rPr>
  </w:style>
  <w:style w:type="numbering" w:styleId="111111">
    <w:name w:val="Outline List 2"/>
    <w:basedOn w:val="NoList"/>
    <w:rsid w:val="00C9065B"/>
    <w:pPr>
      <w:numPr>
        <w:numId w:val="8"/>
      </w:numPr>
    </w:pPr>
  </w:style>
  <w:style w:type="numbering" w:styleId="1ai">
    <w:name w:val="Outline List 1"/>
    <w:basedOn w:val="NoList"/>
    <w:rsid w:val="00C9065B"/>
    <w:pPr>
      <w:numPr>
        <w:numId w:val="9"/>
      </w:numPr>
    </w:pPr>
  </w:style>
  <w:style w:type="numbering" w:styleId="ArticleSection">
    <w:name w:val="Outline List 3"/>
    <w:basedOn w:val="NoList"/>
    <w:rsid w:val="00C9065B"/>
    <w:pPr>
      <w:numPr>
        <w:numId w:val="10"/>
      </w:numPr>
    </w:pPr>
  </w:style>
  <w:style w:type="paragraph" w:styleId="Bibliography">
    <w:name w:val="Bibliography"/>
    <w:basedOn w:val="Normal"/>
    <w:next w:val="Normal"/>
    <w:uiPriority w:val="37"/>
    <w:semiHidden/>
    <w:unhideWhenUsed/>
    <w:rsid w:val="00C9065B"/>
    <w:pPr>
      <w:spacing w:after="0" w:line="240" w:lineRule="auto"/>
    </w:pPr>
    <w:rPr>
      <w:rFonts w:ascii="Times New Roman" w:eastAsia="Times New Roman" w:hAnsi="Times New Roman" w:cs="Times New Roman"/>
      <w:sz w:val="24"/>
      <w:szCs w:val="24"/>
    </w:rPr>
  </w:style>
  <w:style w:type="paragraph" w:styleId="BlockText">
    <w:name w:val="Block Text"/>
    <w:basedOn w:val="Normal"/>
    <w:rsid w:val="00C9065B"/>
    <w:pPr>
      <w:spacing w:after="120" w:line="240" w:lineRule="auto"/>
      <w:ind w:left="1440" w:right="1440"/>
    </w:pPr>
    <w:rPr>
      <w:rFonts w:ascii="Times New Roman" w:eastAsia="Times New Roman" w:hAnsi="Times New Roman" w:cs="Times New Roman"/>
      <w:sz w:val="24"/>
      <w:szCs w:val="24"/>
    </w:rPr>
  </w:style>
  <w:style w:type="paragraph" w:styleId="BodyText">
    <w:name w:val="Body Text"/>
    <w:basedOn w:val="Normal"/>
    <w:link w:val="BodyTextChar"/>
    <w:rsid w:val="00C9065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9065B"/>
    <w:rPr>
      <w:rFonts w:ascii="Times New Roman" w:eastAsia="Times New Roman" w:hAnsi="Times New Roman" w:cs="Times New Roman"/>
      <w:sz w:val="24"/>
      <w:szCs w:val="24"/>
    </w:rPr>
  </w:style>
  <w:style w:type="paragraph" w:styleId="BodyText2">
    <w:name w:val="Body Text 2"/>
    <w:basedOn w:val="Normal"/>
    <w:link w:val="BodyText2Char"/>
    <w:rsid w:val="00C9065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9065B"/>
    <w:rPr>
      <w:rFonts w:ascii="Times New Roman" w:eastAsia="Times New Roman" w:hAnsi="Times New Roman" w:cs="Times New Roman"/>
      <w:sz w:val="24"/>
      <w:szCs w:val="24"/>
    </w:rPr>
  </w:style>
  <w:style w:type="paragraph" w:styleId="BodyText3">
    <w:name w:val="Body Text 3"/>
    <w:basedOn w:val="Normal"/>
    <w:link w:val="BodyText3Char"/>
    <w:rsid w:val="00C9065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9065B"/>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C9065B"/>
    <w:pPr>
      <w:ind w:firstLine="210"/>
    </w:pPr>
  </w:style>
  <w:style w:type="character" w:customStyle="1" w:styleId="BodyTextFirstIndentChar">
    <w:name w:val="Body Text First Indent Char"/>
    <w:basedOn w:val="BodyTextChar"/>
    <w:link w:val="BodyTextFirstIndent"/>
    <w:rsid w:val="00C9065B"/>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C9065B"/>
    <w:pPr>
      <w:suppressAutoHyphens w:val="0"/>
      <w:spacing w:after="120" w:line="240" w:lineRule="auto"/>
      <w:ind w:left="360" w:firstLine="210"/>
      <w:jc w:val="left"/>
    </w:pPr>
    <w:rPr>
      <w:spacing w:val="0"/>
      <w:szCs w:val="24"/>
    </w:rPr>
  </w:style>
  <w:style w:type="character" w:customStyle="1" w:styleId="BodyTextFirstIndent2Char">
    <w:name w:val="Body Text First Indent 2 Char"/>
    <w:basedOn w:val="BodyTextIndentChar"/>
    <w:link w:val="BodyTextFirstIndent2"/>
    <w:rsid w:val="00C9065B"/>
    <w:rPr>
      <w:rFonts w:ascii="Times New Roman" w:eastAsia="Times New Roman" w:hAnsi="Times New Roman" w:cs="Times New Roman"/>
      <w:spacing w:val="-2"/>
      <w:sz w:val="24"/>
      <w:szCs w:val="24"/>
    </w:rPr>
  </w:style>
  <w:style w:type="paragraph" w:styleId="BodyTextIndent2">
    <w:name w:val="Body Text Indent 2"/>
    <w:basedOn w:val="Normal"/>
    <w:link w:val="BodyTextIndent2Char"/>
    <w:rsid w:val="00C9065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9065B"/>
    <w:rPr>
      <w:rFonts w:ascii="Times New Roman" w:eastAsia="Times New Roman" w:hAnsi="Times New Roman" w:cs="Times New Roman"/>
      <w:sz w:val="24"/>
      <w:szCs w:val="24"/>
    </w:rPr>
  </w:style>
  <w:style w:type="paragraph" w:styleId="BodyTextIndent3">
    <w:name w:val="Body Text Indent 3"/>
    <w:basedOn w:val="Normal"/>
    <w:link w:val="BodyTextIndent3Char"/>
    <w:rsid w:val="00C9065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9065B"/>
    <w:rPr>
      <w:rFonts w:ascii="Times New Roman" w:eastAsia="Times New Roman" w:hAnsi="Times New Roman" w:cs="Times New Roman"/>
      <w:sz w:val="16"/>
      <w:szCs w:val="16"/>
    </w:rPr>
  </w:style>
  <w:style w:type="character" w:styleId="BookTitle">
    <w:name w:val="Book Title"/>
    <w:uiPriority w:val="33"/>
    <w:qFormat/>
    <w:rsid w:val="00C9065B"/>
    <w:rPr>
      <w:b/>
      <w:bCs/>
      <w:smallCaps/>
      <w:spacing w:val="5"/>
    </w:rPr>
  </w:style>
  <w:style w:type="paragraph" w:styleId="Caption">
    <w:name w:val="caption"/>
    <w:basedOn w:val="Normal"/>
    <w:next w:val="Normal"/>
    <w:semiHidden/>
    <w:unhideWhenUsed/>
    <w:qFormat/>
    <w:rsid w:val="00C9065B"/>
    <w:pPr>
      <w:spacing w:after="0" w:line="240" w:lineRule="auto"/>
    </w:pPr>
    <w:rPr>
      <w:rFonts w:ascii="Times New Roman" w:eastAsia="Times New Roman" w:hAnsi="Times New Roman" w:cs="Times New Roman"/>
      <w:b/>
      <w:bCs/>
      <w:sz w:val="20"/>
      <w:szCs w:val="20"/>
    </w:rPr>
  </w:style>
  <w:style w:type="paragraph" w:styleId="Closing">
    <w:name w:val="Closing"/>
    <w:basedOn w:val="Normal"/>
    <w:link w:val="ClosingChar"/>
    <w:rsid w:val="00C9065B"/>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C9065B"/>
    <w:rPr>
      <w:rFonts w:ascii="Times New Roman" w:eastAsia="Times New Roman" w:hAnsi="Times New Roman" w:cs="Times New Roman"/>
      <w:sz w:val="24"/>
      <w:szCs w:val="24"/>
    </w:rPr>
  </w:style>
  <w:style w:type="table" w:styleId="ColorfulGrid">
    <w:name w:val="Colorful Grid"/>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rsid w:val="00C9065B"/>
    <w:rPr>
      <w:sz w:val="16"/>
      <w:szCs w:val="16"/>
    </w:rPr>
  </w:style>
  <w:style w:type="paragraph" w:styleId="CommentText">
    <w:name w:val="annotation text"/>
    <w:basedOn w:val="Normal"/>
    <w:link w:val="CommentTextChar"/>
    <w:rsid w:val="00C9065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906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9065B"/>
    <w:rPr>
      <w:b/>
      <w:bCs/>
    </w:rPr>
  </w:style>
  <w:style w:type="character" w:customStyle="1" w:styleId="CommentSubjectChar">
    <w:name w:val="Comment Subject Char"/>
    <w:basedOn w:val="CommentTextChar"/>
    <w:link w:val="CommentSubject"/>
    <w:rsid w:val="00C9065B"/>
    <w:rPr>
      <w:rFonts w:ascii="Times New Roman" w:eastAsia="Times New Roman" w:hAnsi="Times New Roman" w:cs="Times New Roman"/>
      <w:b/>
      <w:bCs/>
      <w:sz w:val="20"/>
      <w:szCs w:val="20"/>
    </w:rPr>
  </w:style>
  <w:style w:type="table" w:styleId="DarkList">
    <w:name w:val="Dark List"/>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C9065B"/>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C9065B"/>
    <w:rPr>
      <w:rFonts w:ascii="Times New Roman" w:eastAsia="Times New Roman" w:hAnsi="Times New Roman" w:cs="Times New Roman"/>
      <w:sz w:val="24"/>
      <w:szCs w:val="24"/>
    </w:rPr>
  </w:style>
  <w:style w:type="paragraph" w:styleId="DocumentMap">
    <w:name w:val="Document Map"/>
    <w:basedOn w:val="Normal"/>
    <w:link w:val="DocumentMapChar"/>
    <w:rsid w:val="00C9065B"/>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C9065B"/>
    <w:rPr>
      <w:rFonts w:ascii="Tahoma" w:eastAsia="Times New Roman" w:hAnsi="Tahoma" w:cs="Tahoma"/>
      <w:sz w:val="16"/>
      <w:szCs w:val="16"/>
    </w:rPr>
  </w:style>
  <w:style w:type="paragraph" w:styleId="E-mailSignature">
    <w:name w:val="E-mail Signature"/>
    <w:basedOn w:val="Normal"/>
    <w:link w:val="E-mailSignatureChar"/>
    <w:rsid w:val="00C9065B"/>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C9065B"/>
    <w:rPr>
      <w:rFonts w:ascii="Times New Roman" w:eastAsia="Times New Roman" w:hAnsi="Times New Roman" w:cs="Times New Roman"/>
      <w:sz w:val="24"/>
      <w:szCs w:val="24"/>
    </w:rPr>
  </w:style>
  <w:style w:type="paragraph" w:styleId="EnvelopeAddress">
    <w:name w:val="envelope address"/>
    <w:basedOn w:val="Normal"/>
    <w:rsid w:val="00C9065B"/>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EnvelopeReturn">
    <w:name w:val="envelope return"/>
    <w:basedOn w:val="Normal"/>
    <w:rsid w:val="00C9065B"/>
    <w:pPr>
      <w:spacing w:after="0" w:line="240" w:lineRule="auto"/>
    </w:pPr>
    <w:rPr>
      <w:rFonts w:ascii="Cambria" w:eastAsia="Times New Roman" w:hAnsi="Cambria" w:cs="Times New Roman"/>
      <w:sz w:val="20"/>
      <w:szCs w:val="20"/>
    </w:rPr>
  </w:style>
  <w:style w:type="character" w:styleId="HTMLAcronym">
    <w:name w:val="HTML Acronym"/>
    <w:rsid w:val="00C9065B"/>
  </w:style>
  <w:style w:type="paragraph" w:styleId="HTMLAddress">
    <w:name w:val="HTML Address"/>
    <w:basedOn w:val="Normal"/>
    <w:link w:val="HTMLAddressChar"/>
    <w:rsid w:val="00C9065B"/>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C9065B"/>
    <w:rPr>
      <w:rFonts w:ascii="Times New Roman" w:eastAsia="Times New Roman" w:hAnsi="Times New Roman" w:cs="Times New Roman"/>
      <w:i/>
      <w:iCs/>
      <w:sz w:val="24"/>
      <w:szCs w:val="24"/>
    </w:rPr>
  </w:style>
  <w:style w:type="character" w:styleId="HTMLCite">
    <w:name w:val="HTML Cite"/>
    <w:rsid w:val="00C9065B"/>
    <w:rPr>
      <w:i/>
      <w:iCs/>
    </w:rPr>
  </w:style>
  <w:style w:type="character" w:styleId="HTMLCode">
    <w:name w:val="HTML Code"/>
    <w:rsid w:val="00C9065B"/>
    <w:rPr>
      <w:rFonts w:ascii="Courier New" w:hAnsi="Courier New" w:cs="Courier New"/>
      <w:sz w:val="20"/>
      <w:szCs w:val="20"/>
    </w:rPr>
  </w:style>
  <w:style w:type="character" w:styleId="HTMLDefinition">
    <w:name w:val="HTML Definition"/>
    <w:rsid w:val="00C9065B"/>
    <w:rPr>
      <w:i/>
      <w:iCs/>
    </w:rPr>
  </w:style>
  <w:style w:type="character" w:styleId="HTMLKeyboard">
    <w:name w:val="HTML Keyboard"/>
    <w:rsid w:val="00C9065B"/>
    <w:rPr>
      <w:rFonts w:ascii="Courier New" w:hAnsi="Courier New" w:cs="Courier New"/>
      <w:sz w:val="20"/>
      <w:szCs w:val="20"/>
    </w:rPr>
  </w:style>
  <w:style w:type="paragraph" w:styleId="HTMLPreformatted">
    <w:name w:val="HTML Preformatted"/>
    <w:basedOn w:val="Normal"/>
    <w:link w:val="HTMLPreformattedChar"/>
    <w:rsid w:val="00C9065B"/>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9065B"/>
    <w:rPr>
      <w:rFonts w:ascii="Courier New" w:eastAsia="Times New Roman" w:hAnsi="Courier New" w:cs="Courier New"/>
      <w:sz w:val="20"/>
      <w:szCs w:val="20"/>
    </w:rPr>
  </w:style>
  <w:style w:type="character" w:styleId="HTMLSample">
    <w:name w:val="HTML Sample"/>
    <w:rsid w:val="00C9065B"/>
    <w:rPr>
      <w:rFonts w:ascii="Courier New" w:hAnsi="Courier New" w:cs="Courier New"/>
    </w:rPr>
  </w:style>
  <w:style w:type="character" w:styleId="HTMLTypewriter">
    <w:name w:val="HTML Typewriter"/>
    <w:rsid w:val="00C9065B"/>
    <w:rPr>
      <w:rFonts w:ascii="Courier New" w:hAnsi="Courier New" w:cs="Courier New"/>
      <w:sz w:val="20"/>
      <w:szCs w:val="20"/>
    </w:rPr>
  </w:style>
  <w:style w:type="character" w:styleId="HTMLVariable">
    <w:name w:val="HTML Variable"/>
    <w:rsid w:val="00C9065B"/>
    <w:rPr>
      <w:i/>
      <w:iCs/>
    </w:rPr>
  </w:style>
  <w:style w:type="paragraph" w:styleId="Index1">
    <w:name w:val="index 1"/>
    <w:basedOn w:val="Normal"/>
    <w:next w:val="Normal"/>
    <w:autoRedefine/>
    <w:rsid w:val="00C9065B"/>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rsid w:val="00C9065B"/>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rsid w:val="00C9065B"/>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rsid w:val="00C9065B"/>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rsid w:val="00C9065B"/>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rsid w:val="00C9065B"/>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rsid w:val="00C9065B"/>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rsid w:val="00C9065B"/>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rsid w:val="00C9065B"/>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rsid w:val="00C9065B"/>
    <w:pPr>
      <w:spacing w:after="0" w:line="240" w:lineRule="auto"/>
    </w:pPr>
    <w:rPr>
      <w:rFonts w:ascii="Cambria" w:eastAsia="Times New Roman" w:hAnsi="Cambria" w:cs="Times New Roman"/>
      <w:b/>
      <w:bCs/>
      <w:sz w:val="24"/>
      <w:szCs w:val="24"/>
    </w:rPr>
  </w:style>
  <w:style w:type="character" w:styleId="IntenseEmphasis">
    <w:name w:val="Intense Emphasis"/>
    <w:uiPriority w:val="21"/>
    <w:qFormat/>
    <w:rsid w:val="00C9065B"/>
    <w:rPr>
      <w:b/>
      <w:bCs/>
      <w:i/>
      <w:iCs/>
      <w:color w:val="4F81BD"/>
    </w:rPr>
  </w:style>
  <w:style w:type="paragraph" w:styleId="IntenseQuote">
    <w:name w:val="Intense Quote"/>
    <w:basedOn w:val="Normal"/>
    <w:next w:val="Normal"/>
    <w:link w:val="IntenseQuoteChar"/>
    <w:uiPriority w:val="30"/>
    <w:qFormat/>
    <w:rsid w:val="00C9065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C9065B"/>
    <w:rPr>
      <w:rFonts w:ascii="Times New Roman" w:eastAsia="Times New Roman" w:hAnsi="Times New Roman" w:cs="Times New Roman"/>
      <w:b/>
      <w:bCs/>
      <w:i/>
      <w:iCs/>
      <w:color w:val="4F81BD"/>
      <w:sz w:val="24"/>
      <w:szCs w:val="24"/>
    </w:rPr>
  </w:style>
  <w:style w:type="character" w:styleId="IntenseReference">
    <w:name w:val="Intense Reference"/>
    <w:uiPriority w:val="32"/>
    <w:qFormat/>
    <w:rsid w:val="00C9065B"/>
    <w:rPr>
      <w:b/>
      <w:bCs/>
      <w:smallCaps/>
      <w:color w:val="C0504D"/>
      <w:spacing w:val="5"/>
      <w:u w:val="single"/>
    </w:rPr>
  </w:style>
  <w:style w:type="table" w:styleId="LightGrid">
    <w:name w:val="Light Grid"/>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9065B"/>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9065B"/>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9065B"/>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9065B"/>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9065B"/>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9065B"/>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C9065B"/>
  </w:style>
  <w:style w:type="paragraph" w:styleId="List">
    <w:name w:val="List"/>
    <w:basedOn w:val="Normal"/>
    <w:rsid w:val="00C9065B"/>
    <w:pPr>
      <w:spacing w:after="0" w:line="240" w:lineRule="auto"/>
      <w:ind w:left="360" w:hanging="360"/>
      <w:contextualSpacing/>
    </w:pPr>
    <w:rPr>
      <w:rFonts w:ascii="Times New Roman" w:eastAsia="Times New Roman" w:hAnsi="Times New Roman" w:cs="Times New Roman"/>
      <w:sz w:val="24"/>
      <w:szCs w:val="24"/>
    </w:rPr>
  </w:style>
  <w:style w:type="paragraph" w:styleId="List2">
    <w:name w:val="List 2"/>
    <w:basedOn w:val="Normal"/>
    <w:rsid w:val="00C9065B"/>
    <w:pPr>
      <w:spacing w:after="0" w:line="240" w:lineRule="auto"/>
      <w:ind w:left="720" w:hanging="360"/>
      <w:contextualSpacing/>
    </w:pPr>
    <w:rPr>
      <w:rFonts w:ascii="Times New Roman" w:eastAsia="Times New Roman" w:hAnsi="Times New Roman" w:cs="Times New Roman"/>
      <w:sz w:val="24"/>
      <w:szCs w:val="24"/>
    </w:rPr>
  </w:style>
  <w:style w:type="paragraph" w:styleId="List3">
    <w:name w:val="List 3"/>
    <w:basedOn w:val="Normal"/>
    <w:rsid w:val="00C9065B"/>
    <w:pPr>
      <w:spacing w:after="0" w:line="240" w:lineRule="auto"/>
      <w:ind w:left="1080" w:hanging="360"/>
      <w:contextualSpacing/>
    </w:pPr>
    <w:rPr>
      <w:rFonts w:ascii="Times New Roman" w:eastAsia="Times New Roman" w:hAnsi="Times New Roman" w:cs="Times New Roman"/>
      <w:sz w:val="24"/>
      <w:szCs w:val="24"/>
    </w:rPr>
  </w:style>
  <w:style w:type="paragraph" w:styleId="List4">
    <w:name w:val="List 4"/>
    <w:basedOn w:val="Normal"/>
    <w:rsid w:val="00C9065B"/>
    <w:pPr>
      <w:spacing w:after="0" w:line="240" w:lineRule="auto"/>
      <w:ind w:left="1440" w:hanging="360"/>
      <w:contextualSpacing/>
    </w:pPr>
    <w:rPr>
      <w:rFonts w:ascii="Times New Roman" w:eastAsia="Times New Roman" w:hAnsi="Times New Roman" w:cs="Times New Roman"/>
      <w:sz w:val="24"/>
      <w:szCs w:val="24"/>
    </w:rPr>
  </w:style>
  <w:style w:type="paragraph" w:styleId="List5">
    <w:name w:val="List 5"/>
    <w:basedOn w:val="Normal"/>
    <w:rsid w:val="00C9065B"/>
    <w:pPr>
      <w:spacing w:after="0" w:line="240" w:lineRule="auto"/>
      <w:ind w:left="1800" w:hanging="360"/>
      <w:contextualSpacing/>
    </w:pPr>
    <w:rPr>
      <w:rFonts w:ascii="Times New Roman" w:eastAsia="Times New Roman" w:hAnsi="Times New Roman" w:cs="Times New Roman"/>
      <w:sz w:val="24"/>
      <w:szCs w:val="24"/>
    </w:rPr>
  </w:style>
  <w:style w:type="paragraph" w:styleId="ListBullet2">
    <w:name w:val="List Bullet 2"/>
    <w:basedOn w:val="Normal"/>
    <w:rsid w:val="00C9065B"/>
    <w:pPr>
      <w:numPr>
        <w:numId w:val="11"/>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rsid w:val="00C9065B"/>
    <w:pPr>
      <w:numPr>
        <w:numId w:val="12"/>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rsid w:val="00C9065B"/>
    <w:pPr>
      <w:numPr>
        <w:numId w:val="13"/>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rsid w:val="00C9065B"/>
    <w:pPr>
      <w:numPr>
        <w:numId w:val="14"/>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rsid w:val="00C9065B"/>
    <w:pPr>
      <w:spacing w:after="120" w:line="240" w:lineRule="auto"/>
      <w:ind w:left="360"/>
      <w:contextualSpacing/>
    </w:pPr>
    <w:rPr>
      <w:rFonts w:ascii="Times New Roman" w:eastAsia="Times New Roman" w:hAnsi="Times New Roman" w:cs="Times New Roman"/>
      <w:sz w:val="24"/>
      <w:szCs w:val="24"/>
    </w:rPr>
  </w:style>
  <w:style w:type="paragraph" w:styleId="ListContinue2">
    <w:name w:val="List Continue 2"/>
    <w:basedOn w:val="Normal"/>
    <w:rsid w:val="00C9065B"/>
    <w:pPr>
      <w:spacing w:after="120" w:line="240" w:lineRule="auto"/>
      <w:ind w:left="720"/>
      <w:contextualSpacing/>
    </w:pPr>
    <w:rPr>
      <w:rFonts w:ascii="Times New Roman" w:eastAsia="Times New Roman" w:hAnsi="Times New Roman" w:cs="Times New Roman"/>
      <w:sz w:val="24"/>
      <w:szCs w:val="24"/>
    </w:rPr>
  </w:style>
  <w:style w:type="paragraph" w:styleId="ListContinue3">
    <w:name w:val="List Continue 3"/>
    <w:basedOn w:val="Normal"/>
    <w:rsid w:val="00C9065B"/>
    <w:pPr>
      <w:spacing w:after="120" w:line="240" w:lineRule="auto"/>
      <w:ind w:left="1080"/>
      <w:contextualSpacing/>
    </w:pPr>
    <w:rPr>
      <w:rFonts w:ascii="Times New Roman" w:eastAsia="Times New Roman" w:hAnsi="Times New Roman" w:cs="Times New Roman"/>
      <w:sz w:val="24"/>
      <w:szCs w:val="24"/>
    </w:rPr>
  </w:style>
  <w:style w:type="paragraph" w:styleId="ListContinue4">
    <w:name w:val="List Continue 4"/>
    <w:basedOn w:val="Normal"/>
    <w:rsid w:val="00C9065B"/>
    <w:pPr>
      <w:spacing w:after="120" w:line="240" w:lineRule="auto"/>
      <w:ind w:left="1440"/>
      <w:contextualSpacing/>
    </w:pPr>
    <w:rPr>
      <w:rFonts w:ascii="Times New Roman" w:eastAsia="Times New Roman" w:hAnsi="Times New Roman" w:cs="Times New Roman"/>
      <w:sz w:val="24"/>
      <w:szCs w:val="24"/>
    </w:rPr>
  </w:style>
  <w:style w:type="paragraph" w:styleId="ListContinue5">
    <w:name w:val="List Continue 5"/>
    <w:basedOn w:val="Normal"/>
    <w:rsid w:val="00C9065B"/>
    <w:pPr>
      <w:spacing w:after="120" w:line="240" w:lineRule="auto"/>
      <w:ind w:left="1800"/>
      <w:contextualSpacing/>
    </w:pPr>
    <w:rPr>
      <w:rFonts w:ascii="Times New Roman" w:eastAsia="Times New Roman" w:hAnsi="Times New Roman" w:cs="Times New Roman"/>
      <w:sz w:val="24"/>
      <w:szCs w:val="24"/>
    </w:rPr>
  </w:style>
  <w:style w:type="paragraph" w:styleId="ListNumber">
    <w:name w:val="List Number"/>
    <w:basedOn w:val="Normal"/>
    <w:rsid w:val="00C9065B"/>
    <w:pPr>
      <w:numPr>
        <w:numId w:val="15"/>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rsid w:val="00C9065B"/>
    <w:pPr>
      <w:numPr>
        <w:numId w:val="16"/>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rsid w:val="00C9065B"/>
    <w:pPr>
      <w:numPr>
        <w:numId w:val="17"/>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rsid w:val="00C9065B"/>
    <w:pPr>
      <w:numPr>
        <w:numId w:val="18"/>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rsid w:val="00C9065B"/>
    <w:pPr>
      <w:numPr>
        <w:numId w:val="19"/>
      </w:numPr>
      <w:spacing w:after="0" w:line="240" w:lineRule="auto"/>
      <w:contextualSpacing/>
    </w:pPr>
    <w:rPr>
      <w:rFonts w:ascii="Times New Roman" w:eastAsia="Times New Roman" w:hAnsi="Times New Roman" w:cs="Times New Roman"/>
      <w:sz w:val="24"/>
      <w:szCs w:val="24"/>
    </w:rPr>
  </w:style>
  <w:style w:type="paragraph" w:styleId="ListParagraph">
    <w:name w:val="List Paragraph"/>
    <w:basedOn w:val="Normal"/>
    <w:uiPriority w:val="34"/>
    <w:qFormat/>
    <w:rsid w:val="00C9065B"/>
    <w:pPr>
      <w:spacing w:after="0" w:line="240" w:lineRule="auto"/>
      <w:ind w:left="720"/>
    </w:pPr>
    <w:rPr>
      <w:rFonts w:ascii="Times New Roman" w:eastAsia="Times New Roman" w:hAnsi="Times New Roman" w:cs="Times New Roman"/>
      <w:sz w:val="24"/>
      <w:szCs w:val="24"/>
    </w:rPr>
  </w:style>
  <w:style w:type="paragraph" w:styleId="MacroText">
    <w:name w:val="macro"/>
    <w:link w:val="MacroTextChar"/>
    <w:rsid w:val="00C9065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9065B"/>
    <w:rPr>
      <w:rFonts w:ascii="Courier New" w:eastAsia="Times New Roman" w:hAnsi="Courier New" w:cs="Courier New"/>
      <w:sz w:val="20"/>
      <w:szCs w:val="20"/>
    </w:rPr>
  </w:style>
  <w:style w:type="table" w:styleId="MediumGrid1">
    <w:name w:val="Medium Grid 1"/>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C906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C9065B"/>
    <w:rPr>
      <w:rFonts w:ascii="Cambria" w:eastAsia="Times New Roman" w:hAnsi="Cambria" w:cs="Times New Roman"/>
      <w:sz w:val="24"/>
      <w:szCs w:val="24"/>
      <w:shd w:val="pct20" w:color="auto" w:fill="auto"/>
    </w:rPr>
  </w:style>
  <w:style w:type="paragraph" w:styleId="NormalWeb">
    <w:name w:val="Normal (Web)"/>
    <w:basedOn w:val="Normal"/>
    <w:uiPriority w:val="99"/>
    <w:rsid w:val="00C9065B"/>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C9065B"/>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C9065B"/>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C9065B"/>
    <w:rPr>
      <w:rFonts w:ascii="Times New Roman" w:eastAsia="Times New Roman" w:hAnsi="Times New Roman" w:cs="Times New Roman"/>
      <w:sz w:val="24"/>
      <w:szCs w:val="24"/>
    </w:rPr>
  </w:style>
  <w:style w:type="character" w:styleId="PlaceholderText">
    <w:name w:val="Placeholder Text"/>
    <w:uiPriority w:val="99"/>
    <w:semiHidden/>
    <w:rsid w:val="00C9065B"/>
    <w:rPr>
      <w:color w:val="808080"/>
    </w:rPr>
  </w:style>
  <w:style w:type="paragraph" w:styleId="PlainText">
    <w:name w:val="Plain Text"/>
    <w:basedOn w:val="Normal"/>
    <w:link w:val="PlainTextChar"/>
    <w:rsid w:val="00C9065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9065B"/>
    <w:rPr>
      <w:rFonts w:ascii="Courier New" w:eastAsia="Times New Roman" w:hAnsi="Courier New" w:cs="Courier New"/>
      <w:sz w:val="20"/>
      <w:szCs w:val="20"/>
    </w:rPr>
  </w:style>
  <w:style w:type="paragraph" w:styleId="Quote">
    <w:name w:val="Quote"/>
    <w:basedOn w:val="Normal"/>
    <w:next w:val="Normal"/>
    <w:link w:val="QuoteChar"/>
    <w:uiPriority w:val="29"/>
    <w:qFormat/>
    <w:rsid w:val="00C9065B"/>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C9065B"/>
    <w:rPr>
      <w:rFonts w:ascii="Times New Roman" w:eastAsia="Times New Roman" w:hAnsi="Times New Roman" w:cs="Times New Roman"/>
      <w:i/>
      <w:iCs/>
      <w:color w:val="000000"/>
      <w:sz w:val="24"/>
      <w:szCs w:val="24"/>
    </w:rPr>
  </w:style>
  <w:style w:type="paragraph" w:styleId="Salutation">
    <w:name w:val="Salutation"/>
    <w:basedOn w:val="Normal"/>
    <w:next w:val="Normal"/>
    <w:link w:val="SalutationChar"/>
    <w:rsid w:val="00C9065B"/>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C9065B"/>
    <w:rPr>
      <w:rFonts w:ascii="Times New Roman" w:eastAsia="Times New Roman" w:hAnsi="Times New Roman" w:cs="Times New Roman"/>
      <w:sz w:val="24"/>
      <w:szCs w:val="24"/>
    </w:rPr>
  </w:style>
  <w:style w:type="paragraph" w:styleId="Signature">
    <w:name w:val="Signature"/>
    <w:basedOn w:val="Normal"/>
    <w:link w:val="SignatureChar"/>
    <w:rsid w:val="00C9065B"/>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C9065B"/>
    <w:rPr>
      <w:rFonts w:ascii="Times New Roman" w:eastAsia="Times New Roman" w:hAnsi="Times New Roman" w:cs="Times New Roman"/>
      <w:sz w:val="24"/>
      <w:szCs w:val="24"/>
    </w:rPr>
  </w:style>
  <w:style w:type="character" w:styleId="Strong">
    <w:name w:val="Strong"/>
    <w:uiPriority w:val="22"/>
    <w:qFormat/>
    <w:rsid w:val="00C9065B"/>
    <w:rPr>
      <w:b/>
      <w:bCs/>
    </w:rPr>
  </w:style>
  <w:style w:type="paragraph" w:styleId="Subtitle">
    <w:name w:val="Subtitle"/>
    <w:basedOn w:val="Normal"/>
    <w:next w:val="Normal"/>
    <w:link w:val="SubtitleChar"/>
    <w:qFormat/>
    <w:rsid w:val="00C9065B"/>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C9065B"/>
    <w:rPr>
      <w:rFonts w:ascii="Cambria" w:eastAsia="Times New Roman" w:hAnsi="Cambria" w:cs="Times New Roman"/>
      <w:sz w:val="24"/>
      <w:szCs w:val="24"/>
    </w:rPr>
  </w:style>
  <w:style w:type="character" w:styleId="SubtleEmphasis">
    <w:name w:val="Subtle Emphasis"/>
    <w:uiPriority w:val="19"/>
    <w:qFormat/>
    <w:rsid w:val="00C9065B"/>
    <w:rPr>
      <w:i/>
      <w:iCs/>
      <w:color w:val="808080"/>
    </w:rPr>
  </w:style>
  <w:style w:type="character" w:styleId="SubtleReference">
    <w:name w:val="Subtle Reference"/>
    <w:uiPriority w:val="31"/>
    <w:qFormat/>
    <w:rsid w:val="00C9065B"/>
    <w:rPr>
      <w:smallCaps/>
      <w:color w:val="C0504D"/>
      <w:u w:val="single"/>
    </w:rPr>
  </w:style>
  <w:style w:type="table" w:styleId="Table3Deffects1">
    <w:name w:val="Table 3D effects 1"/>
    <w:basedOn w:val="TableNormal"/>
    <w:rsid w:val="00C906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9065B"/>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9065B"/>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9065B"/>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9065B"/>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9065B"/>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9065B"/>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9065B"/>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9065B"/>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9065B"/>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9065B"/>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9065B"/>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9065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9065B"/>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9065B"/>
    <w:pPr>
      <w:spacing w:after="0" w:line="240" w:lineRule="auto"/>
      <w:ind w:left="240" w:hanging="240"/>
    </w:pPr>
    <w:rPr>
      <w:rFonts w:ascii="Times New Roman" w:eastAsia="Times New Roman" w:hAnsi="Times New Roman" w:cs="Times New Roman"/>
      <w:sz w:val="24"/>
      <w:szCs w:val="24"/>
    </w:rPr>
  </w:style>
  <w:style w:type="paragraph" w:styleId="TableofFigures">
    <w:name w:val="table of figures"/>
    <w:basedOn w:val="Normal"/>
    <w:next w:val="Normal"/>
    <w:rsid w:val="00C9065B"/>
    <w:pPr>
      <w:spacing w:after="0" w:line="240" w:lineRule="auto"/>
    </w:pPr>
    <w:rPr>
      <w:rFonts w:ascii="Times New Roman" w:eastAsia="Times New Roman" w:hAnsi="Times New Roman" w:cs="Times New Roman"/>
      <w:sz w:val="24"/>
      <w:szCs w:val="24"/>
    </w:rPr>
  </w:style>
  <w:style w:type="table" w:styleId="TableProfessional">
    <w:name w:val="Table Professional"/>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906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9065B"/>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C9065B"/>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9065B"/>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9065B"/>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C906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C9065B"/>
    <w:rPr>
      <w:rFonts w:ascii="Cambria" w:eastAsia="Times New Roman" w:hAnsi="Cambria" w:cs="Times New Roman"/>
      <w:b/>
      <w:bCs/>
      <w:kern w:val="28"/>
      <w:sz w:val="32"/>
      <w:szCs w:val="32"/>
    </w:rPr>
  </w:style>
  <w:style w:type="paragraph" w:styleId="TOAHeading">
    <w:name w:val="toa heading"/>
    <w:basedOn w:val="Normal"/>
    <w:next w:val="Normal"/>
    <w:rsid w:val="00C9065B"/>
    <w:pPr>
      <w:spacing w:before="120" w:after="0" w:line="240" w:lineRule="auto"/>
    </w:pPr>
    <w:rPr>
      <w:rFonts w:ascii="Cambria" w:eastAsia="Times New Roman" w:hAnsi="Cambria" w:cs="Times New Roman"/>
      <w:b/>
      <w:bCs/>
      <w:sz w:val="24"/>
      <w:szCs w:val="24"/>
    </w:rPr>
  </w:style>
  <w:style w:type="paragraph" w:styleId="TOC4">
    <w:name w:val="toc 4"/>
    <w:basedOn w:val="Normal"/>
    <w:next w:val="Normal"/>
    <w:autoRedefine/>
    <w:rsid w:val="00C9065B"/>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rsid w:val="00C9065B"/>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rsid w:val="00C9065B"/>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rsid w:val="00C9065B"/>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rsid w:val="00C9065B"/>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rsid w:val="00C9065B"/>
    <w:pPr>
      <w:spacing w:after="0" w:line="240" w:lineRule="auto"/>
      <w:ind w:left="1920"/>
    </w:pPr>
    <w:rPr>
      <w:rFonts w:ascii="Times New Roman" w:eastAsia="Times New Roman" w:hAnsi="Times New Roman" w:cs="Times New Roman"/>
      <w:sz w:val="24"/>
      <w:szCs w:val="24"/>
    </w:rPr>
  </w:style>
  <w:style w:type="character" w:customStyle="1" w:styleId="CourtNameChar">
    <w:name w:val="Court Name Char"/>
    <w:link w:val="CourtName"/>
    <w:rsid w:val="00C9065B"/>
    <w:rPr>
      <w:rFonts w:ascii="Times New Roman" w:eastAsia="Times New Roman" w:hAnsi="Times New Roman" w:cs="Times New Roman"/>
      <w:b/>
      <w:bCs/>
      <w:caps/>
      <w:sz w:val="24"/>
      <w:szCs w:val="24"/>
    </w:rPr>
  </w:style>
  <w:style w:type="paragraph" w:customStyle="1" w:styleId="bbbodytext0">
    <w:name w:val="bbbodytext"/>
    <w:basedOn w:val="Normal"/>
    <w:uiPriority w:val="99"/>
    <w:semiHidden/>
    <w:rsid w:val="003A4EF4"/>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B6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52D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BBodyText2"/>
    <w:link w:val="Heading3Char"/>
    <w:qFormat/>
    <w:rsid w:val="00C9065B"/>
    <w:pPr>
      <w:tabs>
        <w:tab w:val="num" w:pos="2160"/>
      </w:tabs>
      <w:spacing w:after="240" w:line="240" w:lineRule="auto"/>
      <w:ind w:left="2160" w:hanging="720"/>
      <w:outlineLvl w:val="2"/>
    </w:pPr>
    <w:rPr>
      <w:rFonts w:ascii="Times New Roman" w:eastAsia="Times New Roman" w:hAnsi="Times New Roman" w:cs="Times New Roman"/>
      <w:b/>
      <w:bCs/>
      <w:sz w:val="28"/>
      <w:szCs w:val="26"/>
    </w:rPr>
  </w:style>
  <w:style w:type="paragraph" w:styleId="Heading4">
    <w:name w:val="heading 4"/>
    <w:basedOn w:val="Normal"/>
    <w:next w:val="BBBodyText2"/>
    <w:link w:val="Heading4Char"/>
    <w:qFormat/>
    <w:rsid w:val="00C9065B"/>
    <w:pPr>
      <w:tabs>
        <w:tab w:val="num" w:pos="2880"/>
      </w:tabs>
      <w:spacing w:after="240" w:line="240" w:lineRule="auto"/>
      <w:ind w:left="2880" w:hanging="720"/>
      <w:outlineLvl w:val="3"/>
    </w:pPr>
    <w:rPr>
      <w:rFonts w:ascii="Times New Roman" w:eastAsia="Times New Roman" w:hAnsi="Times New Roman" w:cs="Times New Roman"/>
      <w:bCs/>
      <w:sz w:val="28"/>
      <w:szCs w:val="28"/>
      <w:u w:val="single"/>
    </w:rPr>
  </w:style>
  <w:style w:type="paragraph" w:styleId="Heading5">
    <w:name w:val="heading 5"/>
    <w:basedOn w:val="Normal"/>
    <w:next w:val="BBBodyText2"/>
    <w:link w:val="Heading5Char"/>
    <w:qFormat/>
    <w:rsid w:val="00C9065B"/>
    <w:pPr>
      <w:tabs>
        <w:tab w:val="num" w:pos="3600"/>
      </w:tabs>
      <w:spacing w:after="240" w:line="240" w:lineRule="auto"/>
      <w:ind w:left="3600" w:hanging="720"/>
      <w:outlineLvl w:val="4"/>
    </w:pPr>
    <w:rPr>
      <w:rFonts w:ascii="Times New Roman" w:eastAsia="Times New Roman" w:hAnsi="Times New Roman" w:cs="Times New Roman"/>
      <w:bCs/>
      <w:iCs/>
      <w:sz w:val="24"/>
      <w:szCs w:val="26"/>
    </w:rPr>
  </w:style>
  <w:style w:type="paragraph" w:styleId="Heading6">
    <w:name w:val="heading 6"/>
    <w:basedOn w:val="Normal"/>
    <w:next w:val="BBBodyText2"/>
    <w:link w:val="Heading6Char"/>
    <w:qFormat/>
    <w:rsid w:val="00C9065B"/>
    <w:pPr>
      <w:tabs>
        <w:tab w:val="num" w:pos="4320"/>
      </w:tabs>
      <w:spacing w:after="240" w:line="240" w:lineRule="auto"/>
      <w:ind w:left="4320" w:hanging="720"/>
      <w:outlineLvl w:val="5"/>
    </w:pPr>
    <w:rPr>
      <w:rFonts w:ascii="Times New Roman" w:eastAsia="Times New Roman" w:hAnsi="Times New Roman" w:cs="Times New Roman"/>
      <w:bCs/>
      <w:sz w:val="24"/>
    </w:rPr>
  </w:style>
  <w:style w:type="paragraph" w:styleId="Heading7">
    <w:name w:val="heading 7"/>
    <w:basedOn w:val="Normal"/>
    <w:next w:val="BBBodyText2"/>
    <w:link w:val="Heading7Char"/>
    <w:qFormat/>
    <w:rsid w:val="00C9065B"/>
    <w:pPr>
      <w:tabs>
        <w:tab w:val="num" w:pos="5040"/>
      </w:tabs>
      <w:spacing w:after="240" w:line="240" w:lineRule="auto"/>
      <w:ind w:left="5040" w:hanging="720"/>
      <w:outlineLvl w:val="6"/>
    </w:pPr>
    <w:rPr>
      <w:rFonts w:ascii="Times New Roman" w:eastAsia="Times New Roman" w:hAnsi="Times New Roman" w:cs="Times New Roman"/>
      <w:sz w:val="24"/>
      <w:szCs w:val="24"/>
    </w:rPr>
  </w:style>
  <w:style w:type="paragraph" w:styleId="Heading8">
    <w:name w:val="heading 8"/>
    <w:basedOn w:val="Normal"/>
    <w:next w:val="BBBodyText2"/>
    <w:link w:val="Heading8Char"/>
    <w:qFormat/>
    <w:rsid w:val="00C9065B"/>
    <w:pPr>
      <w:tabs>
        <w:tab w:val="num" w:pos="5760"/>
      </w:tabs>
      <w:spacing w:after="240" w:line="240" w:lineRule="auto"/>
      <w:ind w:left="5760" w:hanging="720"/>
      <w:outlineLvl w:val="7"/>
    </w:pPr>
    <w:rPr>
      <w:rFonts w:ascii="Times New Roman" w:eastAsia="Times New Roman" w:hAnsi="Times New Roman" w:cs="Times New Roman"/>
      <w:iCs/>
      <w:sz w:val="24"/>
      <w:szCs w:val="24"/>
    </w:rPr>
  </w:style>
  <w:style w:type="paragraph" w:styleId="Heading9">
    <w:name w:val="heading 9"/>
    <w:basedOn w:val="Normal"/>
    <w:next w:val="BBBodyText2"/>
    <w:link w:val="Heading9Char"/>
    <w:qFormat/>
    <w:rsid w:val="00C9065B"/>
    <w:pPr>
      <w:tabs>
        <w:tab w:val="num" w:pos="6480"/>
      </w:tabs>
      <w:spacing w:after="240" w:line="240" w:lineRule="auto"/>
      <w:ind w:left="6480" w:hanging="720"/>
      <w:outlineLvl w:val="8"/>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2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B62EB"/>
    <w:pPr>
      <w:outlineLvl w:val="9"/>
    </w:pPr>
    <w:rPr>
      <w:lang w:eastAsia="ja-JP"/>
    </w:rPr>
  </w:style>
  <w:style w:type="paragraph" w:styleId="TOC2">
    <w:name w:val="toc 2"/>
    <w:basedOn w:val="Normal"/>
    <w:next w:val="Normal"/>
    <w:autoRedefine/>
    <w:uiPriority w:val="39"/>
    <w:unhideWhenUsed/>
    <w:qFormat/>
    <w:rsid w:val="00246F66"/>
    <w:pPr>
      <w:spacing w:after="100"/>
      <w:ind w:left="220"/>
    </w:pPr>
    <w:rPr>
      <w:rFonts w:ascii="Century Schoolbook" w:eastAsiaTheme="minorEastAsia" w:hAnsi="Century Schoolbook"/>
      <w:i/>
      <w:sz w:val="20"/>
      <w:lang w:eastAsia="ja-JP"/>
    </w:rPr>
  </w:style>
  <w:style w:type="paragraph" w:styleId="TOC1">
    <w:name w:val="toc 1"/>
    <w:basedOn w:val="GDLA"/>
    <w:autoRedefine/>
    <w:uiPriority w:val="39"/>
    <w:unhideWhenUsed/>
    <w:qFormat/>
    <w:rsid w:val="004B6889"/>
    <w:pPr>
      <w:tabs>
        <w:tab w:val="right" w:leader="dot" w:pos="9350"/>
      </w:tabs>
      <w:spacing w:before="120" w:after="180"/>
      <w:jc w:val="left"/>
    </w:pPr>
    <w:rPr>
      <w:rFonts w:eastAsiaTheme="minorEastAsia"/>
      <w:noProof/>
      <w:sz w:val="22"/>
      <w:lang w:eastAsia="ja-JP"/>
    </w:rPr>
  </w:style>
  <w:style w:type="paragraph" w:styleId="TOC3">
    <w:name w:val="toc 3"/>
    <w:basedOn w:val="Normal"/>
    <w:next w:val="Normal"/>
    <w:autoRedefine/>
    <w:uiPriority w:val="39"/>
    <w:unhideWhenUsed/>
    <w:qFormat/>
    <w:rsid w:val="00203931"/>
    <w:pPr>
      <w:spacing w:after="100"/>
      <w:ind w:left="440"/>
    </w:pPr>
    <w:rPr>
      <w:rFonts w:ascii="Century Schoolbook" w:eastAsiaTheme="minorEastAsia" w:hAnsi="Century Schoolbook"/>
      <w:b/>
      <w:sz w:val="18"/>
      <w:lang w:eastAsia="ja-JP"/>
    </w:rPr>
  </w:style>
  <w:style w:type="paragraph" w:styleId="BalloonText">
    <w:name w:val="Balloon Text"/>
    <w:basedOn w:val="Normal"/>
    <w:link w:val="BalloonTextChar"/>
    <w:semiHidden/>
    <w:unhideWhenUsed/>
    <w:rsid w:val="009B6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2EB"/>
    <w:rPr>
      <w:rFonts w:ascii="Tahoma" w:hAnsi="Tahoma" w:cs="Tahoma"/>
      <w:sz w:val="16"/>
      <w:szCs w:val="16"/>
    </w:rPr>
  </w:style>
  <w:style w:type="paragraph" w:styleId="NoSpacing">
    <w:name w:val="No Spacing"/>
    <w:link w:val="NoSpacingChar"/>
    <w:uiPriority w:val="1"/>
    <w:qFormat/>
    <w:rsid w:val="009B62E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62EB"/>
    <w:rPr>
      <w:rFonts w:eastAsiaTheme="minorEastAsia"/>
      <w:lang w:eastAsia="ja-JP"/>
    </w:rPr>
  </w:style>
  <w:style w:type="paragraph" w:styleId="Header">
    <w:name w:val="header"/>
    <w:basedOn w:val="Normal"/>
    <w:link w:val="HeaderChar"/>
    <w:unhideWhenUsed/>
    <w:rsid w:val="00905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03A"/>
  </w:style>
  <w:style w:type="paragraph" w:styleId="Footer">
    <w:name w:val="footer"/>
    <w:basedOn w:val="Normal"/>
    <w:link w:val="FooterChar"/>
    <w:uiPriority w:val="99"/>
    <w:unhideWhenUsed/>
    <w:rsid w:val="00905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03A"/>
  </w:style>
  <w:style w:type="paragraph" w:customStyle="1" w:styleId="D345FF3D873148C5AE3FBF3267827368">
    <w:name w:val="D345FF3D873148C5AE3FBF3267827368"/>
    <w:rsid w:val="0090503A"/>
    <w:rPr>
      <w:rFonts w:eastAsiaTheme="minorEastAsia"/>
      <w:lang w:eastAsia="ja-JP"/>
    </w:rPr>
  </w:style>
  <w:style w:type="paragraph" w:styleId="EndnoteText">
    <w:name w:val="endnote text"/>
    <w:basedOn w:val="Normal"/>
    <w:link w:val="EndnoteTextChar"/>
    <w:rsid w:val="00414008"/>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414008"/>
    <w:rPr>
      <w:rFonts w:ascii="Times New Roman" w:eastAsia="Times New Roman" w:hAnsi="Times New Roman" w:cs="Times New Roman"/>
      <w:sz w:val="20"/>
      <w:szCs w:val="20"/>
    </w:rPr>
  </w:style>
  <w:style w:type="character" w:styleId="EndnoteReference">
    <w:name w:val="endnote reference"/>
    <w:basedOn w:val="DefaultParagraphFont"/>
    <w:rsid w:val="00414008"/>
    <w:rPr>
      <w:vertAlign w:val="superscript"/>
    </w:rPr>
  </w:style>
  <w:style w:type="paragraph" w:customStyle="1" w:styleId="GDLA">
    <w:name w:val="GDLA"/>
    <w:basedOn w:val="Normal"/>
    <w:qFormat/>
    <w:rsid w:val="00E16721"/>
    <w:pPr>
      <w:spacing w:after="0"/>
      <w:jc w:val="center"/>
    </w:pPr>
    <w:rPr>
      <w:rFonts w:ascii="Century Schoolbook" w:hAnsi="Century Schoolbook"/>
      <w:b/>
      <w:sz w:val="28"/>
      <w:szCs w:val="28"/>
    </w:rPr>
  </w:style>
  <w:style w:type="character" w:styleId="Hyperlink">
    <w:name w:val="Hyperlink"/>
    <w:basedOn w:val="DefaultParagraphFont"/>
    <w:uiPriority w:val="99"/>
    <w:unhideWhenUsed/>
    <w:rsid w:val="00E16721"/>
    <w:rPr>
      <w:color w:val="0000FF" w:themeColor="hyperlink"/>
      <w:u w:val="single"/>
    </w:rPr>
  </w:style>
  <w:style w:type="character" w:styleId="PageNumber">
    <w:name w:val="page number"/>
    <w:basedOn w:val="DefaultParagraphFont"/>
    <w:unhideWhenUsed/>
    <w:rsid w:val="003522D9"/>
  </w:style>
  <w:style w:type="table" w:styleId="TableGrid">
    <w:name w:val="Table Grid"/>
    <w:basedOn w:val="TableNormal"/>
    <w:rsid w:val="003522D9"/>
    <w:pPr>
      <w:spacing w:after="0" w:line="240" w:lineRule="auto"/>
    </w:pPr>
    <w:rPr>
      <w:rFonts w:ascii="Times New Roman" w:eastAsia="MS Mincho"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link w:val="AuthorChar"/>
    <w:qFormat/>
    <w:rsid w:val="00A52DBC"/>
    <w:pPr>
      <w:spacing w:after="0"/>
      <w:jc w:val="center"/>
    </w:pPr>
    <w:rPr>
      <w:rFonts w:ascii="Century Schoolbook" w:hAnsi="Century Schoolbook"/>
      <w:sz w:val="24"/>
      <w:szCs w:val="24"/>
    </w:rPr>
  </w:style>
  <w:style w:type="character" w:customStyle="1" w:styleId="Heading2Char">
    <w:name w:val="Heading 2 Char"/>
    <w:basedOn w:val="DefaultParagraphFont"/>
    <w:link w:val="Heading2"/>
    <w:uiPriority w:val="9"/>
    <w:semiHidden/>
    <w:rsid w:val="00A52DBC"/>
    <w:rPr>
      <w:rFonts w:asciiTheme="majorHAnsi" w:eastAsiaTheme="majorEastAsia" w:hAnsiTheme="majorHAnsi" w:cstheme="majorBidi"/>
      <w:b/>
      <w:bCs/>
      <w:color w:val="4F81BD" w:themeColor="accent1"/>
      <w:sz w:val="26"/>
      <w:szCs w:val="26"/>
    </w:rPr>
  </w:style>
  <w:style w:type="character" w:customStyle="1" w:styleId="AuthorChar">
    <w:name w:val="Author Char"/>
    <w:basedOn w:val="DefaultParagraphFont"/>
    <w:link w:val="Author"/>
    <w:rsid w:val="00A52DBC"/>
    <w:rPr>
      <w:rFonts w:ascii="Century Schoolbook" w:hAnsi="Century Schoolbook"/>
      <w:sz w:val="24"/>
      <w:szCs w:val="24"/>
    </w:rPr>
  </w:style>
  <w:style w:type="paragraph" w:customStyle="1" w:styleId="BodyText05">
    <w:name w:val="Body Text 0.5"/>
    <w:basedOn w:val="Normal"/>
    <w:qFormat/>
    <w:rsid w:val="00153A04"/>
    <w:pPr>
      <w:spacing w:before="240" w:after="0" w:line="240" w:lineRule="auto"/>
      <w:ind w:firstLine="720"/>
    </w:pPr>
    <w:rPr>
      <w:rFonts w:ascii="Times New Roman" w:eastAsia="Times New Roman" w:hAnsi="Times New Roman" w:cs="Times New Roman"/>
      <w:sz w:val="24"/>
      <w:szCs w:val="24"/>
    </w:rPr>
  </w:style>
  <w:style w:type="character" w:customStyle="1" w:styleId="ssit">
    <w:name w:val="ss_it"/>
    <w:basedOn w:val="DefaultParagraphFont"/>
    <w:rsid w:val="00092694"/>
  </w:style>
  <w:style w:type="character" w:customStyle="1" w:styleId="ssrfcpassagedeactivated">
    <w:name w:val="ss_rfcpassage_deactivated"/>
    <w:basedOn w:val="DefaultParagraphFont"/>
    <w:rsid w:val="00092694"/>
  </w:style>
  <w:style w:type="character" w:customStyle="1" w:styleId="ssun">
    <w:name w:val="ss_un"/>
    <w:basedOn w:val="DefaultParagraphFont"/>
    <w:rsid w:val="00092694"/>
  </w:style>
  <w:style w:type="character" w:styleId="Emphasis">
    <w:name w:val="Emphasis"/>
    <w:qFormat/>
    <w:rsid w:val="00FE60BD"/>
    <w:rPr>
      <w:i/>
      <w:iCs/>
    </w:rPr>
  </w:style>
  <w:style w:type="character" w:customStyle="1" w:styleId="Heading3Char">
    <w:name w:val="Heading 3 Char"/>
    <w:basedOn w:val="DefaultParagraphFont"/>
    <w:link w:val="Heading3"/>
    <w:rsid w:val="00C9065B"/>
    <w:rPr>
      <w:rFonts w:ascii="Times New Roman" w:eastAsia="Times New Roman" w:hAnsi="Times New Roman" w:cs="Times New Roman"/>
      <w:b/>
      <w:bCs/>
      <w:sz w:val="28"/>
      <w:szCs w:val="26"/>
    </w:rPr>
  </w:style>
  <w:style w:type="character" w:customStyle="1" w:styleId="Heading4Char">
    <w:name w:val="Heading 4 Char"/>
    <w:basedOn w:val="DefaultParagraphFont"/>
    <w:link w:val="Heading4"/>
    <w:rsid w:val="00C9065B"/>
    <w:rPr>
      <w:rFonts w:ascii="Times New Roman" w:eastAsia="Times New Roman" w:hAnsi="Times New Roman" w:cs="Times New Roman"/>
      <w:bCs/>
      <w:sz w:val="28"/>
      <w:szCs w:val="28"/>
      <w:u w:val="single"/>
    </w:rPr>
  </w:style>
  <w:style w:type="character" w:customStyle="1" w:styleId="Heading5Char">
    <w:name w:val="Heading 5 Char"/>
    <w:basedOn w:val="DefaultParagraphFont"/>
    <w:link w:val="Heading5"/>
    <w:rsid w:val="00C9065B"/>
    <w:rPr>
      <w:rFonts w:ascii="Times New Roman" w:eastAsia="Times New Roman" w:hAnsi="Times New Roman" w:cs="Times New Roman"/>
      <w:bCs/>
      <w:iCs/>
      <w:sz w:val="24"/>
      <w:szCs w:val="26"/>
    </w:rPr>
  </w:style>
  <w:style w:type="character" w:customStyle="1" w:styleId="Heading6Char">
    <w:name w:val="Heading 6 Char"/>
    <w:basedOn w:val="DefaultParagraphFont"/>
    <w:link w:val="Heading6"/>
    <w:rsid w:val="00C9065B"/>
    <w:rPr>
      <w:rFonts w:ascii="Times New Roman" w:eastAsia="Times New Roman" w:hAnsi="Times New Roman" w:cs="Times New Roman"/>
      <w:bCs/>
      <w:sz w:val="24"/>
    </w:rPr>
  </w:style>
  <w:style w:type="character" w:customStyle="1" w:styleId="Heading7Char">
    <w:name w:val="Heading 7 Char"/>
    <w:basedOn w:val="DefaultParagraphFont"/>
    <w:link w:val="Heading7"/>
    <w:rsid w:val="00C9065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C9065B"/>
    <w:rPr>
      <w:rFonts w:ascii="Times New Roman" w:eastAsia="Times New Roman" w:hAnsi="Times New Roman" w:cs="Times New Roman"/>
      <w:iCs/>
      <w:sz w:val="24"/>
      <w:szCs w:val="24"/>
    </w:rPr>
  </w:style>
  <w:style w:type="character" w:customStyle="1" w:styleId="Heading9Char">
    <w:name w:val="Heading 9 Char"/>
    <w:basedOn w:val="DefaultParagraphFont"/>
    <w:link w:val="Heading9"/>
    <w:rsid w:val="00C9065B"/>
    <w:rPr>
      <w:rFonts w:ascii="Times New Roman" w:eastAsia="Times New Roman" w:hAnsi="Times New Roman" w:cs="Times New Roman"/>
      <w:sz w:val="24"/>
    </w:rPr>
  </w:style>
  <w:style w:type="paragraph" w:customStyle="1" w:styleId="THBODY1default">
    <w:name w:val="*TH BODY 1 default"/>
    <w:basedOn w:val="Normal"/>
    <w:rsid w:val="00C9065B"/>
    <w:pPr>
      <w:spacing w:after="240" w:line="240" w:lineRule="auto"/>
    </w:pPr>
    <w:rPr>
      <w:rFonts w:ascii="Times New Roman" w:eastAsia="Times New Roman" w:hAnsi="Times New Roman" w:cs="Times New Roman"/>
      <w:color w:val="000000"/>
      <w:sz w:val="24"/>
      <w:szCs w:val="24"/>
    </w:rPr>
  </w:style>
  <w:style w:type="paragraph" w:customStyle="1" w:styleId="BBBodyText2">
    <w:name w:val="BB Body Text 2"/>
    <w:basedOn w:val="Normal"/>
    <w:link w:val="BBBodyText2Char"/>
    <w:rsid w:val="00C9065B"/>
    <w:pPr>
      <w:spacing w:after="0" w:line="480" w:lineRule="auto"/>
      <w:ind w:firstLine="720"/>
      <w:jc w:val="both"/>
    </w:pPr>
    <w:rPr>
      <w:rFonts w:ascii="Times New Roman" w:eastAsia="Times New Roman" w:hAnsi="Times New Roman" w:cs="Times New Roman"/>
      <w:sz w:val="28"/>
      <w:szCs w:val="24"/>
    </w:rPr>
  </w:style>
  <w:style w:type="character" w:customStyle="1" w:styleId="BBBodyText2Char">
    <w:name w:val="BB Body Text 2 Char"/>
    <w:link w:val="BBBodyText2"/>
    <w:rsid w:val="00C9065B"/>
    <w:rPr>
      <w:rFonts w:ascii="Times New Roman" w:eastAsia="Times New Roman" w:hAnsi="Times New Roman" w:cs="Times New Roman"/>
      <w:sz w:val="28"/>
      <w:szCs w:val="24"/>
    </w:rPr>
  </w:style>
  <w:style w:type="paragraph" w:customStyle="1" w:styleId="SingleSpacing">
    <w:name w:val="Single Spacing"/>
    <w:basedOn w:val="Normal"/>
    <w:rsid w:val="00C9065B"/>
    <w:pPr>
      <w:spacing w:after="0" w:line="240" w:lineRule="auto"/>
    </w:pPr>
    <w:rPr>
      <w:rFonts w:ascii="Courier New" w:eastAsia="Times New Roman" w:hAnsi="Courier New" w:cs="Times New Roman"/>
      <w:sz w:val="24"/>
      <w:szCs w:val="24"/>
    </w:rPr>
  </w:style>
  <w:style w:type="paragraph" w:customStyle="1" w:styleId="PleadingTitleCentered">
    <w:name w:val="Pleading Title Centered"/>
    <w:basedOn w:val="Normal"/>
    <w:rsid w:val="00C9065B"/>
    <w:pPr>
      <w:keepNext/>
      <w:keepLines/>
      <w:spacing w:before="240" w:after="240" w:line="240" w:lineRule="auto"/>
      <w:jc w:val="center"/>
    </w:pPr>
    <w:rPr>
      <w:rFonts w:ascii="Courier New" w:eastAsia="Times New Roman" w:hAnsi="Courier New" w:cs="Times New Roman"/>
      <w:b/>
      <w:caps/>
      <w:sz w:val="24"/>
      <w:szCs w:val="24"/>
      <w:u w:val="single"/>
    </w:rPr>
  </w:style>
  <w:style w:type="paragraph" w:customStyle="1" w:styleId="border">
    <w:name w:val="border"/>
    <w:basedOn w:val="Normal"/>
    <w:rsid w:val="00C9065B"/>
    <w:pPr>
      <w:widowControl w:val="0"/>
      <w:spacing w:after="0" w:line="240" w:lineRule="auto"/>
      <w:jc w:val="center"/>
    </w:pPr>
    <w:rPr>
      <w:rFonts w:ascii="Courier New" w:eastAsia="Times New Roman" w:hAnsi="Courier New" w:cs="Times New Roman"/>
      <w:sz w:val="24"/>
      <w:szCs w:val="24"/>
    </w:rPr>
  </w:style>
  <w:style w:type="paragraph" w:styleId="FootnoteText">
    <w:name w:val="footnote text"/>
    <w:basedOn w:val="Normal"/>
    <w:link w:val="FootnoteTextChar"/>
    <w:semiHidden/>
    <w:rsid w:val="00C9065B"/>
    <w:pPr>
      <w:spacing w:after="0" w:line="240" w:lineRule="auto"/>
      <w:ind w:firstLine="720"/>
      <w:jc w:val="both"/>
    </w:pPr>
    <w:rPr>
      <w:rFonts w:ascii="Times New Roman" w:eastAsia="Times New Roman" w:hAnsi="Times New Roman" w:cs="Times New Roman"/>
      <w:sz w:val="28"/>
      <w:szCs w:val="20"/>
    </w:rPr>
  </w:style>
  <w:style w:type="character" w:customStyle="1" w:styleId="FootnoteTextChar">
    <w:name w:val="Footnote Text Char"/>
    <w:basedOn w:val="DefaultParagraphFont"/>
    <w:link w:val="FootnoteText"/>
    <w:semiHidden/>
    <w:rsid w:val="00C9065B"/>
    <w:rPr>
      <w:rFonts w:ascii="Times New Roman" w:eastAsia="Times New Roman" w:hAnsi="Times New Roman" w:cs="Times New Roman"/>
      <w:sz w:val="28"/>
      <w:szCs w:val="20"/>
    </w:rPr>
  </w:style>
  <w:style w:type="character" w:styleId="FootnoteReference">
    <w:name w:val="footnote reference"/>
    <w:semiHidden/>
    <w:rsid w:val="00C9065B"/>
    <w:rPr>
      <w:vertAlign w:val="superscript"/>
    </w:rPr>
  </w:style>
  <w:style w:type="paragraph" w:customStyle="1" w:styleId="BBSignature">
    <w:name w:val="BB Signature"/>
    <w:basedOn w:val="Normal"/>
    <w:rsid w:val="00C9065B"/>
    <w:pPr>
      <w:keepNext/>
      <w:spacing w:after="0" w:line="240" w:lineRule="auto"/>
      <w:ind w:left="4320"/>
    </w:pPr>
    <w:rPr>
      <w:rFonts w:ascii="Courier New" w:eastAsia="Times New Roman" w:hAnsi="Courier New" w:cs="Courier New"/>
      <w:sz w:val="24"/>
      <w:szCs w:val="24"/>
    </w:rPr>
  </w:style>
  <w:style w:type="paragraph" w:customStyle="1" w:styleId="BBSignatureNI">
    <w:name w:val="BB Signature NI"/>
    <w:basedOn w:val="BBSignature"/>
    <w:rsid w:val="00C9065B"/>
    <w:pPr>
      <w:ind w:left="0"/>
    </w:pPr>
  </w:style>
  <w:style w:type="paragraph" w:customStyle="1" w:styleId="BBMainHeading">
    <w:name w:val="BB Main Heading"/>
    <w:basedOn w:val="Normal"/>
    <w:next w:val="Normal"/>
    <w:rsid w:val="00C9065B"/>
    <w:pPr>
      <w:keepNext/>
      <w:spacing w:after="240" w:line="240" w:lineRule="auto"/>
      <w:jc w:val="center"/>
    </w:pPr>
    <w:rPr>
      <w:rFonts w:ascii="Courier New" w:eastAsia="Times New Roman" w:hAnsi="Courier New" w:cs="Courier New"/>
      <w:b/>
      <w:caps/>
      <w:sz w:val="24"/>
      <w:szCs w:val="24"/>
      <w:u w:val="single"/>
    </w:rPr>
  </w:style>
  <w:style w:type="paragraph" w:customStyle="1" w:styleId="ByLine">
    <w:name w:val="ByLine"/>
    <w:basedOn w:val="Normal"/>
    <w:rsid w:val="00C9065B"/>
    <w:pPr>
      <w:tabs>
        <w:tab w:val="left" w:pos="4320"/>
        <w:tab w:val="left" w:pos="5040"/>
        <w:tab w:val="left" w:pos="9360"/>
      </w:tabs>
      <w:spacing w:after="0" w:line="240" w:lineRule="auto"/>
      <w:ind w:left="5040" w:hanging="5040"/>
    </w:pPr>
    <w:rPr>
      <w:rFonts w:ascii="Courier New" w:eastAsia="Times New Roman" w:hAnsi="Courier New" w:cs="Times New Roman"/>
      <w:noProof/>
      <w:sz w:val="24"/>
      <w:szCs w:val="24"/>
    </w:rPr>
  </w:style>
  <w:style w:type="paragraph" w:customStyle="1" w:styleId="BBAddress">
    <w:name w:val="BB Address"/>
    <w:basedOn w:val="Normal"/>
    <w:rsid w:val="00C9065B"/>
    <w:pPr>
      <w:spacing w:after="0" w:line="240" w:lineRule="auto"/>
      <w:ind w:left="4320"/>
    </w:pPr>
    <w:rPr>
      <w:rFonts w:ascii="Courier New" w:eastAsia="Times New Roman" w:hAnsi="Courier New" w:cs="Courier New"/>
      <w:sz w:val="24"/>
      <w:szCs w:val="24"/>
    </w:rPr>
  </w:style>
  <w:style w:type="paragraph" w:styleId="ListBullet">
    <w:name w:val="List Bullet"/>
    <w:basedOn w:val="Normal"/>
    <w:rsid w:val="00C9065B"/>
    <w:pPr>
      <w:numPr>
        <w:numId w:val="5"/>
      </w:numPr>
      <w:spacing w:after="0" w:line="240" w:lineRule="auto"/>
      <w:contextualSpacing/>
    </w:pPr>
    <w:rPr>
      <w:rFonts w:ascii="Times New Roman" w:eastAsia="Times New Roman" w:hAnsi="Times New Roman" w:cs="Times New Roman"/>
      <w:sz w:val="24"/>
      <w:szCs w:val="24"/>
    </w:rPr>
  </w:style>
  <w:style w:type="character" w:styleId="FollowedHyperlink">
    <w:name w:val="FollowedHyperlink"/>
    <w:rsid w:val="00C9065B"/>
    <w:rPr>
      <w:color w:val="800080"/>
      <w:u w:val="single"/>
    </w:rPr>
  </w:style>
  <w:style w:type="paragraph" w:customStyle="1" w:styleId="BBBodyText">
    <w:name w:val="BB Body Text"/>
    <w:basedOn w:val="Normal"/>
    <w:rsid w:val="00C9065B"/>
    <w:pPr>
      <w:spacing w:after="240" w:line="240" w:lineRule="auto"/>
      <w:ind w:firstLine="720"/>
      <w:jc w:val="both"/>
    </w:pPr>
    <w:rPr>
      <w:rFonts w:ascii="Times New Roman" w:eastAsia="Times New Roman" w:hAnsi="Times New Roman" w:cs="Times New Roman"/>
      <w:sz w:val="24"/>
      <w:szCs w:val="24"/>
    </w:rPr>
  </w:style>
  <w:style w:type="paragraph" w:customStyle="1" w:styleId="BBDoubleIndent">
    <w:name w:val="BB Double Indent"/>
    <w:basedOn w:val="Normal"/>
    <w:next w:val="BBBodyText"/>
    <w:rsid w:val="00C9065B"/>
    <w:pPr>
      <w:spacing w:after="240" w:line="240" w:lineRule="auto"/>
      <w:ind w:left="720" w:right="720"/>
      <w:jc w:val="both"/>
    </w:pPr>
    <w:rPr>
      <w:rFonts w:ascii="Times New Roman" w:eastAsia="Times New Roman" w:hAnsi="Times New Roman" w:cs="Times New Roman"/>
      <w:sz w:val="24"/>
      <w:szCs w:val="24"/>
    </w:rPr>
  </w:style>
  <w:style w:type="paragraph" w:customStyle="1" w:styleId="CourtName">
    <w:name w:val="Court Name"/>
    <w:basedOn w:val="Normal"/>
    <w:link w:val="CourtNameChar"/>
    <w:rsid w:val="00C9065B"/>
    <w:pPr>
      <w:spacing w:after="360" w:line="240" w:lineRule="auto"/>
      <w:contextualSpacing/>
      <w:jc w:val="center"/>
    </w:pPr>
    <w:rPr>
      <w:rFonts w:ascii="Times New Roman" w:eastAsia="Times New Roman" w:hAnsi="Times New Roman" w:cs="Times New Roman"/>
      <w:b/>
      <w:bCs/>
      <w:caps/>
      <w:sz w:val="24"/>
      <w:szCs w:val="24"/>
    </w:rPr>
  </w:style>
  <w:style w:type="paragraph" w:customStyle="1" w:styleId="BBSignatureLine">
    <w:name w:val="BB Signature Line"/>
    <w:basedOn w:val="Normal"/>
    <w:rsid w:val="00C9065B"/>
    <w:pPr>
      <w:tabs>
        <w:tab w:val="right" w:pos="9360"/>
      </w:tabs>
      <w:spacing w:after="0" w:line="240" w:lineRule="auto"/>
      <w:ind w:left="4320"/>
      <w:jc w:val="both"/>
    </w:pPr>
    <w:rPr>
      <w:rFonts w:ascii="Times New Roman" w:eastAsia="Times New Roman" w:hAnsi="Times New Roman" w:cs="Times New Roman"/>
      <w:sz w:val="28"/>
      <w:szCs w:val="24"/>
      <w:u w:val="single"/>
    </w:rPr>
  </w:style>
  <w:style w:type="paragraph" w:customStyle="1" w:styleId="BBSignatureCap">
    <w:name w:val="BB Signature Cap"/>
    <w:basedOn w:val="BBSignatureNI"/>
    <w:rsid w:val="00C9065B"/>
    <w:rPr>
      <w:rFonts w:ascii="Times New Roman" w:hAnsi="Times New Roman"/>
      <w:caps/>
      <w:sz w:val="28"/>
    </w:rPr>
  </w:style>
  <w:style w:type="paragraph" w:styleId="BodyTextIndent">
    <w:name w:val="Body Text Indent"/>
    <w:basedOn w:val="Normal"/>
    <w:link w:val="BodyTextIndentChar"/>
    <w:rsid w:val="00C9065B"/>
    <w:pPr>
      <w:suppressAutoHyphens/>
      <w:spacing w:after="0" w:line="480" w:lineRule="auto"/>
      <w:ind w:firstLine="720"/>
      <w:jc w:val="both"/>
    </w:pPr>
    <w:rPr>
      <w:rFonts w:ascii="Times New Roman" w:eastAsia="Times New Roman" w:hAnsi="Times New Roman" w:cs="Times New Roman"/>
      <w:spacing w:val="-2"/>
      <w:sz w:val="24"/>
      <w:szCs w:val="20"/>
    </w:rPr>
  </w:style>
  <w:style w:type="character" w:customStyle="1" w:styleId="BodyTextIndentChar">
    <w:name w:val="Body Text Indent Char"/>
    <w:basedOn w:val="DefaultParagraphFont"/>
    <w:link w:val="BodyTextIndent"/>
    <w:rsid w:val="00C9065B"/>
    <w:rPr>
      <w:rFonts w:ascii="Times New Roman" w:eastAsia="Times New Roman" w:hAnsi="Times New Roman" w:cs="Times New Roman"/>
      <w:spacing w:val="-2"/>
      <w:sz w:val="24"/>
      <w:szCs w:val="20"/>
    </w:rPr>
  </w:style>
  <w:style w:type="character" w:customStyle="1" w:styleId="searchterm">
    <w:name w:val="searchterm"/>
    <w:basedOn w:val="DefaultParagraphFont"/>
    <w:rsid w:val="00C9065B"/>
  </w:style>
  <w:style w:type="character" w:customStyle="1" w:styleId="starpage">
    <w:name w:val="starpage"/>
    <w:basedOn w:val="DefaultParagraphFont"/>
    <w:rsid w:val="00C9065B"/>
  </w:style>
  <w:style w:type="character" w:customStyle="1" w:styleId="DocID">
    <w:name w:val="DocID"/>
    <w:rsid w:val="00C9065B"/>
    <w:rPr>
      <w:rFonts w:ascii="Times New Roman" w:hAnsi="Times New Roman" w:cs="Times New Roman"/>
      <w:b w:val="0"/>
      <w:i w:val="0"/>
      <w:vanish w:val="0"/>
      <w:color w:val="000000"/>
      <w:sz w:val="12"/>
      <w:szCs w:val="28"/>
      <w:u w:val="none"/>
    </w:rPr>
  </w:style>
  <w:style w:type="numbering" w:styleId="111111">
    <w:name w:val="Outline List 2"/>
    <w:basedOn w:val="NoList"/>
    <w:rsid w:val="00C9065B"/>
    <w:pPr>
      <w:numPr>
        <w:numId w:val="8"/>
      </w:numPr>
    </w:pPr>
  </w:style>
  <w:style w:type="numbering" w:styleId="1ai">
    <w:name w:val="Outline List 1"/>
    <w:basedOn w:val="NoList"/>
    <w:rsid w:val="00C9065B"/>
    <w:pPr>
      <w:numPr>
        <w:numId w:val="9"/>
      </w:numPr>
    </w:pPr>
  </w:style>
  <w:style w:type="numbering" w:styleId="ArticleSection">
    <w:name w:val="Outline List 3"/>
    <w:basedOn w:val="NoList"/>
    <w:rsid w:val="00C9065B"/>
    <w:pPr>
      <w:numPr>
        <w:numId w:val="10"/>
      </w:numPr>
    </w:pPr>
  </w:style>
  <w:style w:type="paragraph" w:styleId="Bibliography">
    <w:name w:val="Bibliography"/>
    <w:basedOn w:val="Normal"/>
    <w:next w:val="Normal"/>
    <w:uiPriority w:val="37"/>
    <w:semiHidden/>
    <w:unhideWhenUsed/>
    <w:rsid w:val="00C9065B"/>
    <w:pPr>
      <w:spacing w:after="0" w:line="240" w:lineRule="auto"/>
    </w:pPr>
    <w:rPr>
      <w:rFonts w:ascii="Times New Roman" w:eastAsia="Times New Roman" w:hAnsi="Times New Roman" w:cs="Times New Roman"/>
      <w:sz w:val="24"/>
      <w:szCs w:val="24"/>
    </w:rPr>
  </w:style>
  <w:style w:type="paragraph" w:styleId="BlockText">
    <w:name w:val="Block Text"/>
    <w:basedOn w:val="Normal"/>
    <w:rsid w:val="00C9065B"/>
    <w:pPr>
      <w:spacing w:after="120" w:line="240" w:lineRule="auto"/>
      <w:ind w:left="1440" w:right="1440"/>
    </w:pPr>
    <w:rPr>
      <w:rFonts w:ascii="Times New Roman" w:eastAsia="Times New Roman" w:hAnsi="Times New Roman" w:cs="Times New Roman"/>
      <w:sz w:val="24"/>
      <w:szCs w:val="24"/>
    </w:rPr>
  </w:style>
  <w:style w:type="paragraph" w:styleId="BodyText">
    <w:name w:val="Body Text"/>
    <w:basedOn w:val="Normal"/>
    <w:link w:val="BodyTextChar"/>
    <w:rsid w:val="00C9065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9065B"/>
    <w:rPr>
      <w:rFonts w:ascii="Times New Roman" w:eastAsia="Times New Roman" w:hAnsi="Times New Roman" w:cs="Times New Roman"/>
      <w:sz w:val="24"/>
      <w:szCs w:val="24"/>
    </w:rPr>
  </w:style>
  <w:style w:type="paragraph" w:styleId="BodyText2">
    <w:name w:val="Body Text 2"/>
    <w:basedOn w:val="Normal"/>
    <w:link w:val="BodyText2Char"/>
    <w:rsid w:val="00C9065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C9065B"/>
    <w:rPr>
      <w:rFonts w:ascii="Times New Roman" w:eastAsia="Times New Roman" w:hAnsi="Times New Roman" w:cs="Times New Roman"/>
      <w:sz w:val="24"/>
      <w:szCs w:val="24"/>
    </w:rPr>
  </w:style>
  <w:style w:type="paragraph" w:styleId="BodyText3">
    <w:name w:val="Body Text 3"/>
    <w:basedOn w:val="Normal"/>
    <w:link w:val="BodyText3Char"/>
    <w:rsid w:val="00C9065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9065B"/>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C9065B"/>
    <w:pPr>
      <w:ind w:firstLine="210"/>
    </w:pPr>
  </w:style>
  <w:style w:type="character" w:customStyle="1" w:styleId="BodyTextFirstIndentChar">
    <w:name w:val="Body Text First Indent Char"/>
    <w:basedOn w:val="BodyTextChar"/>
    <w:link w:val="BodyTextFirstIndent"/>
    <w:rsid w:val="00C9065B"/>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C9065B"/>
    <w:pPr>
      <w:suppressAutoHyphens w:val="0"/>
      <w:spacing w:after="120" w:line="240" w:lineRule="auto"/>
      <w:ind w:left="360" w:firstLine="210"/>
      <w:jc w:val="left"/>
    </w:pPr>
    <w:rPr>
      <w:spacing w:val="0"/>
      <w:szCs w:val="24"/>
    </w:rPr>
  </w:style>
  <w:style w:type="character" w:customStyle="1" w:styleId="BodyTextFirstIndent2Char">
    <w:name w:val="Body Text First Indent 2 Char"/>
    <w:basedOn w:val="BodyTextIndentChar"/>
    <w:link w:val="BodyTextFirstIndent2"/>
    <w:rsid w:val="00C9065B"/>
    <w:rPr>
      <w:rFonts w:ascii="Times New Roman" w:eastAsia="Times New Roman" w:hAnsi="Times New Roman" w:cs="Times New Roman"/>
      <w:spacing w:val="-2"/>
      <w:sz w:val="24"/>
      <w:szCs w:val="24"/>
    </w:rPr>
  </w:style>
  <w:style w:type="paragraph" w:styleId="BodyTextIndent2">
    <w:name w:val="Body Text Indent 2"/>
    <w:basedOn w:val="Normal"/>
    <w:link w:val="BodyTextIndent2Char"/>
    <w:rsid w:val="00C9065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9065B"/>
    <w:rPr>
      <w:rFonts w:ascii="Times New Roman" w:eastAsia="Times New Roman" w:hAnsi="Times New Roman" w:cs="Times New Roman"/>
      <w:sz w:val="24"/>
      <w:szCs w:val="24"/>
    </w:rPr>
  </w:style>
  <w:style w:type="paragraph" w:styleId="BodyTextIndent3">
    <w:name w:val="Body Text Indent 3"/>
    <w:basedOn w:val="Normal"/>
    <w:link w:val="BodyTextIndent3Char"/>
    <w:rsid w:val="00C9065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9065B"/>
    <w:rPr>
      <w:rFonts w:ascii="Times New Roman" w:eastAsia="Times New Roman" w:hAnsi="Times New Roman" w:cs="Times New Roman"/>
      <w:sz w:val="16"/>
      <w:szCs w:val="16"/>
    </w:rPr>
  </w:style>
  <w:style w:type="character" w:styleId="BookTitle">
    <w:name w:val="Book Title"/>
    <w:uiPriority w:val="33"/>
    <w:qFormat/>
    <w:rsid w:val="00C9065B"/>
    <w:rPr>
      <w:b/>
      <w:bCs/>
      <w:smallCaps/>
      <w:spacing w:val="5"/>
    </w:rPr>
  </w:style>
  <w:style w:type="paragraph" w:styleId="Caption">
    <w:name w:val="caption"/>
    <w:basedOn w:val="Normal"/>
    <w:next w:val="Normal"/>
    <w:semiHidden/>
    <w:unhideWhenUsed/>
    <w:qFormat/>
    <w:rsid w:val="00C9065B"/>
    <w:pPr>
      <w:spacing w:after="0" w:line="240" w:lineRule="auto"/>
    </w:pPr>
    <w:rPr>
      <w:rFonts w:ascii="Times New Roman" w:eastAsia="Times New Roman" w:hAnsi="Times New Roman" w:cs="Times New Roman"/>
      <w:b/>
      <w:bCs/>
      <w:sz w:val="20"/>
      <w:szCs w:val="20"/>
    </w:rPr>
  </w:style>
  <w:style w:type="paragraph" w:styleId="Closing">
    <w:name w:val="Closing"/>
    <w:basedOn w:val="Normal"/>
    <w:link w:val="ClosingChar"/>
    <w:rsid w:val="00C9065B"/>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C9065B"/>
    <w:rPr>
      <w:rFonts w:ascii="Times New Roman" w:eastAsia="Times New Roman" w:hAnsi="Times New Roman" w:cs="Times New Roman"/>
      <w:sz w:val="24"/>
      <w:szCs w:val="24"/>
    </w:rPr>
  </w:style>
  <w:style w:type="table" w:styleId="ColorfulGrid">
    <w:name w:val="Colorful Grid"/>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rsid w:val="00C9065B"/>
    <w:rPr>
      <w:sz w:val="16"/>
      <w:szCs w:val="16"/>
    </w:rPr>
  </w:style>
  <w:style w:type="paragraph" w:styleId="CommentText">
    <w:name w:val="annotation text"/>
    <w:basedOn w:val="Normal"/>
    <w:link w:val="CommentTextChar"/>
    <w:rsid w:val="00C9065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906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C9065B"/>
    <w:rPr>
      <w:b/>
      <w:bCs/>
    </w:rPr>
  </w:style>
  <w:style w:type="character" w:customStyle="1" w:styleId="CommentSubjectChar">
    <w:name w:val="Comment Subject Char"/>
    <w:basedOn w:val="CommentTextChar"/>
    <w:link w:val="CommentSubject"/>
    <w:rsid w:val="00C9065B"/>
    <w:rPr>
      <w:rFonts w:ascii="Times New Roman" w:eastAsia="Times New Roman" w:hAnsi="Times New Roman" w:cs="Times New Roman"/>
      <w:b/>
      <w:bCs/>
      <w:sz w:val="20"/>
      <w:szCs w:val="20"/>
    </w:rPr>
  </w:style>
  <w:style w:type="table" w:styleId="DarkList">
    <w:name w:val="Dark List"/>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9065B"/>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C9065B"/>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C9065B"/>
    <w:rPr>
      <w:rFonts w:ascii="Times New Roman" w:eastAsia="Times New Roman" w:hAnsi="Times New Roman" w:cs="Times New Roman"/>
      <w:sz w:val="24"/>
      <w:szCs w:val="24"/>
    </w:rPr>
  </w:style>
  <w:style w:type="paragraph" w:styleId="DocumentMap">
    <w:name w:val="Document Map"/>
    <w:basedOn w:val="Normal"/>
    <w:link w:val="DocumentMapChar"/>
    <w:rsid w:val="00C9065B"/>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C9065B"/>
    <w:rPr>
      <w:rFonts w:ascii="Tahoma" w:eastAsia="Times New Roman" w:hAnsi="Tahoma" w:cs="Tahoma"/>
      <w:sz w:val="16"/>
      <w:szCs w:val="16"/>
    </w:rPr>
  </w:style>
  <w:style w:type="paragraph" w:styleId="E-mailSignature">
    <w:name w:val="E-mail Signature"/>
    <w:basedOn w:val="Normal"/>
    <w:link w:val="E-mailSignatureChar"/>
    <w:rsid w:val="00C9065B"/>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C9065B"/>
    <w:rPr>
      <w:rFonts w:ascii="Times New Roman" w:eastAsia="Times New Roman" w:hAnsi="Times New Roman" w:cs="Times New Roman"/>
      <w:sz w:val="24"/>
      <w:szCs w:val="24"/>
    </w:rPr>
  </w:style>
  <w:style w:type="paragraph" w:styleId="EnvelopeAddress">
    <w:name w:val="envelope address"/>
    <w:basedOn w:val="Normal"/>
    <w:rsid w:val="00C9065B"/>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EnvelopeReturn">
    <w:name w:val="envelope return"/>
    <w:basedOn w:val="Normal"/>
    <w:rsid w:val="00C9065B"/>
    <w:pPr>
      <w:spacing w:after="0" w:line="240" w:lineRule="auto"/>
    </w:pPr>
    <w:rPr>
      <w:rFonts w:ascii="Cambria" w:eastAsia="Times New Roman" w:hAnsi="Cambria" w:cs="Times New Roman"/>
      <w:sz w:val="20"/>
      <w:szCs w:val="20"/>
    </w:rPr>
  </w:style>
  <w:style w:type="character" w:styleId="HTMLAcronym">
    <w:name w:val="HTML Acronym"/>
    <w:rsid w:val="00C9065B"/>
  </w:style>
  <w:style w:type="paragraph" w:styleId="HTMLAddress">
    <w:name w:val="HTML Address"/>
    <w:basedOn w:val="Normal"/>
    <w:link w:val="HTMLAddressChar"/>
    <w:rsid w:val="00C9065B"/>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C9065B"/>
    <w:rPr>
      <w:rFonts w:ascii="Times New Roman" w:eastAsia="Times New Roman" w:hAnsi="Times New Roman" w:cs="Times New Roman"/>
      <w:i/>
      <w:iCs/>
      <w:sz w:val="24"/>
      <w:szCs w:val="24"/>
    </w:rPr>
  </w:style>
  <w:style w:type="character" w:styleId="HTMLCite">
    <w:name w:val="HTML Cite"/>
    <w:rsid w:val="00C9065B"/>
    <w:rPr>
      <w:i/>
      <w:iCs/>
    </w:rPr>
  </w:style>
  <w:style w:type="character" w:styleId="HTMLCode">
    <w:name w:val="HTML Code"/>
    <w:rsid w:val="00C9065B"/>
    <w:rPr>
      <w:rFonts w:ascii="Courier New" w:hAnsi="Courier New" w:cs="Courier New"/>
      <w:sz w:val="20"/>
      <w:szCs w:val="20"/>
    </w:rPr>
  </w:style>
  <w:style w:type="character" w:styleId="HTMLDefinition">
    <w:name w:val="HTML Definition"/>
    <w:rsid w:val="00C9065B"/>
    <w:rPr>
      <w:i/>
      <w:iCs/>
    </w:rPr>
  </w:style>
  <w:style w:type="character" w:styleId="HTMLKeyboard">
    <w:name w:val="HTML Keyboard"/>
    <w:rsid w:val="00C9065B"/>
    <w:rPr>
      <w:rFonts w:ascii="Courier New" w:hAnsi="Courier New" w:cs="Courier New"/>
      <w:sz w:val="20"/>
      <w:szCs w:val="20"/>
    </w:rPr>
  </w:style>
  <w:style w:type="paragraph" w:styleId="HTMLPreformatted">
    <w:name w:val="HTML Preformatted"/>
    <w:basedOn w:val="Normal"/>
    <w:link w:val="HTMLPreformattedChar"/>
    <w:rsid w:val="00C9065B"/>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9065B"/>
    <w:rPr>
      <w:rFonts w:ascii="Courier New" w:eastAsia="Times New Roman" w:hAnsi="Courier New" w:cs="Courier New"/>
      <w:sz w:val="20"/>
      <w:szCs w:val="20"/>
    </w:rPr>
  </w:style>
  <w:style w:type="character" w:styleId="HTMLSample">
    <w:name w:val="HTML Sample"/>
    <w:rsid w:val="00C9065B"/>
    <w:rPr>
      <w:rFonts w:ascii="Courier New" w:hAnsi="Courier New" w:cs="Courier New"/>
    </w:rPr>
  </w:style>
  <w:style w:type="character" w:styleId="HTMLTypewriter">
    <w:name w:val="HTML Typewriter"/>
    <w:rsid w:val="00C9065B"/>
    <w:rPr>
      <w:rFonts w:ascii="Courier New" w:hAnsi="Courier New" w:cs="Courier New"/>
      <w:sz w:val="20"/>
      <w:szCs w:val="20"/>
    </w:rPr>
  </w:style>
  <w:style w:type="character" w:styleId="HTMLVariable">
    <w:name w:val="HTML Variable"/>
    <w:rsid w:val="00C9065B"/>
    <w:rPr>
      <w:i/>
      <w:iCs/>
    </w:rPr>
  </w:style>
  <w:style w:type="paragraph" w:styleId="Index1">
    <w:name w:val="index 1"/>
    <w:basedOn w:val="Normal"/>
    <w:next w:val="Normal"/>
    <w:autoRedefine/>
    <w:rsid w:val="00C9065B"/>
    <w:pPr>
      <w:spacing w:after="0" w:line="240" w:lineRule="auto"/>
      <w:ind w:left="240" w:hanging="240"/>
    </w:pPr>
    <w:rPr>
      <w:rFonts w:ascii="Times New Roman" w:eastAsia="Times New Roman" w:hAnsi="Times New Roman" w:cs="Times New Roman"/>
      <w:sz w:val="24"/>
      <w:szCs w:val="24"/>
    </w:rPr>
  </w:style>
  <w:style w:type="paragraph" w:styleId="Index2">
    <w:name w:val="index 2"/>
    <w:basedOn w:val="Normal"/>
    <w:next w:val="Normal"/>
    <w:autoRedefine/>
    <w:rsid w:val="00C9065B"/>
    <w:pPr>
      <w:spacing w:after="0" w:line="240" w:lineRule="auto"/>
      <w:ind w:left="480" w:hanging="240"/>
    </w:pPr>
    <w:rPr>
      <w:rFonts w:ascii="Times New Roman" w:eastAsia="Times New Roman" w:hAnsi="Times New Roman" w:cs="Times New Roman"/>
      <w:sz w:val="24"/>
      <w:szCs w:val="24"/>
    </w:rPr>
  </w:style>
  <w:style w:type="paragraph" w:styleId="Index3">
    <w:name w:val="index 3"/>
    <w:basedOn w:val="Normal"/>
    <w:next w:val="Normal"/>
    <w:autoRedefine/>
    <w:rsid w:val="00C9065B"/>
    <w:pPr>
      <w:spacing w:after="0" w:line="240" w:lineRule="auto"/>
      <w:ind w:left="720" w:hanging="240"/>
    </w:pPr>
    <w:rPr>
      <w:rFonts w:ascii="Times New Roman" w:eastAsia="Times New Roman" w:hAnsi="Times New Roman" w:cs="Times New Roman"/>
      <w:sz w:val="24"/>
      <w:szCs w:val="24"/>
    </w:rPr>
  </w:style>
  <w:style w:type="paragraph" w:styleId="Index4">
    <w:name w:val="index 4"/>
    <w:basedOn w:val="Normal"/>
    <w:next w:val="Normal"/>
    <w:autoRedefine/>
    <w:rsid w:val="00C9065B"/>
    <w:pPr>
      <w:spacing w:after="0" w:line="240" w:lineRule="auto"/>
      <w:ind w:left="960" w:hanging="240"/>
    </w:pPr>
    <w:rPr>
      <w:rFonts w:ascii="Times New Roman" w:eastAsia="Times New Roman" w:hAnsi="Times New Roman" w:cs="Times New Roman"/>
      <w:sz w:val="24"/>
      <w:szCs w:val="24"/>
    </w:rPr>
  </w:style>
  <w:style w:type="paragraph" w:styleId="Index5">
    <w:name w:val="index 5"/>
    <w:basedOn w:val="Normal"/>
    <w:next w:val="Normal"/>
    <w:autoRedefine/>
    <w:rsid w:val="00C9065B"/>
    <w:pPr>
      <w:spacing w:after="0" w:line="240" w:lineRule="auto"/>
      <w:ind w:left="1200" w:hanging="240"/>
    </w:pPr>
    <w:rPr>
      <w:rFonts w:ascii="Times New Roman" w:eastAsia="Times New Roman" w:hAnsi="Times New Roman" w:cs="Times New Roman"/>
      <w:sz w:val="24"/>
      <w:szCs w:val="24"/>
    </w:rPr>
  </w:style>
  <w:style w:type="paragraph" w:styleId="Index6">
    <w:name w:val="index 6"/>
    <w:basedOn w:val="Normal"/>
    <w:next w:val="Normal"/>
    <w:autoRedefine/>
    <w:rsid w:val="00C9065B"/>
    <w:pPr>
      <w:spacing w:after="0" w:line="240" w:lineRule="auto"/>
      <w:ind w:left="1440" w:hanging="240"/>
    </w:pPr>
    <w:rPr>
      <w:rFonts w:ascii="Times New Roman" w:eastAsia="Times New Roman" w:hAnsi="Times New Roman" w:cs="Times New Roman"/>
      <w:sz w:val="24"/>
      <w:szCs w:val="24"/>
    </w:rPr>
  </w:style>
  <w:style w:type="paragraph" w:styleId="Index7">
    <w:name w:val="index 7"/>
    <w:basedOn w:val="Normal"/>
    <w:next w:val="Normal"/>
    <w:autoRedefine/>
    <w:rsid w:val="00C9065B"/>
    <w:pPr>
      <w:spacing w:after="0" w:line="240" w:lineRule="auto"/>
      <w:ind w:left="1680" w:hanging="240"/>
    </w:pPr>
    <w:rPr>
      <w:rFonts w:ascii="Times New Roman" w:eastAsia="Times New Roman" w:hAnsi="Times New Roman" w:cs="Times New Roman"/>
      <w:sz w:val="24"/>
      <w:szCs w:val="24"/>
    </w:rPr>
  </w:style>
  <w:style w:type="paragraph" w:styleId="Index8">
    <w:name w:val="index 8"/>
    <w:basedOn w:val="Normal"/>
    <w:next w:val="Normal"/>
    <w:autoRedefine/>
    <w:rsid w:val="00C9065B"/>
    <w:pPr>
      <w:spacing w:after="0" w:line="240" w:lineRule="auto"/>
      <w:ind w:left="1920" w:hanging="240"/>
    </w:pPr>
    <w:rPr>
      <w:rFonts w:ascii="Times New Roman" w:eastAsia="Times New Roman" w:hAnsi="Times New Roman" w:cs="Times New Roman"/>
      <w:sz w:val="24"/>
      <w:szCs w:val="24"/>
    </w:rPr>
  </w:style>
  <w:style w:type="paragraph" w:styleId="Index9">
    <w:name w:val="index 9"/>
    <w:basedOn w:val="Normal"/>
    <w:next w:val="Normal"/>
    <w:autoRedefine/>
    <w:rsid w:val="00C9065B"/>
    <w:pPr>
      <w:spacing w:after="0" w:line="240" w:lineRule="auto"/>
      <w:ind w:left="2160" w:hanging="240"/>
    </w:pPr>
    <w:rPr>
      <w:rFonts w:ascii="Times New Roman" w:eastAsia="Times New Roman" w:hAnsi="Times New Roman" w:cs="Times New Roman"/>
      <w:sz w:val="24"/>
      <w:szCs w:val="24"/>
    </w:rPr>
  </w:style>
  <w:style w:type="paragraph" w:styleId="IndexHeading">
    <w:name w:val="index heading"/>
    <w:basedOn w:val="Normal"/>
    <w:next w:val="Index1"/>
    <w:rsid w:val="00C9065B"/>
    <w:pPr>
      <w:spacing w:after="0" w:line="240" w:lineRule="auto"/>
    </w:pPr>
    <w:rPr>
      <w:rFonts w:ascii="Cambria" w:eastAsia="Times New Roman" w:hAnsi="Cambria" w:cs="Times New Roman"/>
      <w:b/>
      <w:bCs/>
      <w:sz w:val="24"/>
      <w:szCs w:val="24"/>
    </w:rPr>
  </w:style>
  <w:style w:type="character" w:styleId="IntenseEmphasis">
    <w:name w:val="Intense Emphasis"/>
    <w:uiPriority w:val="21"/>
    <w:qFormat/>
    <w:rsid w:val="00C9065B"/>
    <w:rPr>
      <w:b/>
      <w:bCs/>
      <w:i/>
      <w:iCs/>
      <w:color w:val="4F81BD"/>
    </w:rPr>
  </w:style>
  <w:style w:type="paragraph" w:styleId="IntenseQuote">
    <w:name w:val="Intense Quote"/>
    <w:basedOn w:val="Normal"/>
    <w:next w:val="Normal"/>
    <w:link w:val="IntenseQuoteChar"/>
    <w:uiPriority w:val="30"/>
    <w:qFormat/>
    <w:rsid w:val="00C9065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C9065B"/>
    <w:rPr>
      <w:rFonts w:ascii="Times New Roman" w:eastAsia="Times New Roman" w:hAnsi="Times New Roman" w:cs="Times New Roman"/>
      <w:b/>
      <w:bCs/>
      <w:i/>
      <w:iCs/>
      <w:color w:val="4F81BD"/>
      <w:sz w:val="24"/>
      <w:szCs w:val="24"/>
    </w:rPr>
  </w:style>
  <w:style w:type="character" w:styleId="IntenseReference">
    <w:name w:val="Intense Reference"/>
    <w:uiPriority w:val="32"/>
    <w:qFormat/>
    <w:rsid w:val="00C9065B"/>
    <w:rPr>
      <w:b/>
      <w:bCs/>
      <w:smallCaps/>
      <w:color w:val="C0504D"/>
      <w:spacing w:val="5"/>
      <w:u w:val="single"/>
    </w:rPr>
  </w:style>
  <w:style w:type="table" w:styleId="LightGrid">
    <w:name w:val="Light Grid"/>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9065B"/>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9065B"/>
    <w:pPr>
      <w:spacing w:after="0" w:line="240" w:lineRule="auto"/>
    </w:pPr>
    <w:rPr>
      <w:rFonts w:ascii="Times New Roman" w:eastAsia="Times New Roman" w:hAnsi="Times New Roman"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9065B"/>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9065B"/>
    <w:pPr>
      <w:spacing w:after="0" w:line="240" w:lineRule="auto"/>
    </w:pPr>
    <w:rPr>
      <w:rFonts w:ascii="Times New Roman" w:eastAsia="Times New Roman" w:hAnsi="Times New Roman"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9065B"/>
    <w:pPr>
      <w:spacing w:after="0" w:line="240" w:lineRule="auto"/>
    </w:pPr>
    <w:rPr>
      <w:rFonts w:ascii="Times New Roman" w:eastAsia="Times New Roman" w:hAnsi="Times New Roman"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9065B"/>
    <w:pPr>
      <w:spacing w:after="0" w:line="240" w:lineRule="auto"/>
    </w:pPr>
    <w:rPr>
      <w:rFonts w:ascii="Times New Roman" w:eastAsia="Times New Roman" w:hAnsi="Times New Roman" w:cs="Times New Roman"/>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C9065B"/>
  </w:style>
  <w:style w:type="paragraph" w:styleId="List">
    <w:name w:val="List"/>
    <w:basedOn w:val="Normal"/>
    <w:rsid w:val="00C9065B"/>
    <w:pPr>
      <w:spacing w:after="0" w:line="240" w:lineRule="auto"/>
      <w:ind w:left="360" w:hanging="360"/>
      <w:contextualSpacing/>
    </w:pPr>
    <w:rPr>
      <w:rFonts w:ascii="Times New Roman" w:eastAsia="Times New Roman" w:hAnsi="Times New Roman" w:cs="Times New Roman"/>
      <w:sz w:val="24"/>
      <w:szCs w:val="24"/>
    </w:rPr>
  </w:style>
  <w:style w:type="paragraph" w:styleId="List2">
    <w:name w:val="List 2"/>
    <w:basedOn w:val="Normal"/>
    <w:rsid w:val="00C9065B"/>
    <w:pPr>
      <w:spacing w:after="0" w:line="240" w:lineRule="auto"/>
      <w:ind w:left="720" w:hanging="360"/>
      <w:contextualSpacing/>
    </w:pPr>
    <w:rPr>
      <w:rFonts w:ascii="Times New Roman" w:eastAsia="Times New Roman" w:hAnsi="Times New Roman" w:cs="Times New Roman"/>
      <w:sz w:val="24"/>
      <w:szCs w:val="24"/>
    </w:rPr>
  </w:style>
  <w:style w:type="paragraph" w:styleId="List3">
    <w:name w:val="List 3"/>
    <w:basedOn w:val="Normal"/>
    <w:rsid w:val="00C9065B"/>
    <w:pPr>
      <w:spacing w:after="0" w:line="240" w:lineRule="auto"/>
      <w:ind w:left="1080" w:hanging="360"/>
      <w:contextualSpacing/>
    </w:pPr>
    <w:rPr>
      <w:rFonts w:ascii="Times New Roman" w:eastAsia="Times New Roman" w:hAnsi="Times New Roman" w:cs="Times New Roman"/>
      <w:sz w:val="24"/>
      <w:szCs w:val="24"/>
    </w:rPr>
  </w:style>
  <w:style w:type="paragraph" w:styleId="List4">
    <w:name w:val="List 4"/>
    <w:basedOn w:val="Normal"/>
    <w:rsid w:val="00C9065B"/>
    <w:pPr>
      <w:spacing w:after="0" w:line="240" w:lineRule="auto"/>
      <w:ind w:left="1440" w:hanging="360"/>
      <w:contextualSpacing/>
    </w:pPr>
    <w:rPr>
      <w:rFonts w:ascii="Times New Roman" w:eastAsia="Times New Roman" w:hAnsi="Times New Roman" w:cs="Times New Roman"/>
      <w:sz w:val="24"/>
      <w:szCs w:val="24"/>
    </w:rPr>
  </w:style>
  <w:style w:type="paragraph" w:styleId="List5">
    <w:name w:val="List 5"/>
    <w:basedOn w:val="Normal"/>
    <w:rsid w:val="00C9065B"/>
    <w:pPr>
      <w:spacing w:after="0" w:line="240" w:lineRule="auto"/>
      <w:ind w:left="1800" w:hanging="360"/>
      <w:contextualSpacing/>
    </w:pPr>
    <w:rPr>
      <w:rFonts w:ascii="Times New Roman" w:eastAsia="Times New Roman" w:hAnsi="Times New Roman" w:cs="Times New Roman"/>
      <w:sz w:val="24"/>
      <w:szCs w:val="24"/>
    </w:rPr>
  </w:style>
  <w:style w:type="paragraph" w:styleId="ListBullet2">
    <w:name w:val="List Bullet 2"/>
    <w:basedOn w:val="Normal"/>
    <w:rsid w:val="00C9065B"/>
    <w:pPr>
      <w:numPr>
        <w:numId w:val="11"/>
      </w:numPr>
      <w:spacing w:after="0" w:line="240" w:lineRule="auto"/>
      <w:contextualSpacing/>
    </w:pPr>
    <w:rPr>
      <w:rFonts w:ascii="Times New Roman" w:eastAsia="Times New Roman" w:hAnsi="Times New Roman" w:cs="Times New Roman"/>
      <w:sz w:val="24"/>
      <w:szCs w:val="24"/>
    </w:rPr>
  </w:style>
  <w:style w:type="paragraph" w:styleId="ListBullet3">
    <w:name w:val="List Bullet 3"/>
    <w:basedOn w:val="Normal"/>
    <w:rsid w:val="00C9065B"/>
    <w:pPr>
      <w:numPr>
        <w:numId w:val="12"/>
      </w:numPr>
      <w:spacing w:after="0" w:line="240" w:lineRule="auto"/>
      <w:contextualSpacing/>
    </w:pPr>
    <w:rPr>
      <w:rFonts w:ascii="Times New Roman" w:eastAsia="Times New Roman" w:hAnsi="Times New Roman" w:cs="Times New Roman"/>
      <w:sz w:val="24"/>
      <w:szCs w:val="24"/>
    </w:rPr>
  </w:style>
  <w:style w:type="paragraph" w:styleId="ListBullet4">
    <w:name w:val="List Bullet 4"/>
    <w:basedOn w:val="Normal"/>
    <w:rsid w:val="00C9065B"/>
    <w:pPr>
      <w:numPr>
        <w:numId w:val="13"/>
      </w:numPr>
      <w:spacing w:after="0" w:line="240" w:lineRule="auto"/>
      <w:contextualSpacing/>
    </w:pPr>
    <w:rPr>
      <w:rFonts w:ascii="Times New Roman" w:eastAsia="Times New Roman" w:hAnsi="Times New Roman" w:cs="Times New Roman"/>
      <w:sz w:val="24"/>
      <w:szCs w:val="24"/>
    </w:rPr>
  </w:style>
  <w:style w:type="paragraph" w:styleId="ListBullet5">
    <w:name w:val="List Bullet 5"/>
    <w:basedOn w:val="Normal"/>
    <w:rsid w:val="00C9065B"/>
    <w:pPr>
      <w:numPr>
        <w:numId w:val="14"/>
      </w:numPr>
      <w:spacing w:after="0" w:line="240" w:lineRule="auto"/>
      <w:contextualSpacing/>
    </w:pPr>
    <w:rPr>
      <w:rFonts w:ascii="Times New Roman" w:eastAsia="Times New Roman" w:hAnsi="Times New Roman" w:cs="Times New Roman"/>
      <w:sz w:val="24"/>
      <w:szCs w:val="24"/>
    </w:rPr>
  </w:style>
  <w:style w:type="paragraph" w:styleId="ListContinue">
    <w:name w:val="List Continue"/>
    <w:basedOn w:val="Normal"/>
    <w:rsid w:val="00C9065B"/>
    <w:pPr>
      <w:spacing w:after="120" w:line="240" w:lineRule="auto"/>
      <w:ind w:left="360"/>
      <w:contextualSpacing/>
    </w:pPr>
    <w:rPr>
      <w:rFonts w:ascii="Times New Roman" w:eastAsia="Times New Roman" w:hAnsi="Times New Roman" w:cs="Times New Roman"/>
      <w:sz w:val="24"/>
      <w:szCs w:val="24"/>
    </w:rPr>
  </w:style>
  <w:style w:type="paragraph" w:styleId="ListContinue2">
    <w:name w:val="List Continue 2"/>
    <w:basedOn w:val="Normal"/>
    <w:rsid w:val="00C9065B"/>
    <w:pPr>
      <w:spacing w:after="120" w:line="240" w:lineRule="auto"/>
      <w:ind w:left="720"/>
      <w:contextualSpacing/>
    </w:pPr>
    <w:rPr>
      <w:rFonts w:ascii="Times New Roman" w:eastAsia="Times New Roman" w:hAnsi="Times New Roman" w:cs="Times New Roman"/>
      <w:sz w:val="24"/>
      <w:szCs w:val="24"/>
    </w:rPr>
  </w:style>
  <w:style w:type="paragraph" w:styleId="ListContinue3">
    <w:name w:val="List Continue 3"/>
    <w:basedOn w:val="Normal"/>
    <w:rsid w:val="00C9065B"/>
    <w:pPr>
      <w:spacing w:after="120" w:line="240" w:lineRule="auto"/>
      <w:ind w:left="1080"/>
      <w:contextualSpacing/>
    </w:pPr>
    <w:rPr>
      <w:rFonts w:ascii="Times New Roman" w:eastAsia="Times New Roman" w:hAnsi="Times New Roman" w:cs="Times New Roman"/>
      <w:sz w:val="24"/>
      <w:szCs w:val="24"/>
    </w:rPr>
  </w:style>
  <w:style w:type="paragraph" w:styleId="ListContinue4">
    <w:name w:val="List Continue 4"/>
    <w:basedOn w:val="Normal"/>
    <w:rsid w:val="00C9065B"/>
    <w:pPr>
      <w:spacing w:after="120" w:line="240" w:lineRule="auto"/>
      <w:ind w:left="1440"/>
      <w:contextualSpacing/>
    </w:pPr>
    <w:rPr>
      <w:rFonts w:ascii="Times New Roman" w:eastAsia="Times New Roman" w:hAnsi="Times New Roman" w:cs="Times New Roman"/>
      <w:sz w:val="24"/>
      <w:szCs w:val="24"/>
    </w:rPr>
  </w:style>
  <w:style w:type="paragraph" w:styleId="ListContinue5">
    <w:name w:val="List Continue 5"/>
    <w:basedOn w:val="Normal"/>
    <w:rsid w:val="00C9065B"/>
    <w:pPr>
      <w:spacing w:after="120" w:line="240" w:lineRule="auto"/>
      <w:ind w:left="1800"/>
      <w:contextualSpacing/>
    </w:pPr>
    <w:rPr>
      <w:rFonts w:ascii="Times New Roman" w:eastAsia="Times New Roman" w:hAnsi="Times New Roman" w:cs="Times New Roman"/>
      <w:sz w:val="24"/>
      <w:szCs w:val="24"/>
    </w:rPr>
  </w:style>
  <w:style w:type="paragraph" w:styleId="ListNumber">
    <w:name w:val="List Number"/>
    <w:basedOn w:val="Normal"/>
    <w:rsid w:val="00C9065B"/>
    <w:pPr>
      <w:numPr>
        <w:numId w:val="15"/>
      </w:numPr>
      <w:spacing w:after="0" w:line="240" w:lineRule="auto"/>
      <w:contextualSpacing/>
    </w:pPr>
    <w:rPr>
      <w:rFonts w:ascii="Times New Roman" w:eastAsia="Times New Roman" w:hAnsi="Times New Roman" w:cs="Times New Roman"/>
      <w:sz w:val="24"/>
      <w:szCs w:val="24"/>
    </w:rPr>
  </w:style>
  <w:style w:type="paragraph" w:styleId="ListNumber2">
    <w:name w:val="List Number 2"/>
    <w:basedOn w:val="Normal"/>
    <w:rsid w:val="00C9065B"/>
    <w:pPr>
      <w:numPr>
        <w:numId w:val="16"/>
      </w:numPr>
      <w:spacing w:after="0" w:line="240" w:lineRule="auto"/>
      <w:contextualSpacing/>
    </w:pPr>
    <w:rPr>
      <w:rFonts w:ascii="Times New Roman" w:eastAsia="Times New Roman" w:hAnsi="Times New Roman" w:cs="Times New Roman"/>
      <w:sz w:val="24"/>
      <w:szCs w:val="24"/>
    </w:rPr>
  </w:style>
  <w:style w:type="paragraph" w:styleId="ListNumber3">
    <w:name w:val="List Number 3"/>
    <w:basedOn w:val="Normal"/>
    <w:rsid w:val="00C9065B"/>
    <w:pPr>
      <w:numPr>
        <w:numId w:val="17"/>
      </w:numPr>
      <w:spacing w:after="0" w:line="240" w:lineRule="auto"/>
      <w:contextualSpacing/>
    </w:pPr>
    <w:rPr>
      <w:rFonts w:ascii="Times New Roman" w:eastAsia="Times New Roman" w:hAnsi="Times New Roman" w:cs="Times New Roman"/>
      <w:sz w:val="24"/>
      <w:szCs w:val="24"/>
    </w:rPr>
  </w:style>
  <w:style w:type="paragraph" w:styleId="ListNumber4">
    <w:name w:val="List Number 4"/>
    <w:basedOn w:val="Normal"/>
    <w:rsid w:val="00C9065B"/>
    <w:pPr>
      <w:numPr>
        <w:numId w:val="18"/>
      </w:numPr>
      <w:spacing w:after="0" w:line="240" w:lineRule="auto"/>
      <w:contextualSpacing/>
    </w:pPr>
    <w:rPr>
      <w:rFonts w:ascii="Times New Roman" w:eastAsia="Times New Roman" w:hAnsi="Times New Roman" w:cs="Times New Roman"/>
      <w:sz w:val="24"/>
      <w:szCs w:val="24"/>
    </w:rPr>
  </w:style>
  <w:style w:type="paragraph" w:styleId="ListNumber5">
    <w:name w:val="List Number 5"/>
    <w:basedOn w:val="Normal"/>
    <w:rsid w:val="00C9065B"/>
    <w:pPr>
      <w:numPr>
        <w:numId w:val="19"/>
      </w:numPr>
      <w:spacing w:after="0" w:line="240" w:lineRule="auto"/>
      <w:contextualSpacing/>
    </w:pPr>
    <w:rPr>
      <w:rFonts w:ascii="Times New Roman" w:eastAsia="Times New Roman" w:hAnsi="Times New Roman" w:cs="Times New Roman"/>
      <w:sz w:val="24"/>
      <w:szCs w:val="24"/>
    </w:rPr>
  </w:style>
  <w:style w:type="paragraph" w:styleId="ListParagraph">
    <w:name w:val="List Paragraph"/>
    <w:basedOn w:val="Normal"/>
    <w:uiPriority w:val="34"/>
    <w:qFormat/>
    <w:rsid w:val="00C9065B"/>
    <w:pPr>
      <w:spacing w:after="0" w:line="240" w:lineRule="auto"/>
      <w:ind w:left="720"/>
    </w:pPr>
    <w:rPr>
      <w:rFonts w:ascii="Times New Roman" w:eastAsia="Times New Roman" w:hAnsi="Times New Roman" w:cs="Times New Roman"/>
      <w:sz w:val="24"/>
      <w:szCs w:val="24"/>
    </w:rPr>
  </w:style>
  <w:style w:type="paragraph" w:styleId="MacroText">
    <w:name w:val="macro"/>
    <w:link w:val="MacroTextChar"/>
    <w:rsid w:val="00C9065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9065B"/>
    <w:rPr>
      <w:rFonts w:ascii="Courier New" w:eastAsia="Times New Roman" w:hAnsi="Courier New" w:cs="Courier New"/>
      <w:sz w:val="20"/>
      <w:szCs w:val="20"/>
    </w:rPr>
  </w:style>
  <w:style w:type="table" w:styleId="MediumGrid1">
    <w:name w:val="Medium Grid 1"/>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9065B"/>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9065B"/>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C906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rPr>
  </w:style>
  <w:style w:type="character" w:customStyle="1" w:styleId="MessageHeaderChar">
    <w:name w:val="Message Header Char"/>
    <w:basedOn w:val="DefaultParagraphFont"/>
    <w:link w:val="MessageHeader"/>
    <w:rsid w:val="00C9065B"/>
    <w:rPr>
      <w:rFonts w:ascii="Cambria" w:eastAsia="Times New Roman" w:hAnsi="Cambria" w:cs="Times New Roman"/>
      <w:sz w:val="24"/>
      <w:szCs w:val="24"/>
      <w:shd w:val="pct20" w:color="auto" w:fill="auto"/>
    </w:rPr>
  </w:style>
  <w:style w:type="paragraph" w:styleId="NormalWeb">
    <w:name w:val="Normal (Web)"/>
    <w:basedOn w:val="Normal"/>
    <w:uiPriority w:val="99"/>
    <w:rsid w:val="00C9065B"/>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C9065B"/>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C9065B"/>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C9065B"/>
    <w:rPr>
      <w:rFonts w:ascii="Times New Roman" w:eastAsia="Times New Roman" w:hAnsi="Times New Roman" w:cs="Times New Roman"/>
      <w:sz w:val="24"/>
      <w:szCs w:val="24"/>
    </w:rPr>
  </w:style>
  <w:style w:type="character" w:styleId="PlaceholderText">
    <w:name w:val="Placeholder Text"/>
    <w:uiPriority w:val="99"/>
    <w:semiHidden/>
    <w:rsid w:val="00C9065B"/>
    <w:rPr>
      <w:color w:val="808080"/>
    </w:rPr>
  </w:style>
  <w:style w:type="paragraph" w:styleId="PlainText">
    <w:name w:val="Plain Text"/>
    <w:basedOn w:val="Normal"/>
    <w:link w:val="PlainTextChar"/>
    <w:rsid w:val="00C9065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9065B"/>
    <w:rPr>
      <w:rFonts w:ascii="Courier New" w:eastAsia="Times New Roman" w:hAnsi="Courier New" w:cs="Courier New"/>
      <w:sz w:val="20"/>
      <w:szCs w:val="20"/>
    </w:rPr>
  </w:style>
  <w:style w:type="paragraph" w:styleId="Quote">
    <w:name w:val="Quote"/>
    <w:basedOn w:val="Normal"/>
    <w:next w:val="Normal"/>
    <w:link w:val="QuoteChar"/>
    <w:uiPriority w:val="29"/>
    <w:qFormat/>
    <w:rsid w:val="00C9065B"/>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C9065B"/>
    <w:rPr>
      <w:rFonts w:ascii="Times New Roman" w:eastAsia="Times New Roman" w:hAnsi="Times New Roman" w:cs="Times New Roman"/>
      <w:i/>
      <w:iCs/>
      <w:color w:val="000000"/>
      <w:sz w:val="24"/>
      <w:szCs w:val="24"/>
    </w:rPr>
  </w:style>
  <w:style w:type="paragraph" w:styleId="Salutation">
    <w:name w:val="Salutation"/>
    <w:basedOn w:val="Normal"/>
    <w:next w:val="Normal"/>
    <w:link w:val="SalutationChar"/>
    <w:rsid w:val="00C9065B"/>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C9065B"/>
    <w:rPr>
      <w:rFonts w:ascii="Times New Roman" w:eastAsia="Times New Roman" w:hAnsi="Times New Roman" w:cs="Times New Roman"/>
      <w:sz w:val="24"/>
      <w:szCs w:val="24"/>
    </w:rPr>
  </w:style>
  <w:style w:type="paragraph" w:styleId="Signature">
    <w:name w:val="Signature"/>
    <w:basedOn w:val="Normal"/>
    <w:link w:val="SignatureChar"/>
    <w:rsid w:val="00C9065B"/>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C9065B"/>
    <w:rPr>
      <w:rFonts w:ascii="Times New Roman" w:eastAsia="Times New Roman" w:hAnsi="Times New Roman" w:cs="Times New Roman"/>
      <w:sz w:val="24"/>
      <w:szCs w:val="24"/>
    </w:rPr>
  </w:style>
  <w:style w:type="character" w:styleId="Strong">
    <w:name w:val="Strong"/>
    <w:uiPriority w:val="22"/>
    <w:qFormat/>
    <w:rsid w:val="00C9065B"/>
    <w:rPr>
      <w:b/>
      <w:bCs/>
    </w:rPr>
  </w:style>
  <w:style w:type="paragraph" w:styleId="Subtitle">
    <w:name w:val="Subtitle"/>
    <w:basedOn w:val="Normal"/>
    <w:next w:val="Normal"/>
    <w:link w:val="SubtitleChar"/>
    <w:qFormat/>
    <w:rsid w:val="00C9065B"/>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C9065B"/>
    <w:rPr>
      <w:rFonts w:ascii="Cambria" w:eastAsia="Times New Roman" w:hAnsi="Cambria" w:cs="Times New Roman"/>
      <w:sz w:val="24"/>
      <w:szCs w:val="24"/>
    </w:rPr>
  </w:style>
  <w:style w:type="character" w:styleId="SubtleEmphasis">
    <w:name w:val="Subtle Emphasis"/>
    <w:uiPriority w:val="19"/>
    <w:qFormat/>
    <w:rsid w:val="00C9065B"/>
    <w:rPr>
      <w:i/>
      <w:iCs/>
      <w:color w:val="808080"/>
    </w:rPr>
  </w:style>
  <w:style w:type="character" w:styleId="SubtleReference">
    <w:name w:val="Subtle Reference"/>
    <w:uiPriority w:val="31"/>
    <w:qFormat/>
    <w:rsid w:val="00C9065B"/>
    <w:rPr>
      <w:smallCaps/>
      <w:color w:val="C0504D"/>
      <w:u w:val="single"/>
    </w:rPr>
  </w:style>
  <w:style w:type="table" w:styleId="Table3Deffects1">
    <w:name w:val="Table 3D effects 1"/>
    <w:basedOn w:val="TableNormal"/>
    <w:rsid w:val="00C906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9065B"/>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9065B"/>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9065B"/>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9065B"/>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9065B"/>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9065B"/>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9065B"/>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9065B"/>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9065B"/>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9065B"/>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9065B"/>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9065B"/>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9065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9065B"/>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9065B"/>
    <w:pPr>
      <w:spacing w:after="0" w:line="240" w:lineRule="auto"/>
      <w:ind w:left="240" w:hanging="240"/>
    </w:pPr>
    <w:rPr>
      <w:rFonts w:ascii="Times New Roman" w:eastAsia="Times New Roman" w:hAnsi="Times New Roman" w:cs="Times New Roman"/>
      <w:sz w:val="24"/>
      <w:szCs w:val="24"/>
    </w:rPr>
  </w:style>
  <w:style w:type="paragraph" w:styleId="TableofFigures">
    <w:name w:val="table of figures"/>
    <w:basedOn w:val="Normal"/>
    <w:next w:val="Normal"/>
    <w:rsid w:val="00C9065B"/>
    <w:pPr>
      <w:spacing w:after="0" w:line="240" w:lineRule="auto"/>
    </w:pPr>
    <w:rPr>
      <w:rFonts w:ascii="Times New Roman" w:eastAsia="Times New Roman" w:hAnsi="Times New Roman" w:cs="Times New Roman"/>
      <w:sz w:val="24"/>
      <w:szCs w:val="24"/>
    </w:rPr>
  </w:style>
  <w:style w:type="table" w:styleId="TableProfessional">
    <w:name w:val="Table Professional"/>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9065B"/>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9065B"/>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9065B"/>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906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C9065B"/>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9065B"/>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9065B"/>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C9065B"/>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C9065B"/>
    <w:rPr>
      <w:rFonts w:ascii="Cambria" w:eastAsia="Times New Roman" w:hAnsi="Cambria" w:cs="Times New Roman"/>
      <w:b/>
      <w:bCs/>
      <w:kern w:val="28"/>
      <w:sz w:val="32"/>
      <w:szCs w:val="32"/>
    </w:rPr>
  </w:style>
  <w:style w:type="paragraph" w:styleId="TOAHeading">
    <w:name w:val="toa heading"/>
    <w:basedOn w:val="Normal"/>
    <w:next w:val="Normal"/>
    <w:rsid w:val="00C9065B"/>
    <w:pPr>
      <w:spacing w:before="120" w:after="0" w:line="240" w:lineRule="auto"/>
    </w:pPr>
    <w:rPr>
      <w:rFonts w:ascii="Cambria" w:eastAsia="Times New Roman" w:hAnsi="Cambria" w:cs="Times New Roman"/>
      <w:b/>
      <w:bCs/>
      <w:sz w:val="24"/>
      <w:szCs w:val="24"/>
    </w:rPr>
  </w:style>
  <w:style w:type="paragraph" w:styleId="TOC4">
    <w:name w:val="toc 4"/>
    <w:basedOn w:val="Normal"/>
    <w:next w:val="Normal"/>
    <w:autoRedefine/>
    <w:rsid w:val="00C9065B"/>
    <w:pPr>
      <w:spacing w:after="0" w:line="240" w:lineRule="auto"/>
      <w:ind w:left="720"/>
    </w:pPr>
    <w:rPr>
      <w:rFonts w:ascii="Times New Roman" w:eastAsia="Times New Roman" w:hAnsi="Times New Roman" w:cs="Times New Roman"/>
      <w:sz w:val="24"/>
      <w:szCs w:val="24"/>
    </w:rPr>
  </w:style>
  <w:style w:type="paragraph" w:styleId="TOC5">
    <w:name w:val="toc 5"/>
    <w:basedOn w:val="Normal"/>
    <w:next w:val="Normal"/>
    <w:autoRedefine/>
    <w:rsid w:val="00C9065B"/>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rsid w:val="00C9065B"/>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rsid w:val="00C9065B"/>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rsid w:val="00C9065B"/>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rsid w:val="00C9065B"/>
    <w:pPr>
      <w:spacing w:after="0" w:line="240" w:lineRule="auto"/>
      <w:ind w:left="1920"/>
    </w:pPr>
    <w:rPr>
      <w:rFonts w:ascii="Times New Roman" w:eastAsia="Times New Roman" w:hAnsi="Times New Roman" w:cs="Times New Roman"/>
      <w:sz w:val="24"/>
      <w:szCs w:val="24"/>
    </w:rPr>
  </w:style>
  <w:style w:type="character" w:customStyle="1" w:styleId="CourtNameChar">
    <w:name w:val="Court Name Char"/>
    <w:link w:val="CourtName"/>
    <w:rsid w:val="00C9065B"/>
    <w:rPr>
      <w:rFonts w:ascii="Times New Roman" w:eastAsia="Times New Roman" w:hAnsi="Times New Roman" w:cs="Times New Roman"/>
      <w:b/>
      <w:bCs/>
      <w:caps/>
      <w:sz w:val="24"/>
      <w:szCs w:val="24"/>
    </w:rPr>
  </w:style>
  <w:style w:type="paragraph" w:customStyle="1" w:styleId="bbbodytext0">
    <w:name w:val="bbbodytext"/>
    <w:basedOn w:val="Normal"/>
    <w:uiPriority w:val="99"/>
    <w:semiHidden/>
    <w:rsid w:val="003A4EF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841815">
      <w:bodyDiv w:val="1"/>
      <w:marLeft w:val="0"/>
      <w:marRight w:val="0"/>
      <w:marTop w:val="0"/>
      <w:marBottom w:val="0"/>
      <w:divBdr>
        <w:top w:val="none" w:sz="0" w:space="0" w:color="auto"/>
        <w:left w:val="none" w:sz="0" w:space="0" w:color="auto"/>
        <w:bottom w:val="none" w:sz="0" w:space="0" w:color="auto"/>
        <w:right w:val="none" w:sz="0" w:space="0" w:color="auto"/>
      </w:divBdr>
    </w:div>
    <w:div w:id="685446179">
      <w:bodyDiv w:val="1"/>
      <w:marLeft w:val="0"/>
      <w:marRight w:val="0"/>
      <w:marTop w:val="0"/>
      <w:marBottom w:val="0"/>
      <w:divBdr>
        <w:top w:val="none" w:sz="0" w:space="0" w:color="auto"/>
        <w:left w:val="none" w:sz="0" w:space="0" w:color="auto"/>
        <w:bottom w:val="none" w:sz="0" w:space="0" w:color="auto"/>
        <w:right w:val="none" w:sz="0" w:space="0" w:color="auto"/>
      </w:divBdr>
    </w:div>
    <w:div w:id="772676220">
      <w:bodyDiv w:val="1"/>
      <w:marLeft w:val="0"/>
      <w:marRight w:val="0"/>
      <w:marTop w:val="0"/>
      <w:marBottom w:val="0"/>
      <w:divBdr>
        <w:top w:val="none" w:sz="0" w:space="0" w:color="auto"/>
        <w:left w:val="none" w:sz="0" w:space="0" w:color="auto"/>
        <w:bottom w:val="none" w:sz="0" w:space="0" w:color="auto"/>
        <w:right w:val="none" w:sz="0" w:space="0" w:color="auto"/>
      </w:divBdr>
    </w:div>
    <w:div w:id="1234587648">
      <w:bodyDiv w:val="1"/>
      <w:marLeft w:val="0"/>
      <w:marRight w:val="0"/>
      <w:marTop w:val="0"/>
      <w:marBottom w:val="0"/>
      <w:divBdr>
        <w:top w:val="none" w:sz="0" w:space="0" w:color="auto"/>
        <w:left w:val="none" w:sz="0" w:space="0" w:color="auto"/>
        <w:bottom w:val="none" w:sz="0" w:space="0" w:color="auto"/>
        <w:right w:val="none" w:sz="0" w:space="0" w:color="auto"/>
      </w:divBdr>
    </w:div>
    <w:div w:id="127356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4.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png"/><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4.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3.xml"/><Relationship Id="rId44" Type="http://schemas.openxmlformats.org/officeDocument/2006/relationships/footer" Target="footer5.xml"/><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jpeg"/><Relationship Id="rId8" Type="http://schemas.openxmlformats.org/officeDocument/2006/relationships/footnotes" Target="footnotes.xml"/><Relationship Id="rId51" Type="http://schemas.openxmlformats.org/officeDocument/2006/relationships/image" Target="media/image36.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8B0D78-F672-4CBA-A0D6-086BFC8D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146</Pages>
  <Words>38335</Words>
  <Characters>218514</Characters>
  <Application>Microsoft Office Word</Application>
  <DocSecurity>8</DocSecurity>
  <Lines>1820</Lines>
  <Paragraphs>512</Paragraphs>
  <ScaleCrop>false</ScaleCrop>
  <HeadingPairs>
    <vt:vector size="2" baseType="variant">
      <vt:variant>
        <vt:lpstr>Title</vt:lpstr>
      </vt:variant>
      <vt:variant>
        <vt:i4>1</vt:i4>
      </vt:variant>
    </vt:vector>
  </HeadingPairs>
  <TitlesOfParts>
    <vt:vector size="1" baseType="lpstr">
      <vt:lpstr>Georgia Defense Lawyers Association</vt:lpstr>
    </vt:vector>
  </TitlesOfParts>
  <Company>GMLJ</Company>
  <LinksUpToDate>false</LinksUpToDate>
  <CharactersWithSpaces>256337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Defense Lawyers Association</dc:title>
  <dc:subject>Law Journal 2013</dc:subject>
  <dc:creator>Peter D. Muller</dc:creator>
  <cp:lastModifiedBy>Peter D. Muller</cp:lastModifiedBy>
  <cp:revision>5</cp:revision>
  <dcterms:created xsi:type="dcterms:W3CDTF">2013-05-13T21:12:00Z</dcterms:created>
  <dcterms:modified xsi:type="dcterms:W3CDTF">2013-05-13T21:16:00Z</dcterms:modified>
</cp:coreProperties>
</file>